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仿宋_GBK"/>
          <w:sz w:val="32"/>
          <w:szCs w:val="32"/>
        </w:rPr>
      </w:pPr>
      <w:r>
        <w:rPr>
          <w:rFonts w:hint="eastAsia" w:ascii="Times New Roman" w:hAnsi="Times New Roman" w:eastAsia="方正仿宋_GBK"/>
          <w:sz w:val="32"/>
          <w:szCs w:val="32"/>
        </w:rPr>
        <w:t>附件4</w:t>
      </w:r>
    </w:p>
    <w:p>
      <w:pPr>
        <w:spacing w:line="596" w:lineRule="exact"/>
        <w:jc w:val="center"/>
        <w:rPr>
          <w:rFonts w:hint="eastAsia" w:ascii="Times New Roman" w:hAnsi="Times New Roman" w:eastAsia="方正小标宋_GBK"/>
          <w:color w:val="auto"/>
          <w:sz w:val="44"/>
          <w:szCs w:val="32"/>
          <w:lang w:eastAsia="zh-CN"/>
        </w:rPr>
      </w:pPr>
      <w:r>
        <w:rPr>
          <w:rFonts w:hint="eastAsia" w:ascii="Times New Roman" w:hAnsi="Times New Roman" w:eastAsia="方正小标宋_GBK"/>
          <w:color w:val="auto"/>
          <w:sz w:val="44"/>
          <w:szCs w:val="32"/>
        </w:rPr>
        <w:t>璧山</w:t>
      </w:r>
      <w:r>
        <w:rPr>
          <w:rFonts w:ascii="Times New Roman" w:hAnsi="Times New Roman" w:eastAsia="方正小标宋_GBK"/>
          <w:color w:val="auto"/>
          <w:sz w:val="44"/>
          <w:szCs w:val="32"/>
        </w:rPr>
        <w:t>区</w:t>
      </w:r>
      <w:r>
        <w:rPr>
          <w:rFonts w:hint="eastAsia" w:ascii="Times New Roman" w:hAnsi="Times New Roman" w:eastAsia="方正小标宋_GBK"/>
          <w:color w:val="auto"/>
          <w:sz w:val="44"/>
          <w:szCs w:val="32"/>
          <w:lang w:val="en-US" w:eastAsia="zh-CN"/>
        </w:rPr>
        <w:t>征地拆迁事务中心</w:t>
      </w:r>
    </w:p>
    <w:p>
      <w:pPr>
        <w:pStyle w:val="12"/>
        <w:spacing w:line="596" w:lineRule="exact"/>
        <w:ind w:left="359" w:leftChars="171" w:firstLine="1100" w:firstLineChars="250"/>
        <w:rPr>
          <w:rFonts w:ascii="Times New Roman" w:hAnsi="Times New Roman" w:eastAsia="方正小标宋_GBK"/>
          <w:sz w:val="44"/>
          <w:szCs w:val="32"/>
        </w:rPr>
      </w:pPr>
      <w:r>
        <w:rPr>
          <w:rFonts w:hint="eastAsia" w:ascii="Times New Roman" w:hAnsi="Times New Roman" w:eastAsia="方正小标宋_GBK"/>
          <w:sz w:val="44"/>
          <w:szCs w:val="32"/>
        </w:rPr>
        <w:t>2022</w:t>
      </w:r>
      <w:r>
        <w:rPr>
          <w:rFonts w:ascii="Times New Roman" w:hAnsi="Times New Roman" w:eastAsia="方正小标宋_GBK"/>
          <w:sz w:val="44"/>
          <w:szCs w:val="32"/>
        </w:rPr>
        <w:t>年</w:t>
      </w:r>
      <w:r>
        <w:rPr>
          <w:rFonts w:hint="eastAsia" w:ascii="Times New Roman" w:hAnsi="Times New Roman" w:eastAsia="方正小标宋_GBK"/>
          <w:sz w:val="44"/>
          <w:szCs w:val="32"/>
        </w:rPr>
        <w:t>度</w:t>
      </w:r>
      <w:r>
        <w:rPr>
          <w:rFonts w:ascii="Times New Roman" w:hAnsi="Times New Roman" w:eastAsia="方正小标宋_GBK"/>
          <w:sz w:val="44"/>
          <w:szCs w:val="32"/>
        </w:rPr>
        <w:t>整体支出绩效</w:t>
      </w:r>
      <w:r>
        <w:rPr>
          <w:rFonts w:hint="eastAsia" w:ascii="Times New Roman" w:hAnsi="Times New Roman" w:eastAsia="方正小标宋_GBK"/>
          <w:sz w:val="44"/>
          <w:szCs w:val="32"/>
        </w:rPr>
        <w:t>自评</w:t>
      </w:r>
      <w:r>
        <w:rPr>
          <w:rFonts w:ascii="Times New Roman" w:hAnsi="Times New Roman" w:eastAsia="方正小标宋_GBK"/>
          <w:sz w:val="44"/>
          <w:szCs w:val="32"/>
        </w:rPr>
        <w:t>报告</w:t>
      </w:r>
    </w:p>
    <w:p>
      <w:pPr>
        <w:pStyle w:val="12"/>
        <w:spacing w:line="596" w:lineRule="exact"/>
        <w:ind w:left="357" w:firstLine="640"/>
        <w:rPr>
          <w:rFonts w:ascii="Times New Roman" w:hAnsi="Times New Roman" w:eastAsia="方正仿宋_GBK"/>
          <w:sz w:val="32"/>
          <w:szCs w:val="32"/>
        </w:rPr>
      </w:pPr>
    </w:p>
    <w:p>
      <w:pPr>
        <w:spacing w:line="596"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一、基本</w:t>
      </w:r>
      <w:r>
        <w:rPr>
          <w:rFonts w:hint="eastAsia" w:ascii="Times New Roman" w:hAnsi="Times New Roman" w:eastAsia="方正黑体_GBK"/>
          <w:sz w:val="32"/>
          <w:szCs w:val="32"/>
        </w:rPr>
        <w:t>情况</w:t>
      </w:r>
    </w:p>
    <w:p>
      <w:pPr>
        <w:spacing w:line="59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w:t>
      </w:r>
      <w:r>
        <w:rPr>
          <w:rFonts w:hint="eastAsia" w:ascii="Times New Roman" w:hAnsi="Times New Roman" w:eastAsia="方正仿宋_GBK"/>
          <w:color w:val="000000" w:themeColor="text1"/>
          <w:sz w:val="32"/>
          <w:szCs w:val="32"/>
        </w:rPr>
        <w:t>部门（单位）</w:t>
      </w:r>
      <w:r>
        <w:rPr>
          <w:rFonts w:hint="eastAsia" w:ascii="Times New Roman" w:hAnsi="Times New Roman" w:eastAsia="方正仿宋_GBK"/>
          <w:sz w:val="32"/>
          <w:szCs w:val="32"/>
        </w:rPr>
        <w:t>基本情况</w:t>
      </w:r>
      <w:r>
        <w:rPr>
          <w:rFonts w:ascii="Times New Roman" w:hAnsi="Times New Roman" w:eastAsia="方正仿宋_GBK"/>
          <w:sz w:val="32"/>
          <w:szCs w:val="32"/>
        </w:rPr>
        <w:t>。</w:t>
      </w:r>
    </w:p>
    <w:p>
      <w:pPr>
        <w:spacing w:line="59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1、部门</w:t>
      </w:r>
      <w:r>
        <w:rPr>
          <w:rFonts w:hint="eastAsia" w:ascii="Times New Roman" w:hAnsi="Times New Roman" w:eastAsia="方正仿宋_GBK"/>
          <w:color w:val="000000" w:themeColor="text1"/>
          <w:sz w:val="32"/>
          <w:szCs w:val="32"/>
        </w:rPr>
        <w:t>（单位）</w:t>
      </w:r>
      <w:r>
        <w:rPr>
          <w:rFonts w:hint="eastAsia" w:ascii="Times New Roman" w:hAnsi="Times New Roman" w:eastAsia="方正仿宋_GBK"/>
          <w:sz w:val="32"/>
          <w:szCs w:val="32"/>
        </w:rPr>
        <w:t>职级</w:t>
      </w:r>
    </w:p>
    <w:p>
      <w:pPr>
        <w:spacing w:line="560" w:lineRule="exact"/>
        <w:ind w:firstLine="640" w:firstLineChars="200"/>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sz w:val="32"/>
          <w:szCs w:val="32"/>
        </w:rPr>
        <w:t>重庆市璧山区征地拆迁事务中心为重庆市璧山区人民政府办公室管理的财政全额补助公益一类事业</w:t>
      </w:r>
      <w:r>
        <w:rPr>
          <w:rFonts w:hint="eastAsia" w:ascii="Times New Roman" w:hAnsi="Times New Roman" w:eastAsia="方正仿宋_GBK"/>
          <w:sz w:val="32"/>
          <w:szCs w:val="32"/>
          <w:highlight w:val="none"/>
        </w:rPr>
        <w:t>单位，副处级</w:t>
      </w:r>
      <w:r>
        <w:rPr>
          <w:rFonts w:hint="eastAsia" w:ascii="Times New Roman" w:hAnsi="Times New Roman" w:eastAsia="方正仿宋_GBK" w:cs="方正仿宋_GBK"/>
          <w:color w:val="auto"/>
          <w:sz w:val="32"/>
          <w:szCs w:val="32"/>
          <w:highlight w:val="none"/>
        </w:rPr>
        <w:t>。</w:t>
      </w:r>
    </w:p>
    <w:p>
      <w:pPr>
        <w:spacing w:line="59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2、内设机构及编制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重庆市璧山区征地拆迁事务中心核定事业编制18名（干部17名，工人1名）。其中：主任1名，副主任2名；内设机构科级领导职数4名。</w:t>
      </w:r>
    </w:p>
    <w:p>
      <w:pPr>
        <w:spacing w:line="594" w:lineRule="exact"/>
        <w:ind w:left="-30" w:firstLine="640"/>
        <w:rPr>
          <w:rFonts w:ascii="Times New Roman" w:hAnsi="Times New Roman" w:eastAsia="方正仿宋_GBK"/>
          <w:sz w:val="32"/>
          <w:szCs w:val="32"/>
        </w:rPr>
      </w:pPr>
      <w:r>
        <w:rPr>
          <w:rFonts w:hint="eastAsia" w:ascii="Times New Roman" w:hAnsi="Times New Roman" w:eastAsia="方正仿宋_GBK"/>
          <w:color w:val="auto"/>
          <w:sz w:val="32"/>
          <w:szCs w:val="32"/>
        </w:rPr>
        <w:t>内设机构</w:t>
      </w:r>
      <w:r>
        <w:rPr>
          <w:rFonts w:hint="eastAsia" w:ascii="Times New Roman" w:hAnsi="Times New Roman" w:eastAsia="方正仿宋_GBK"/>
          <w:color w:val="auto"/>
          <w:sz w:val="32"/>
          <w:szCs w:val="32"/>
          <w:lang w:val="en-US" w:eastAsia="zh-CN"/>
        </w:rPr>
        <w:t>包括</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综合科、财务科、征地科、安置事务科</w:t>
      </w:r>
      <w:r>
        <w:rPr>
          <w:rFonts w:ascii="Times New Roman" w:hAnsi="Times New Roman" w:eastAsia="方正仿宋_GBK"/>
          <w:sz w:val="32"/>
          <w:szCs w:val="32"/>
        </w:rPr>
        <w:t>。</w:t>
      </w:r>
    </w:p>
    <w:p>
      <w:pPr>
        <w:spacing w:line="59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、部门</w:t>
      </w:r>
      <w:r>
        <w:rPr>
          <w:rFonts w:hint="eastAsia" w:ascii="Times New Roman" w:hAnsi="Times New Roman" w:eastAsia="方正仿宋_GBK"/>
          <w:color w:val="000000" w:themeColor="text1"/>
          <w:sz w:val="32"/>
          <w:szCs w:val="32"/>
        </w:rPr>
        <w:t>（单位）</w:t>
      </w:r>
      <w:r>
        <w:rPr>
          <w:rFonts w:hint="eastAsia" w:ascii="Times New Roman" w:hAnsi="Times New Roman" w:eastAsia="方正仿宋_GBK"/>
          <w:sz w:val="32"/>
          <w:szCs w:val="32"/>
        </w:rPr>
        <w:t>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sz w:val="32"/>
          <w:szCs w:val="32"/>
        </w:rPr>
        <w:t>在区</w:t>
      </w:r>
      <w:r>
        <w:rPr>
          <w:rFonts w:hint="eastAsia" w:ascii="Times New Roman" w:hAnsi="Times New Roman" w:eastAsia="方正仿宋_GBK"/>
          <w:sz w:val="32"/>
          <w:szCs w:val="32"/>
        </w:rPr>
        <w:t>规划自然资源部门指导下，按规定完成征地任务，保障建设用地需要。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sz w:val="32"/>
          <w:szCs w:val="32"/>
        </w:rPr>
        <w:t>按规定负责拟订、发布征地公告并征求意见，依法实施补偿安置等事务工作。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3</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sz w:val="32"/>
          <w:szCs w:val="32"/>
        </w:rPr>
        <w:t>协助区规划自然资源部门实施征地依法报批前的相关告知事务工作，参与听证的相关工作。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4</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sz w:val="32"/>
          <w:szCs w:val="32"/>
        </w:rPr>
        <w:t>组织开展征地补偿安置政策宣传，负责拟征收土地现状调查、结果确认等事务工作，协助区规划自然资源部门拟订征收土地方案。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5</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sz w:val="32"/>
          <w:szCs w:val="32"/>
        </w:rPr>
        <w:t>负责全区征地涉及的相关事务性工作。协助区规划自然资源部门拟订全区</w:t>
      </w:r>
      <w:r>
        <w:rPr>
          <w:rFonts w:hint="eastAsia" w:ascii="Times New Roman" w:hAnsi="Times New Roman" w:eastAsia="方正仿宋_GBK" w:cs="方正仿宋_GBK"/>
          <w:sz w:val="32"/>
          <w:szCs w:val="32"/>
        </w:rPr>
        <w:t>征地补偿安置配套政策</w:t>
      </w:r>
      <w:r>
        <w:rPr>
          <w:rFonts w:hint="eastAsia" w:ascii="Times New Roman" w:hAnsi="Times New Roman" w:eastAsia="方正仿宋_GBK"/>
          <w:sz w:val="32"/>
          <w:szCs w:val="32"/>
        </w:rPr>
        <w:t>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6</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sz w:val="32"/>
          <w:szCs w:val="32"/>
        </w:rPr>
        <w:t>负责组织拆除征地范围内房屋及构附着物。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7</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sz w:val="32"/>
          <w:szCs w:val="32"/>
        </w:rPr>
        <w:t>负责征地拆迁补偿安置工作社情民意收集、矛盾纠纷排查、信访稳定处置和行政复议、诉讼案件的应诉和调处等事务工作。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8</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sz w:val="32"/>
          <w:szCs w:val="32"/>
        </w:rPr>
        <w:t>负责征地实施档案的搜集、归卷及管理等事务工作</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9</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sz w:val="32"/>
          <w:szCs w:val="32"/>
        </w:rPr>
        <w:t>承办区委、区政府及主管部门交办的其他事项。</w:t>
      </w:r>
    </w:p>
    <w:p>
      <w:pPr>
        <w:spacing w:line="596" w:lineRule="exact"/>
        <w:ind w:firstLine="640" w:firstLineChars="200"/>
        <w:outlineLvl w:val="1"/>
        <w:rPr>
          <w:rFonts w:hint="eastAsia" w:ascii="Times New Roman" w:hAnsi="Times New Roman" w:eastAsia="方正仿宋_GBK"/>
          <w:sz w:val="32"/>
          <w:szCs w:val="32"/>
          <w:lang w:eastAsia="zh-CN"/>
        </w:rPr>
      </w:pPr>
      <w:bookmarkStart w:id="0" w:name="_Toc18868"/>
      <w:r>
        <w:rPr>
          <w:rFonts w:hint="eastAsia" w:ascii="Times New Roman" w:hAnsi="Times New Roman" w:eastAsia="方正仿宋_GBK"/>
          <w:sz w:val="32"/>
          <w:szCs w:val="32"/>
          <w:lang w:eastAsia="zh-CN"/>
        </w:rPr>
        <w:t>（二）预算及支出情况</w:t>
      </w:r>
      <w:bookmarkEnd w:id="0"/>
    </w:p>
    <w:p>
      <w:pPr>
        <w:pStyle w:val="6"/>
        <w:keepNext w:val="0"/>
        <w:keepLines w:val="0"/>
        <w:widowControl/>
        <w:suppressLineNumbers w:val="0"/>
        <w:spacing w:before="0" w:beforeAutospacing="0" w:after="0" w:afterAutospacing="0" w:line="600" w:lineRule="exact"/>
        <w:ind w:left="0" w:right="0" w:firstLine="420"/>
        <w:jc w:val="both"/>
        <w:rPr>
          <w:rFonts w:ascii="Times New Roman" w:hAnsi="Times New Roman" w:eastAsia="方正仿宋_GBK" w:cs="Times New Roman"/>
          <w:kern w:val="2"/>
          <w:sz w:val="32"/>
          <w:szCs w:val="32"/>
          <w:highlight w:val="none"/>
          <w:lang w:val="en-US" w:eastAsia="zh-CN" w:bidi="ar-SA"/>
        </w:rPr>
      </w:pPr>
      <w:r>
        <w:rPr>
          <w:rFonts w:ascii="Times New Roman" w:hAnsi="Times New Roman" w:eastAsia="方正仿宋_GBK" w:cs="Times New Roman"/>
          <w:kern w:val="2"/>
          <w:sz w:val="32"/>
          <w:szCs w:val="32"/>
          <w:highlight w:val="none"/>
          <w:lang w:val="en-US" w:eastAsia="zh-CN" w:bidi="ar-SA"/>
        </w:rPr>
        <w:t>202</w:t>
      </w:r>
      <w:r>
        <w:rPr>
          <w:rFonts w:hint="eastAsia" w:ascii="Times New Roman" w:hAnsi="Times New Roman" w:eastAsia="方正仿宋_GBK" w:cs="Times New Roman"/>
          <w:kern w:val="2"/>
          <w:sz w:val="32"/>
          <w:szCs w:val="32"/>
          <w:highlight w:val="none"/>
          <w:lang w:val="en-US" w:eastAsia="zh-CN" w:bidi="ar-SA"/>
        </w:rPr>
        <w:t>2年财政资金年初支出预算为5366865.22元，年中调整预算为4277908.62元，上年结转34304.45元，调整后支出预算为4312213.07元；年末支出决算为4312213.07元，年末结转和结余为</w:t>
      </w:r>
      <w:r>
        <w:rPr>
          <w:rFonts w:hint="eastAsia" w:ascii="Times New Roman" w:hAnsi="Times New Roman" w:eastAsia="方正仿宋_GBK" w:cs="Times New Roman"/>
          <w:kern w:val="2"/>
          <w:sz w:val="32"/>
          <w:szCs w:val="32"/>
          <w:highlight w:val="none"/>
          <w:lang w:val="en-US" w:eastAsia="zh-CN" w:bidi="ar-SA"/>
        </w:rPr>
        <w:t>0.00</w:t>
      </w:r>
      <w:r>
        <w:rPr>
          <w:rFonts w:hint="eastAsia" w:ascii="Times New Roman" w:hAnsi="Times New Roman" w:eastAsia="方正仿宋_GBK" w:cs="Times New Roman"/>
          <w:kern w:val="2"/>
          <w:sz w:val="32"/>
          <w:szCs w:val="32"/>
          <w:highlight w:val="none"/>
          <w:lang w:val="en-US" w:eastAsia="zh-CN" w:bidi="ar-SA"/>
        </w:rPr>
        <w:t>元。</w:t>
      </w:r>
    </w:p>
    <w:p>
      <w:pPr>
        <w:spacing w:line="596"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w:t>
      </w:r>
      <w:r>
        <w:rPr>
          <w:rFonts w:hint="eastAsia" w:ascii="Times New Roman" w:hAnsi="Times New Roman" w:eastAsia="方正黑体_GBK"/>
          <w:sz w:val="32"/>
          <w:szCs w:val="32"/>
        </w:rPr>
        <w:t>主要成效</w:t>
      </w:r>
    </w:p>
    <w:p>
      <w:pPr>
        <w:spacing w:line="596" w:lineRule="exact"/>
        <w:ind w:firstLine="640" w:firstLineChars="200"/>
        <w:rPr>
          <w:rFonts w:hint="eastAsia" w:ascii="Times New Roman" w:hAnsi="Times New Roman" w:eastAsia="方正仿宋_GBK"/>
          <w:color w:val="FF0000"/>
          <w:sz w:val="32"/>
          <w:szCs w:val="32"/>
        </w:rPr>
      </w:pPr>
      <w:r>
        <w:rPr>
          <w:rFonts w:hint="eastAsia" w:ascii="Times New Roman" w:hAnsi="Times New Roman" w:eastAsia="方正仿宋_GBK"/>
          <w:color w:val="auto"/>
          <w:sz w:val="32"/>
          <w:szCs w:val="32"/>
          <w:lang w:val="en-US" w:eastAsia="zh-CN"/>
        </w:rPr>
        <w:t>单位</w:t>
      </w:r>
      <w:r>
        <w:rPr>
          <w:rFonts w:ascii="Times New Roman" w:hAnsi="Times New Roman" w:eastAsia="方正仿宋_GBK"/>
          <w:sz w:val="32"/>
          <w:szCs w:val="32"/>
        </w:rPr>
        <w:t>围绕全区中心工作，按照有关部署和要求</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稳步推进</w:t>
      </w:r>
      <w:r>
        <w:rPr>
          <w:rFonts w:hint="eastAsia" w:ascii="Times New Roman" w:hAnsi="Times New Roman" w:eastAsia="方正仿宋_GBK"/>
          <w:sz w:val="32"/>
          <w:szCs w:val="32"/>
          <w:lang w:val="en-US" w:eastAsia="zh-CN"/>
        </w:rPr>
        <w:t>了</w:t>
      </w:r>
      <w:r>
        <w:rPr>
          <w:rFonts w:ascii="Times New Roman" w:hAnsi="Times New Roman" w:eastAsia="方正仿宋_GBK"/>
          <w:sz w:val="32"/>
          <w:szCs w:val="32"/>
        </w:rPr>
        <w:t>征地拆迁工作的顺利开展</w:t>
      </w:r>
      <w:r>
        <w:rPr>
          <w:rFonts w:hint="eastAsia" w:ascii="Times New Roman" w:hAnsi="Times New Roman" w:eastAsia="方正仿宋_GBK"/>
          <w:sz w:val="32"/>
          <w:szCs w:val="32"/>
          <w:lang w:eastAsia="zh-CN"/>
        </w:rPr>
        <w:t>，</w:t>
      </w:r>
      <w:r>
        <w:rPr>
          <w:rFonts w:hint="eastAsia" w:ascii="Times New Roman" w:hAnsi="Times New Roman" w:eastAsia="方正仿宋_GBK"/>
          <w:color w:val="auto"/>
          <w:sz w:val="32"/>
          <w:szCs w:val="32"/>
          <w:lang w:val="en-US" w:eastAsia="zh-CN"/>
        </w:rPr>
        <w:t>完成实施了璧山区城市规划建设项目征地拆迁等10个拆迁项目，面积共4000余亩，保障了全区建设用地需要；按照要求，完成了对各街镇征地拆迁工作的业务指导和培训，有助于拆迁工作的有序执行；认真开展了信访稳定工作，办结征地拆迁信访调节工作15余次，接待来访群众600余人次，办结率100%；选取了质量优良率较高的法律服务，贴合工作目标的要求及需要，及时处理了工作中遇到的法律问题；保证了2辆公务车运行供给，切实保障了全区征地拆迁工作处理的及时性</w:t>
      </w:r>
      <w:r>
        <w:rPr>
          <w:rFonts w:hint="eastAsia" w:ascii="Times New Roman" w:hAnsi="Times New Roman" w:eastAsia="方正仿宋_GBK"/>
          <w:color w:val="auto"/>
          <w:sz w:val="32"/>
          <w:szCs w:val="32"/>
        </w:rPr>
        <w:t>，有效提高璧山区公共服务效率。</w:t>
      </w:r>
    </w:p>
    <w:p>
      <w:pPr>
        <w:spacing w:line="596"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三、绩效</w:t>
      </w:r>
      <w:r>
        <w:rPr>
          <w:rFonts w:ascii="Times New Roman" w:hAnsi="Times New Roman" w:eastAsia="方正黑体_GBK"/>
          <w:sz w:val="32"/>
          <w:szCs w:val="32"/>
        </w:rPr>
        <w:t>评价情况及结论</w:t>
      </w:r>
    </w:p>
    <w:p>
      <w:pPr>
        <w:spacing w:line="596"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sz w:val="32"/>
          <w:szCs w:val="32"/>
        </w:rPr>
        <w:t>根据《</w:t>
      </w:r>
      <w:r>
        <w:rPr>
          <w:rFonts w:hint="eastAsia" w:ascii="Times New Roman" w:hAnsi="Times New Roman" w:eastAsia="方正仿宋_GBK"/>
          <w:color w:val="auto"/>
          <w:sz w:val="32"/>
          <w:szCs w:val="32"/>
          <w:lang w:val="en-US" w:eastAsia="zh-CN"/>
        </w:rPr>
        <w:t>璧山区征地拆迁事务中心</w:t>
      </w:r>
      <w:r>
        <w:rPr>
          <w:rFonts w:hint="eastAsia" w:ascii="Times New Roman" w:hAnsi="Times New Roman" w:eastAsia="方正仿宋_GBK"/>
          <w:color w:val="auto"/>
          <w:sz w:val="32"/>
          <w:szCs w:val="32"/>
        </w:rPr>
        <w:t>2022</w:t>
      </w:r>
      <w:r>
        <w:rPr>
          <w:rFonts w:hint="eastAsia" w:ascii="Times New Roman" w:hAnsi="Times New Roman" w:eastAsia="方正仿宋_GBK"/>
          <w:sz w:val="32"/>
          <w:szCs w:val="32"/>
        </w:rPr>
        <w:t>年度部门整体支出绩效自评表》中的指标体系分析情况，</w:t>
      </w:r>
      <w:r>
        <w:rPr>
          <w:rFonts w:hint="eastAsia" w:ascii="Times New Roman" w:hAnsi="Times New Roman" w:eastAsia="方正仿宋_GBK"/>
          <w:color w:val="auto"/>
          <w:sz w:val="32"/>
          <w:szCs w:val="32"/>
          <w:lang w:val="en-US" w:eastAsia="zh-CN"/>
        </w:rPr>
        <w:t>璧山区征地拆迁事务中心</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年度部门整体支出绩效自评总</w:t>
      </w:r>
      <w:r>
        <w:rPr>
          <w:rFonts w:hint="eastAsia" w:ascii="Times New Roman" w:hAnsi="Times New Roman" w:eastAsia="方正仿宋_GBK"/>
          <w:color w:val="auto"/>
          <w:sz w:val="32"/>
          <w:szCs w:val="32"/>
        </w:rPr>
        <w:t>得分</w:t>
      </w:r>
      <w:r>
        <w:rPr>
          <w:rFonts w:hint="eastAsia" w:ascii="Times New Roman" w:hAnsi="Times New Roman" w:eastAsia="方正仿宋_GBK"/>
          <w:color w:val="auto"/>
          <w:sz w:val="32"/>
          <w:szCs w:val="32"/>
          <w:lang w:val="en-US" w:eastAsia="zh-CN"/>
        </w:rPr>
        <w:t>95</w:t>
      </w:r>
      <w:r>
        <w:rPr>
          <w:rFonts w:hint="eastAsia" w:ascii="Times New Roman" w:hAnsi="Times New Roman" w:eastAsia="方正仿宋_GBK"/>
          <w:color w:val="auto"/>
          <w:sz w:val="32"/>
          <w:szCs w:val="32"/>
        </w:rPr>
        <w:t>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600" w:lineRule="exact"/>
        <w:ind w:left="0" w:right="0" w:firstLine="560" w:firstLineChars="200"/>
        <w:jc w:val="center"/>
        <w:textAlignment w:val="auto"/>
        <w:rPr>
          <w:rFonts w:hint="eastAsia" w:ascii="Times New Roman" w:hAnsi="Times New Roman" w:eastAsia="方正仿宋_GBK" w:cs="方正仿宋_GBK"/>
          <w:color w:val="auto"/>
          <w:kern w:val="0"/>
          <w:sz w:val="28"/>
          <w:szCs w:val="28"/>
          <w:highlight w:val="none"/>
          <w:shd w:val="clear" w:color="auto" w:fill="FFFFFF"/>
          <w:lang w:val="en-US" w:eastAsia="zh-CN"/>
        </w:rPr>
      </w:pPr>
      <w:r>
        <w:rPr>
          <w:rFonts w:hint="eastAsia" w:ascii="Times New Roman" w:hAnsi="Times New Roman" w:eastAsia="方正仿宋_GBK" w:cs="方正仿宋_GBK"/>
          <w:color w:val="auto"/>
          <w:kern w:val="0"/>
          <w:sz w:val="28"/>
          <w:szCs w:val="28"/>
          <w:highlight w:val="none"/>
          <w:shd w:val="clear" w:color="auto" w:fill="FFFFFF"/>
          <w:lang w:val="en-US" w:eastAsia="zh-CN"/>
        </w:rPr>
        <w:t>表 1：指标得分情况</w:t>
      </w:r>
    </w:p>
    <w:tbl>
      <w:tblPr>
        <w:tblStyle w:val="7"/>
        <w:tblW w:w="44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5"/>
        <w:gridCol w:w="1457"/>
        <w:gridCol w:w="1457"/>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指标名称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权重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得分</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预算执行率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预决算编制及时率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预决算公开率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实施全区征地拆迁工作任务</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方正仿宋_GBK"/>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征地拆迁项目档案完成率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街镇征地拆迁工作培训完成率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完成征地拆迁信访调解工作</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15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公务车运行保障工作</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法律咨询工作</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提高工作人员业务能力</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FF0000"/>
                <w:kern w:val="2"/>
                <w:sz w:val="24"/>
                <w:szCs w:val="24"/>
                <w:u w:val="none"/>
                <w:lang w:val="en-US" w:eastAsia="zh-CN" w:bidi="ar-SA"/>
              </w:rPr>
            </w:pPr>
            <w:r>
              <w:rPr>
                <w:rFonts w:hint="eastAsia" w:ascii="Times New Roman" w:hAnsi="Times New Roman" w:eastAsia="仿宋" w:cs="仿宋"/>
                <w:i w:val="0"/>
                <w:iCs w:val="0"/>
                <w:color w:val="000000"/>
                <w:kern w:val="0"/>
                <w:sz w:val="24"/>
                <w:szCs w:val="24"/>
                <w:u w:val="none"/>
                <w:lang w:val="en-US" w:eastAsia="zh-CN" w:bidi="ar"/>
              </w:rPr>
              <w:t>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FF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50%</w:t>
            </w:r>
          </w:p>
        </w:tc>
      </w:tr>
    </w:tbl>
    <w:p>
      <w:pPr>
        <w:spacing w:line="596"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1、预算执行率分析</w:t>
      </w:r>
    </w:p>
    <w:p>
      <w:pPr>
        <w:spacing w:line="596"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单位全年预算数为</w:t>
      </w:r>
      <w:r>
        <w:rPr>
          <w:rFonts w:hint="eastAsia" w:ascii="Times New Roman" w:hAnsi="Times New Roman" w:eastAsia="方正仿宋_GBK"/>
          <w:color w:val="auto"/>
          <w:sz w:val="32"/>
          <w:szCs w:val="32"/>
          <w:lang w:val="en-US"/>
        </w:rPr>
        <w:t>4277908.62元，</w:t>
      </w:r>
      <w:r>
        <w:rPr>
          <w:rFonts w:hint="eastAsia" w:ascii="Times New Roman" w:hAnsi="Times New Roman" w:eastAsia="方正仿宋_GBK"/>
          <w:color w:val="auto"/>
          <w:sz w:val="32"/>
          <w:szCs w:val="32"/>
          <w:lang w:val="en-US" w:eastAsia="zh-CN"/>
        </w:rPr>
        <w:t>2022</w:t>
      </w:r>
      <w:r>
        <w:rPr>
          <w:rFonts w:hint="eastAsia" w:ascii="Times New Roman" w:hAnsi="Times New Roman" w:eastAsia="方正仿宋_GBK"/>
          <w:color w:val="auto"/>
          <w:sz w:val="32"/>
          <w:szCs w:val="32"/>
        </w:rPr>
        <w:t>年执行支出数</w:t>
      </w:r>
      <w:r>
        <w:rPr>
          <w:rFonts w:hint="eastAsia" w:ascii="Times New Roman" w:hAnsi="Times New Roman" w:eastAsia="方正仿宋_GBK"/>
          <w:color w:val="auto"/>
          <w:sz w:val="32"/>
          <w:szCs w:val="32"/>
          <w:lang w:val="en-US"/>
        </w:rPr>
        <w:t>4277908.62元</w:t>
      </w:r>
      <w:r>
        <w:rPr>
          <w:rFonts w:hint="eastAsia" w:ascii="Times New Roman" w:hAnsi="Times New Roman" w:eastAsia="方正仿宋_GBK"/>
          <w:color w:val="auto"/>
          <w:sz w:val="32"/>
          <w:szCs w:val="32"/>
          <w:lang w:val="en-US" w:eastAsia="zh-CN"/>
        </w:rPr>
        <w:t>，完成预算</w:t>
      </w:r>
      <w:r>
        <w:rPr>
          <w:rFonts w:hint="eastAsia" w:ascii="Times New Roman" w:hAnsi="Times New Roman" w:eastAsia="方正仿宋_GBK"/>
          <w:color w:val="auto"/>
          <w:sz w:val="32"/>
          <w:szCs w:val="32"/>
          <w:lang w:val="en-US"/>
        </w:rPr>
        <w:t>执行率为</w:t>
      </w:r>
      <w:r>
        <w:rPr>
          <w:rFonts w:hint="eastAsia" w:ascii="Times New Roman" w:hAnsi="Times New Roman" w:eastAsia="方正仿宋_GBK"/>
          <w:color w:val="auto"/>
          <w:sz w:val="32"/>
          <w:szCs w:val="32"/>
          <w:lang w:val="en-US" w:eastAsia="zh-CN"/>
        </w:rPr>
        <w:t>100</w:t>
      </w:r>
      <w:r>
        <w:rPr>
          <w:rFonts w:hint="eastAsia" w:ascii="Times New Roman" w:hAnsi="Times New Roman" w:eastAsia="方正仿宋_GBK"/>
          <w:color w:val="auto"/>
          <w:sz w:val="32"/>
          <w:szCs w:val="32"/>
          <w:lang w:val="en-US"/>
        </w:rPr>
        <w:t>%。</w:t>
      </w:r>
      <w:r>
        <w:rPr>
          <w:rFonts w:hint="eastAsia" w:ascii="Times New Roman" w:hAnsi="Times New Roman" w:eastAsia="方正仿宋_GBK"/>
          <w:color w:val="auto"/>
          <w:sz w:val="32"/>
          <w:szCs w:val="32"/>
        </w:rPr>
        <w:t>项目执行情况良好，及时发放了人员经费、公用经费，保障了</w:t>
      </w:r>
      <w:r>
        <w:rPr>
          <w:rFonts w:hint="eastAsia" w:ascii="Times New Roman" w:hAnsi="Times New Roman" w:eastAsia="方正仿宋_GBK"/>
          <w:color w:val="auto"/>
          <w:sz w:val="32"/>
          <w:szCs w:val="32"/>
          <w:lang w:val="en-US" w:eastAsia="zh-CN"/>
        </w:rPr>
        <w:t>单位</w:t>
      </w:r>
      <w:r>
        <w:rPr>
          <w:rFonts w:hint="eastAsia" w:ascii="Times New Roman" w:hAnsi="Times New Roman" w:eastAsia="方正仿宋_GBK"/>
          <w:color w:val="auto"/>
          <w:sz w:val="32"/>
          <w:szCs w:val="32"/>
        </w:rPr>
        <w:t>正常</w:t>
      </w:r>
      <w:r>
        <w:rPr>
          <w:rFonts w:hint="eastAsia" w:ascii="Times New Roman" w:hAnsi="Times New Roman" w:eastAsia="方正仿宋_GBK"/>
          <w:color w:val="auto"/>
          <w:sz w:val="32"/>
          <w:szCs w:val="32"/>
          <w:lang w:val="en-US" w:eastAsia="zh-CN"/>
        </w:rPr>
        <w:t>有序</w:t>
      </w:r>
      <w:r>
        <w:rPr>
          <w:rFonts w:hint="eastAsia" w:ascii="Times New Roman" w:hAnsi="Times New Roman" w:eastAsia="方正仿宋_GBK"/>
          <w:color w:val="auto"/>
          <w:sz w:val="32"/>
          <w:szCs w:val="32"/>
        </w:rPr>
        <w:t>运转。根据评价标准，该指标得100%权重分。</w:t>
      </w:r>
    </w:p>
    <w:p>
      <w:pPr>
        <w:numPr>
          <w:ilvl w:val="0"/>
          <w:numId w:val="1"/>
        </w:num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预决算编制及时率</w:t>
      </w:r>
    </w:p>
    <w:p>
      <w:pPr>
        <w:keepNext w:val="0"/>
        <w:keepLines w:val="0"/>
        <w:pageBreakBefore w:val="0"/>
        <w:widowControl/>
        <w:shd w:val="clear" w:color="auto"/>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rPr>
      </w:pPr>
      <w:r>
        <w:rPr>
          <w:rFonts w:hint="eastAsia" w:ascii="Times New Roman" w:hAnsi="Times New Roman" w:eastAsia="方正仿宋_GBK"/>
          <w:color w:val="auto"/>
          <w:sz w:val="32"/>
          <w:szCs w:val="32"/>
          <w:lang w:val="en-US" w:eastAsia="zh-CN"/>
        </w:rPr>
        <w:t>按照相关文件规定，单位</w:t>
      </w:r>
      <w:r>
        <w:rPr>
          <w:rFonts w:hint="eastAsia" w:ascii="Times New Roman" w:hAnsi="Times New Roman" w:eastAsia="方正仿宋_GBK"/>
          <w:color w:val="auto"/>
          <w:sz w:val="32"/>
          <w:szCs w:val="32"/>
          <w:highlight w:val="none"/>
          <w:lang w:val="en-US" w:eastAsia="zh-CN"/>
        </w:rPr>
        <w:t>及时准确编制部门预决算，细化年初预算编制内容，精心研究分析，</w:t>
      </w:r>
      <w:r>
        <w:rPr>
          <w:rFonts w:hint="eastAsia" w:ascii="Times New Roman" w:hAnsi="Times New Roman" w:eastAsia="方正仿宋_GBK"/>
          <w:color w:val="auto"/>
          <w:sz w:val="32"/>
          <w:szCs w:val="32"/>
          <w:lang w:val="en-US" w:eastAsia="zh-CN"/>
        </w:rPr>
        <w:t>确保了</w:t>
      </w:r>
      <w:r>
        <w:rPr>
          <w:rFonts w:hint="eastAsia" w:ascii="Times New Roman" w:hAnsi="Times New Roman" w:eastAsia="方正仿宋_GBK"/>
          <w:color w:val="auto"/>
          <w:sz w:val="32"/>
          <w:szCs w:val="32"/>
        </w:rPr>
        <w:t>预算编制的准确性及科学性</w:t>
      </w:r>
      <w:r>
        <w:rPr>
          <w:rFonts w:hint="eastAsia" w:ascii="Times New Roman" w:hAnsi="Times New Roman" w:eastAsia="方正仿宋_GBK"/>
          <w:color w:val="auto"/>
          <w:sz w:val="32"/>
          <w:szCs w:val="32"/>
          <w:highlight w:val="none"/>
          <w:lang w:val="en-US" w:eastAsia="zh-CN"/>
        </w:rPr>
        <w:t>，提高财政资金使用效率。</w:t>
      </w:r>
      <w:r>
        <w:rPr>
          <w:rFonts w:hint="eastAsia" w:ascii="Times New Roman" w:hAnsi="Times New Roman" w:eastAsia="方正仿宋_GBK"/>
          <w:color w:val="auto"/>
          <w:sz w:val="32"/>
          <w:szCs w:val="32"/>
          <w:highlight w:val="none"/>
          <w:lang w:val="en-US"/>
        </w:rPr>
        <w:t>根据评分细则，该指标得</w:t>
      </w:r>
      <w:r>
        <w:rPr>
          <w:rFonts w:hint="eastAsia" w:ascii="Times New Roman" w:hAnsi="Times New Roman" w:eastAsia="方正仿宋_GBK"/>
          <w:color w:val="auto"/>
          <w:sz w:val="32"/>
          <w:szCs w:val="32"/>
          <w:highlight w:val="none"/>
          <w:lang w:val="en-US" w:eastAsia="zh-CN"/>
        </w:rPr>
        <w:t>100</w:t>
      </w:r>
      <w:r>
        <w:rPr>
          <w:rFonts w:hint="eastAsia" w:ascii="Times New Roman" w:hAnsi="Times New Roman" w:eastAsia="方正仿宋_GBK"/>
          <w:color w:val="auto"/>
          <w:sz w:val="32"/>
          <w:szCs w:val="32"/>
          <w:highlight w:val="none"/>
          <w:lang w:val="en-US"/>
        </w:rPr>
        <w:t>%权重分。</w:t>
      </w:r>
    </w:p>
    <w:p>
      <w:pPr>
        <w:spacing w:line="596"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3</w:t>
      </w:r>
      <w:r>
        <w:rPr>
          <w:rFonts w:hint="eastAsia" w:ascii="Times New Roman" w:hAnsi="Times New Roman" w:eastAsia="方正仿宋_GBK"/>
          <w:color w:val="auto"/>
          <w:sz w:val="32"/>
          <w:szCs w:val="32"/>
        </w:rPr>
        <w:t>、预决算公开率分析</w:t>
      </w:r>
    </w:p>
    <w:p>
      <w:pPr>
        <w:spacing w:line="596"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按照相关文件规定，单位预决算信息需严格按照要求进行公开，202</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年我</w:t>
      </w:r>
      <w:r>
        <w:rPr>
          <w:rFonts w:hint="eastAsia" w:ascii="Times New Roman" w:hAnsi="Times New Roman" w:eastAsia="方正仿宋_GBK"/>
          <w:color w:val="auto"/>
          <w:sz w:val="32"/>
          <w:szCs w:val="32"/>
          <w:lang w:val="en-US" w:eastAsia="zh-CN"/>
        </w:rPr>
        <w:t>单位</w:t>
      </w:r>
      <w:r>
        <w:rPr>
          <w:rFonts w:hint="eastAsia" w:ascii="Times New Roman" w:hAnsi="Times New Roman" w:eastAsia="方正仿宋_GBK"/>
          <w:color w:val="auto"/>
          <w:sz w:val="32"/>
          <w:szCs w:val="32"/>
        </w:rPr>
        <w:t>按时完成了预决算公开，财政资金使用情况公开透明。根据评价标准，该指标得100%权重分。</w:t>
      </w:r>
    </w:p>
    <w:p>
      <w:pPr>
        <w:spacing w:line="596"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实施全区征地拆迁工作任务</w:t>
      </w:r>
      <w:r>
        <w:rPr>
          <w:rFonts w:hint="eastAsia" w:ascii="Times New Roman" w:hAnsi="Times New Roman" w:eastAsia="方正仿宋_GBK"/>
          <w:color w:val="auto"/>
          <w:sz w:val="32"/>
          <w:szCs w:val="32"/>
        </w:rPr>
        <w:t>分析</w:t>
      </w:r>
    </w:p>
    <w:p>
      <w:pPr>
        <w:spacing w:line="596"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年本单位</w:t>
      </w:r>
      <w:r>
        <w:rPr>
          <w:rFonts w:hint="default" w:ascii="Times New Roman" w:hAnsi="Times New Roman" w:eastAsia="方正仿宋_GBK" w:cs="方正仿宋_GBK"/>
          <w:color w:val="auto"/>
          <w:kern w:val="0"/>
          <w:sz w:val="32"/>
          <w:szCs w:val="32"/>
          <w:highlight w:val="none"/>
          <w:shd w:val="clear" w:color="auto" w:fill="FFFFFF"/>
          <w:lang w:val="en-US" w:eastAsia="zh-CN"/>
        </w:rPr>
        <w:t>高标准完成实施璧山区城市规划建设项目征地拆迁等</w:t>
      </w:r>
      <w:r>
        <w:rPr>
          <w:rFonts w:hint="eastAsia" w:ascii="Times New Roman" w:hAnsi="Times New Roman" w:eastAsia="方正仿宋_GBK" w:cs="方正仿宋_GBK"/>
          <w:color w:val="auto"/>
          <w:kern w:val="0"/>
          <w:sz w:val="32"/>
          <w:szCs w:val="32"/>
          <w:highlight w:val="none"/>
          <w:shd w:val="clear" w:color="auto" w:fill="FFFFFF"/>
          <w:lang w:val="en-US" w:eastAsia="zh-CN"/>
        </w:rPr>
        <w:t>10</w:t>
      </w:r>
      <w:r>
        <w:rPr>
          <w:rFonts w:hint="default" w:ascii="Times New Roman" w:hAnsi="Times New Roman" w:eastAsia="方正仿宋_GBK" w:cs="方正仿宋_GBK"/>
          <w:color w:val="auto"/>
          <w:kern w:val="0"/>
          <w:sz w:val="32"/>
          <w:szCs w:val="32"/>
          <w:highlight w:val="none"/>
          <w:shd w:val="clear" w:color="auto" w:fill="FFFFFF"/>
          <w:lang w:val="en-US" w:eastAsia="zh-CN"/>
        </w:rPr>
        <w:t>个项目，面积</w:t>
      </w:r>
      <w:r>
        <w:rPr>
          <w:rFonts w:hint="eastAsia" w:ascii="Times New Roman" w:hAnsi="Times New Roman" w:eastAsia="方正仿宋_GBK" w:cs="方正仿宋_GBK"/>
          <w:color w:val="auto"/>
          <w:kern w:val="0"/>
          <w:sz w:val="32"/>
          <w:szCs w:val="32"/>
          <w:highlight w:val="none"/>
          <w:shd w:val="clear" w:color="auto" w:fill="FFFFFF"/>
          <w:lang w:val="en-US" w:eastAsia="zh-CN"/>
        </w:rPr>
        <w:t>共4000</w:t>
      </w:r>
      <w:r>
        <w:rPr>
          <w:rFonts w:hint="default" w:ascii="Times New Roman" w:hAnsi="Times New Roman" w:eastAsia="方正仿宋_GBK" w:cs="方正仿宋_GBK"/>
          <w:color w:val="auto"/>
          <w:kern w:val="0"/>
          <w:sz w:val="32"/>
          <w:szCs w:val="32"/>
          <w:highlight w:val="none"/>
          <w:shd w:val="clear" w:color="auto" w:fill="FFFFFF"/>
          <w:lang w:val="en-US" w:eastAsia="zh-CN"/>
        </w:rPr>
        <w:t>余亩，保障了全区建设用地的需要</w:t>
      </w:r>
      <w:r>
        <w:rPr>
          <w:rFonts w:hint="eastAsia" w:ascii="Times New Roman" w:hAnsi="Times New Roman" w:eastAsia="方正仿宋_GBK" w:cs="方正仿宋_GBK"/>
          <w:color w:val="auto"/>
          <w:kern w:val="0"/>
          <w:sz w:val="32"/>
          <w:szCs w:val="32"/>
          <w:highlight w:val="none"/>
          <w:shd w:val="clear" w:color="auto" w:fill="FFFFFF"/>
          <w:lang w:val="en-US" w:eastAsia="zh-CN"/>
        </w:rPr>
        <w:t>。</w:t>
      </w:r>
      <w:r>
        <w:rPr>
          <w:rFonts w:hint="eastAsia" w:ascii="Times New Roman" w:hAnsi="Times New Roman" w:eastAsia="方正仿宋_GBK"/>
          <w:color w:val="auto"/>
          <w:sz w:val="32"/>
          <w:szCs w:val="32"/>
        </w:rPr>
        <w:t>根据评价标准，该指标得100%权重分。</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5、征地拆迁项目档案完成率分析</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征地拆迁工作完成结束后，及时做好档案的收集、归档和管理工作。根据评价标准，该指标得100%权重分。</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6、街镇征地拆迁工作培训完成率分析</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按照要求，完成对各街镇征地拆迁工作的业务指导和培训，确保拆迁工作的有序执行。根据评价标准，该指标得100%权重分。</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7、完成征地拆迁信访调解工作分析</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随着2021年新征地补偿政策正式实施，征地拆迁中出现了不少矛盾和信访，为切实维护拆迁群众的利益，认真开展了相关社会维稳工作。2022年办结征地拆迁信访调节工作15余次，接待来访群众600余人次，办结率为100%</w:t>
      </w:r>
      <w:r>
        <w:rPr>
          <w:rFonts w:hint="default" w:ascii="Times New Roman" w:hAnsi="Times New Roman" w:eastAsia="方正仿宋_GBK"/>
          <w:color w:val="auto"/>
          <w:sz w:val="32"/>
          <w:szCs w:val="32"/>
          <w:lang w:val="en-US" w:eastAsia="zh-CN"/>
        </w:rPr>
        <w:t>。</w:t>
      </w:r>
      <w:r>
        <w:rPr>
          <w:rFonts w:hint="eastAsia" w:ascii="Times New Roman" w:hAnsi="Times New Roman" w:eastAsia="方正仿宋_GBK"/>
          <w:color w:val="auto"/>
          <w:sz w:val="32"/>
          <w:szCs w:val="32"/>
          <w:lang w:val="en-US" w:eastAsia="zh-CN"/>
        </w:rPr>
        <w:t>根据评价标准，该指标得100%权重分。</w:t>
      </w:r>
      <w:bookmarkStart w:id="1" w:name="_GoBack"/>
      <w:bookmarkEnd w:id="1"/>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8、公务车运行保障工作分析</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保障2辆公务车运行供给，保证外出工作正常运转，切实保障了全区征地拆迁工作处理的及时性。根据评价标准，该指标得100%权重分。</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9、法律咨询工作分析</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2022年提供的法律服务质量优良率较高，符合工作目标的要求及需要，有利于及时处理工作中遇到的法律问题。根据评价标准，该指标得100%权重分。</w:t>
      </w:r>
    </w:p>
    <w:p>
      <w:pPr>
        <w:spacing w:line="596"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10、提高工作人员业务能力分析</w:t>
      </w:r>
    </w:p>
    <w:p>
      <w:pPr>
        <w:spacing w:line="596" w:lineRule="exact"/>
        <w:ind w:firstLine="640" w:firstLineChars="200"/>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由于</w:t>
      </w:r>
      <w:r>
        <w:rPr>
          <w:rFonts w:ascii="Times New Roman" w:hAnsi="Times New Roman" w:eastAsia="方正仿宋_GBK"/>
          <w:sz w:val="32"/>
          <w:szCs w:val="32"/>
        </w:rPr>
        <w:t>新征地补偿政策正式实施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工作人员的业务能力</w:t>
      </w:r>
      <w:r>
        <w:rPr>
          <w:rFonts w:hint="eastAsia" w:ascii="Times New Roman" w:hAnsi="Times New Roman" w:eastAsia="方正仿宋_GBK"/>
          <w:color w:val="auto"/>
          <w:sz w:val="32"/>
          <w:szCs w:val="32"/>
          <w:lang w:val="en-US" w:eastAsia="zh-CN"/>
        </w:rPr>
        <w:t>需要进一步提升，提高工作人员发现问题、解决问题能力，提高工作人员学习主动性。根据评价标准，该指标得50%权重分。</w:t>
      </w:r>
    </w:p>
    <w:p>
      <w:pPr>
        <w:spacing w:line="596"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w:t>
      </w:r>
      <w:r>
        <w:rPr>
          <w:rFonts w:hint="eastAsia" w:ascii="Times New Roman" w:hAnsi="Times New Roman" w:eastAsia="方正黑体_GBK"/>
          <w:sz w:val="32"/>
          <w:szCs w:val="32"/>
        </w:rPr>
        <w:t>需重点关注的问题</w:t>
      </w:r>
    </w:p>
    <w:p>
      <w:pPr>
        <w:spacing w:line="596"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hint="eastAsia" w:ascii="Times New Roman" w:hAnsi="Times New Roman" w:eastAsia="方正仿宋_GBK"/>
          <w:color w:val="auto"/>
          <w:sz w:val="32"/>
          <w:szCs w:val="32"/>
          <w:lang w:val="en-US" w:eastAsia="zh-CN"/>
        </w:rPr>
        <w:t>征地补偿政策更新</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工作人员业务能力</w:t>
      </w:r>
      <w:r>
        <w:rPr>
          <w:rFonts w:hint="eastAsia" w:ascii="Times New Roman" w:hAnsi="Times New Roman" w:eastAsia="方正仿宋_GBK"/>
          <w:color w:val="auto"/>
          <w:sz w:val="32"/>
          <w:szCs w:val="32"/>
        </w:rPr>
        <w:t>有待提高</w:t>
      </w:r>
    </w:p>
    <w:p>
      <w:pPr>
        <w:spacing w:line="596" w:lineRule="exact"/>
        <w:ind w:firstLine="640" w:firstLineChars="200"/>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随着城市建设和发展，征地拆迁是解决土地资源重新分配，提高土地利用率的途径之一。然而，因征地拆迁引发的矛盾和纠纷日益增多，再加上市场经济瞬息万变的新形势和新政策，工作人员未及时吃透相关政策，使得征地拆迁工作遇到了巨大的阻碍，不能顺利推进。为了使征地拆迁工作顺利展开，要求征地拆迁过程全面推行依法行政，征地拆迁工作人员的业务能力对征地拆迁工作的顺利推进有重要的影响。</w:t>
      </w:r>
    </w:p>
    <w:p>
      <w:pPr>
        <w:spacing w:line="596"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五、有关建议</w:t>
      </w:r>
    </w:p>
    <w:p>
      <w:pPr>
        <w:spacing w:line="596" w:lineRule="exact"/>
        <w:ind w:firstLine="640" w:firstLineChars="200"/>
        <w:jc w:val="both"/>
        <w:rPr>
          <w:rFonts w:hint="eastAsia" w:ascii="Times New Roman" w:hAnsi="Times New Roman" w:eastAsia="方正仿宋_GBK"/>
          <w:color w:val="auto"/>
          <w:sz w:val="32"/>
          <w:szCs w:val="32"/>
        </w:rPr>
      </w:pPr>
      <w:r>
        <w:rPr>
          <w:rFonts w:ascii="Times New Roman" w:hAnsi="Times New Roman" w:eastAsia="方正仿宋_GBK"/>
          <w:sz w:val="32"/>
          <w:szCs w:val="32"/>
        </w:rPr>
        <w:t>加强</w:t>
      </w:r>
      <w:r>
        <w:rPr>
          <w:rFonts w:hint="eastAsia" w:ascii="Times New Roman" w:hAnsi="Times New Roman" w:eastAsia="方正仿宋_GBK"/>
          <w:sz w:val="32"/>
          <w:szCs w:val="32"/>
          <w:lang w:val="en-US" w:eastAsia="zh-CN"/>
        </w:rPr>
        <w:t>对征收工作人员的业务</w:t>
      </w:r>
      <w:r>
        <w:rPr>
          <w:rFonts w:ascii="Times New Roman" w:hAnsi="Times New Roman" w:eastAsia="方正仿宋_GBK"/>
          <w:sz w:val="32"/>
          <w:szCs w:val="32"/>
        </w:rPr>
        <w:t>培训，充分利用</w:t>
      </w:r>
      <w:r>
        <w:rPr>
          <w:rFonts w:hint="eastAsia" w:ascii="Times New Roman" w:hAnsi="Times New Roman" w:eastAsia="方正仿宋_GBK"/>
          <w:sz w:val="32"/>
          <w:szCs w:val="32"/>
          <w:lang w:val="en-US" w:eastAsia="zh-CN"/>
        </w:rPr>
        <w:t>现有</w:t>
      </w:r>
      <w:r>
        <w:rPr>
          <w:rFonts w:ascii="Times New Roman" w:hAnsi="Times New Roman" w:eastAsia="方正仿宋_GBK"/>
          <w:sz w:val="32"/>
          <w:szCs w:val="32"/>
        </w:rPr>
        <w:t>平台带动干部职工加强自学，</w:t>
      </w:r>
      <w:r>
        <w:rPr>
          <w:rFonts w:hint="eastAsia" w:ascii="Times New Roman" w:hAnsi="Times New Roman" w:eastAsia="方正仿宋_GBK"/>
          <w:color w:val="auto"/>
          <w:sz w:val="32"/>
          <w:szCs w:val="32"/>
        </w:rPr>
        <w:t>高质量举办政策培训、法律培训、实战磨炼和经验交流座谈会，进一步提高征收队伍整合资源、协调各方、凝聚合力的能力</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为下一步开展征地拆迁工作打下良好的基础。</w:t>
      </w:r>
    </w:p>
    <w:p>
      <w:pPr>
        <w:spacing w:line="596" w:lineRule="exact"/>
        <w:ind w:firstLine="640" w:firstLineChars="200"/>
        <w:jc w:val="both"/>
        <w:rPr>
          <w:rFonts w:ascii="Times New Roman" w:hAnsi="Times New Roman" w:eastAsia="方正仿宋_GBK"/>
          <w:color w:val="FF0000"/>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58B37"/>
    <w:multiLevelType w:val="singleLevel"/>
    <w:tmpl w:val="CA458B3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RkNmIwMWRlYjM5ZTUzODY1OWMwYjk2MmMxODUxYzI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836D3"/>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14A2DD9"/>
    <w:rsid w:val="022C24DE"/>
    <w:rsid w:val="0312048C"/>
    <w:rsid w:val="052027CE"/>
    <w:rsid w:val="0636392C"/>
    <w:rsid w:val="070E48A8"/>
    <w:rsid w:val="07F4584C"/>
    <w:rsid w:val="0B416FFB"/>
    <w:rsid w:val="0BDD7AB9"/>
    <w:rsid w:val="0C7B586A"/>
    <w:rsid w:val="0F672DA8"/>
    <w:rsid w:val="10A65B52"/>
    <w:rsid w:val="11A16BC3"/>
    <w:rsid w:val="12B207DE"/>
    <w:rsid w:val="13281C22"/>
    <w:rsid w:val="137B21E9"/>
    <w:rsid w:val="14922675"/>
    <w:rsid w:val="14D07641"/>
    <w:rsid w:val="161C1184"/>
    <w:rsid w:val="164C2CF7"/>
    <w:rsid w:val="1A1D4234"/>
    <w:rsid w:val="1B6D7998"/>
    <w:rsid w:val="1C3E33FF"/>
    <w:rsid w:val="1C705B1F"/>
    <w:rsid w:val="1CC56385"/>
    <w:rsid w:val="1DFE0D7B"/>
    <w:rsid w:val="1E572783"/>
    <w:rsid w:val="1F337D2F"/>
    <w:rsid w:val="1FBA6F24"/>
    <w:rsid w:val="22D93B65"/>
    <w:rsid w:val="253D269A"/>
    <w:rsid w:val="25F92E97"/>
    <w:rsid w:val="260A05F1"/>
    <w:rsid w:val="28F37CB5"/>
    <w:rsid w:val="29BD1AEA"/>
    <w:rsid w:val="29ED5FF3"/>
    <w:rsid w:val="2AFC2AE6"/>
    <w:rsid w:val="2E092534"/>
    <w:rsid w:val="2E262354"/>
    <w:rsid w:val="2EB57048"/>
    <w:rsid w:val="2EE8585B"/>
    <w:rsid w:val="3095556F"/>
    <w:rsid w:val="33ED56C2"/>
    <w:rsid w:val="35C6441D"/>
    <w:rsid w:val="379540A7"/>
    <w:rsid w:val="37E4059A"/>
    <w:rsid w:val="387C4ED2"/>
    <w:rsid w:val="38E86458"/>
    <w:rsid w:val="3B697B44"/>
    <w:rsid w:val="3C447AF0"/>
    <w:rsid w:val="3C6978B0"/>
    <w:rsid w:val="3DA21757"/>
    <w:rsid w:val="3DE73182"/>
    <w:rsid w:val="3EC86B10"/>
    <w:rsid w:val="3F424B14"/>
    <w:rsid w:val="41605725"/>
    <w:rsid w:val="42246753"/>
    <w:rsid w:val="453D51C9"/>
    <w:rsid w:val="484D3E77"/>
    <w:rsid w:val="48A95C04"/>
    <w:rsid w:val="4C166BD8"/>
    <w:rsid w:val="4C177328"/>
    <w:rsid w:val="4DDE1EAC"/>
    <w:rsid w:val="4FF05EC6"/>
    <w:rsid w:val="51DD247A"/>
    <w:rsid w:val="5244074B"/>
    <w:rsid w:val="525564B4"/>
    <w:rsid w:val="532946DA"/>
    <w:rsid w:val="55596E28"/>
    <w:rsid w:val="573A3ECB"/>
    <w:rsid w:val="58472D43"/>
    <w:rsid w:val="58D36385"/>
    <w:rsid w:val="59091DA7"/>
    <w:rsid w:val="592A069B"/>
    <w:rsid w:val="592F7A5F"/>
    <w:rsid w:val="598B6C60"/>
    <w:rsid w:val="59FB5B93"/>
    <w:rsid w:val="5B0A0784"/>
    <w:rsid w:val="5EE412EC"/>
    <w:rsid w:val="5F2C4E04"/>
    <w:rsid w:val="61335B85"/>
    <w:rsid w:val="614E0C9F"/>
    <w:rsid w:val="62195BC7"/>
    <w:rsid w:val="640D6BEF"/>
    <w:rsid w:val="66F26A2F"/>
    <w:rsid w:val="686314D3"/>
    <w:rsid w:val="68752FB5"/>
    <w:rsid w:val="69472BA3"/>
    <w:rsid w:val="69D1246D"/>
    <w:rsid w:val="6AC16985"/>
    <w:rsid w:val="6D21370B"/>
    <w:rsid w:val="70CC1BE0"/>
    <w:rsid w:val="7165496F"/>
    <w:rsid w:val="7395275D"/>
    <w:rsid w:val="745E6FF3"/>
    <w:rsid w:val="74CA4688"/>
    <w:rsid w:val="774E15A1"/>
    <w:rsid w:val="77E837A3"/>
    <w:rsid w:val="788B412F"/>
    <w:rsid w:val="79A13C0A"/>
    <w:rsid w:val="7B3960C4"/>
    <w:rsid w:val="7B4B2990"/>
    <w:rsid w:val="7BAB0D70"/>
    <w:rsid w:val="7C85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9">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2324</Words>
  <Characters>2524</Characters>
  <Lines>1</Lines>
  <Paragraphs>1</Paragraphs>
  <TotalTime>9</TotalTime>
  <ScaleCrop>false</ScaleCrop>
  <LinksUpToDate>false</LinksUpToDate>
  <CharactersWithSpaces>2526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飞如管理咨询小李</cp:lastModifiedBy>
  <cp:lastPrinted>2020-04-20T08:58:00Z</cp:lastPrinted>
  <dcterms:modified xsi:type="dcterms:W3CDTF">2023-03-17T08:46:09Z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ECB59C6144234ED6840E3DA4DDBBE844</vt:lpwstr>
  </property>
</Properties>
</file>