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tbl>
      <w:tblPr>
        <w:tblStyle w:val="3"/>
        <w:tblW w:w="11628" w:type="dxa"/>
        <w:tblInd w:w="-12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8"/>
        <w:gridCol w:w="1038"/>
        <w:gridCol w:w="1253"/>
        <w:gridCol w:w="1233"/>
        <w:gridCol w:w="655"/>
        <w:gridCol w:w="907"/>
        <w:gridCol w:w="1312"/>
        <w:gridCol w:w="871"/>
        <w:gridCol w:w="663"/>
        <w:gridCol w:w="122"/>
        <w:gridCol w:w="916"/>
        <w:gridCol w:w="582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8" w:type="dxa"/>
          <w:trHeight w:val="480" w:hRule="atLeast"/>
        </w:trPr>
        <w:tc>
          <w:tcPr>
            <w:tcW w:w="897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</w:rPr>
              <w:t>璧山区2022年度部门整体支出绩效自评表</w:t>
            </w:r>
          </w:p>
        </w:tc>
        <w:tc>
          <w:tcPr>
            <w:tcW w:w="1620" w:type="dxa"/>
            <w:gridSpan w:val="3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38" w:type="dxa"/>
          <w:trHeight w:val="510" w:hRule="atLeast"/>
        </w:trPr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48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区工商联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自评总分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38" w:type="dxa"/>
          <w:trHeight w:val="510" w:hRule="atLeast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胡展翅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15086622395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38" w:type="dxa"/>
          <w:trHeight w:val="510" w:hRule="atLeast"/>
        </w:trPr>
        <w:tc>
          <w:tcPr>
            <w:tcW w:w="10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预算支出总额（元）</w:t>
            </w:r>
          </w:p>
        </w:tc>
        <w:tc>
          <w:tcPr>
            <w:tcW w:w="24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全年（调整）预算数</w:t>
            </w: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全年执行数</w:t>
            </w:r>
          </w:p>
        </w:tc>
        <w:tc>
          <w:tcPr>
            <w:tcW w:w="33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执行率（%）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38" w:type="dxa"/>
          <w:trHeight w:val="510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0" w:name="_GoBack"/>
          </w:p>
        </w:tc>
        <w:tc>
          <w:tcPr>
            <w:tcW w:w="24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2112500</w:t>
            </w: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2275051.33</w:t>
            </w: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1280286.19</w:t>
            </w:r>
          </w:p>
        </w:tc>
        <w:tc>
          <w:tcPr>
            <w:tcW w:w="33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</w:rPr>
              <w:t>56.28%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38" w:type="dxa"/>
          <w:trHeight w:val="510" w:hRule="atLeast"/>
        </w:trPr>
        <w:tc>
          <w:tcPr>
            <w:tcW w:w="10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当年绩效目标</w:t>
            </w:r>
          </w:p>
        </w:tc>
        <w:tc>
          <w:tcPr>
            <w:tcW w:w="53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预期绩效目标</w:t>
            </w:r>
          </w:p>
        </w:tc>
        <w:tc>
          <w:tcPr>
            <w:tcW w:w="41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绩效目标实际完成情况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38" w:type="dxa"/>
          <w:trHeight w:val="1500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加强对非公有制经济人士的政治引领；积极参政议政；协助政府管理和服务非公有制经济；强化商会管理；积极参与社会治理；拓展工商联组织覆盖和工作覆盖；加强工商联自身改革和建设。</w:t>
            </w:r>
          </w:p>
        </w:tc>
        <w:tc>
          <w:tcPr>
            <w:tcW w:w="41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当年目标基本完成，有部分资金因财政未审批，无法如期支付，已申请转接至2023年继续执行。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38" w:type="dxa"/>
          <w:trHeight w:val="630" w:hRule="atLeast"/>
        </w:trPr>
        <w:tc>
          <w:tcPr>
            <w:tcW w:w="10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指标内容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指标权重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指标性质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年度指标值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全年完成值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得分系数（%）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指标得分（分）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38" w:type="dxa"/>
          <w:trHeight w:val="780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为非公经济人士解决实际问题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≥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38" w:type="dxa"/>
          <w:trHeight w:val="555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购买相关服务的数量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等号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38" w:type="dxa"/>
          <w:trHeight w:val="540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向友好商会宣传大璧山次数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等号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38" w:type="dxa"/>
          <w:trHeight w:val="510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管理行业商会及数量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等号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38" w:type="dxa"/>
          <w:trHeight w:val="510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交流洽谈参与人次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≥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38" w:type="dxa"/>
          <w:trHeight w:val="510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调研视察次数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≥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38" w:type="dxa"/>
          <w:trHeight w:val="510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开展交流培训活动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≥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38" w:type="dxa"/>
          <w:trHeight w:val="630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引资金、引技术回乡兴业人次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等号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38" w:type="dxa"/>
          <w:trHeight w:val="609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召开主席会次数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≥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38" w:type="dxa"/>
          <w:trHeight w:val="510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8" w:type="dxa"/>
          <w:trHeight w:val="510" w:hRule="atLeast"/>
        </w:trPr>
        <w:tc>
          <w:tcPr>
            <w:tcW w:w="105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134" w:right="567" w:bottom="567" w:left="8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725F3"/>
    <w:rsid w:val="3E4725F3"/>
    <w:rsid w:val="7A292F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2023-09-14T03:10:00Z</dcterms:created>
  <dc:creator>Administrator</dc:creator>
  <cp:lastModifiedBy>Administrator</cp:lastModifiedBy>
  <dcterms:modified xsi:type="dcterms:W3CDTF">2023-09-14T03:17:54Z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