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rPr>
      </w:pPr>
      <w:r>
        <w:rPr>
          <w:rFonts w:hint="eastAsia" w:ascii="方正仿宋_GBK" w:eastAsia="方正仿宋_GBK"/>
          <w:sz w:val="32"/>
          <w:szCs w:val="32"/>
        </w:rPr>
        <w:t>附件5</w:t>
      </w:r>
    </w:p>
    <w:p>
      <w:pPr>
        <w:spacing w:line="596" w:lineRule="exact"/>
        <w:jc w:val="center"/>
        <w:rPr>
          <w:rFonts w:eastAsia="方正小标宋_GBK"/>
          <w:sz w:val="44"/>
          <w:szCs w:val="32"/>
        </w:rPr>
      </w:pPr>
      <w:r>
        <w:rPr>
          <w:rFonts w:eastAsia="方正小标宋_GBK"/>
          <w:sz w:val="44"/>
          <w:szCs w:val="32"/>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工商业联合会</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numPr>
          <w:ilvl w:val="0"/>
          <w:numId w:val="1"/>
        </w:numPr>
        <w:spacing w:line="596" w:lineRule="exact"/>
        <w:ind w:firstLine="640" w:firstLineChars="200"/>
        <w:rPr>
          <w:rFonts w:hint="eastAsia" w:eastAsia="方正黑体_GBK"/>
          <w:sz w:val="32"/>
          <w:szCs w:val="32"/>
        </w:rPr>
      </w:pPr>
      <w:r>
        <w:rPr>
          <w:rFonts w:eastAsia="方正黑体_GBK"/>
          <w:sz w:val="32"/>
          <w:szCs w:val="32"/>
        </w:rPr>
        <w:t>基本</w:t>
      </w:r>
      <w:r>
        <w:rPr>
          <w:rFonts w:hint="eastAsia" w:eastAsia="方正黑体_GBK"/>
          <w:sz w:val="32"/>
          <w:szCs w:val="32"/>
        </w:rPr>
        <w:t>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94" w:lineRule="exact"/>
        <w:ind w:firstLine="640" w:firstLineChars="200"/>
        <w:rPr>
          <w:color w:val="000000"/>
          <w:sz w:val="32"/>
          <w:szCs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坚持党的领导。坚决贯彻党的意志和主张，坚定不移走中国特色社会主义人民团体和商会组织发展道路，切实增强工商联工作的政治性和工商联组织的先进性、群众性。充分发挥工商联组织统战性、经济性、民间性的独特作用，汇聚全区广大非公有制经济人士推进社会主义现代化建设的强大合力。</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依法依章程独立自主开展工作。按照区委和重庆市工商联的要求，贯彻执行重庆市璧山区工商联代表大会确定的方针任务和作出的决定，指导基层商会业务工作。</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3、加强对非公有制经济人士的政治引领。</w:t>
      </w:r>
      <w:r>
        <w:rPr>
          <w:rFonts w:hint="eastAsia" w:ascii="仿宋_GB2312" w:hAnsi="仿宋_GB2312" w:eastAsia="仿宋_GB2312" w:cs="仿宋_GB2312"/>
          <w:sz w:val="32"/>
        </w:rPr>
        <w:t>引导非公有制经济人士爱国、敬业、创新、守法、诚信、贡献，做合格的中国特色社会主义事业建设者。开展理想信念教育，切实担负起团结带领广大非公有制经济人士听党话、跟党走的政治任务，最广泛最紧密地将非公有制经济人士团结在党的周围。引导非公有制经济人士投身光彩事业和公益慈善事业，积极参与扶贫开发，履行社会责任。</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积极参政议政。履行政治协商、民主监督、参政议政的职能，参加政党协商。反映非公有制经济人士诉求，依法依章程帮助其维护合法权益。畅通非公有制经济人士参与政治渠道，帮助提高议政建言水平。做好非公有制经济代表人士的发现、培养、推荐和服务工作。</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协助政府管理和服务非公有制经济。落实支持非公有制经济发展的各项方针政策。积极探索建立有效服务载体和机制，为非公有制企业提供信息、法律、融资、技术、人才等方面服务。积极开展民间外交，加强同境外工商界的交流合作，为非公有制企业开展国际合作提供服务。</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强化商会管理。加强对所属商会的指导、引导和服务，对所属商会会员开展思想政治工作、教育培训。充分发挥宣传政策、提供服务、反映诉求、维护权益、加强自律的作用。在政社分离、行业商会与行政机关脱钩改革中发挥承接、服务作用。加强所属商会党建工作。</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积极参与社会治理。切实发挥工商联参与社会事务管理服务作用，按照法定程序承接政府转移的社会管理服务职能，组织所属商会有序承接政府转移职能。发挥工商联组织在法律维权、民事商事调解、协调劳动关系等方面积极作用，参与社会治理，促进社会和谐稳定。</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拓展工商联组织覆盖和工作覆盖。加大工商联会员发展力度，在支柱产业、战略性新兴行业，现代服务业等领域积极培育发展商会组织，在开发区（园区）、商圈楼宇等企业密集度高的区域加大商会组建力度。建设网上非公有制经济人士之家，创新面向社会提供公共服务产品的机制，接长手臂、形成链条、扩大影响。</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9、加强工商联自身改革和建设。加强工商联领导班子和机关干部队伍建设。加强相关</w:t>
      </w:r>
      <w:r>
        <w:rPr>
          <w:rFonts w:hint="eastAsia" w:ascii="仿宋_GB2312" w:hAnsi="仿宋_GB2312" w:eastAsia="仿宋_GB2312" w:cs="仿宋_GB2312"/>
          <w:sz w:val="32"/>
        </w:rPr>
        <w:t>理论政策研究，开展民营经济发展情况调研，为区委、区政府决策提供支撑。</w:t>
      </w:r>
    </w:p>
    <w:p>
      <w:pPr>
        <w:spacing w:line="594"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10、完成区委、区政府和市工商联交办的其他事项。</w:t>
      </w:r>
    </w:p>
    <w:p>
      <w:pPr>
        <w:spacing w:line="596"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eastAsia="zh-CN"/>
        </w:rPr>
        <w:t>二</w:t>
      </w:r>
      <w:r>
        <w:rPr>
          <w:rFonts w:eastAsia="方正仿宋_GBK"/>
          <w:sz w:val="32"/>
          <w:szCs w:val="32"/>
        </w:rPr>
        <w:t>）</w:t>
      </w:r>
      <w:r>
        <w:rPr>
          <w:rFonts w:hint="eastAsia" w:ascii="方正楷体_GBK" w:hAnsi="方正楷体_GBK" w:eastAsia="方正楷体_GBK" w:cs="方正楷体_GBK"/>
          <w:sz w:val="32"/>
        </w:rPr>
        <w:t>机构设置与人员情况</w:t>
      </w:r>
      <w:r>
        <w:rPr>
          <w:rFonts w:eastAsia="方正仿宋_GBK"/>
          <w:sz w:val="32"/>
          <w:szCs w:val="32"/>
        </w:rPr>
        <w:t>。</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仿宋_GBK"/>
          <w:sz w:val="32"/>
          <w:szCs w:val="32"/>
        </w:rPr>
      </w:pPr>
      <w:r>
        <w:rPr>
          <w:rFonts w:hint="eastAsia" w:ascii="仿宋_GB2312" w:hAnsi="仿宋_GB2312" w:eastAsia="仿宋_GB2312" w:cs="仿宋_GB2312"/>
          <w:sz w:val="32"/>
        </w:rPr>
        <w:t>重庆市璧山区</w:t>
      </w:r>
      <w:r>
        <w:rPr>
          <w:rFonts w:hint="eastAsia" w:ascii="仿宋_GB2312" w:hAnsi="仿宋_GB2312" w:eastAsia="仿宋_GB2312" w:cs="仿宋_GB2312"/>
          <w:sz w:val="32"/>
          <w:lang w:eastAsia="zh-CN"/>
        </w:rPr>
        <w:t>工商业联合会</w:t>
      </w:r>
      <w:r>
        <w:rPr>
          <w:rFonts w:hint="eastAsia" w:ascii="仿宋_GB2312" w:hAnsi="仿宋_GB2312" w:eastAsia="仿宋_GB2312" w:cs="仿宋_GB2312"/>
          <w:sz w:val="32"/>
        </w:rPr>
        <w:t>为正处级单位,内设</w:t>
      </w:r>
      <w:r>
        <w:rPr>
          <w:rFonts w:hint="eastAsia" w:ascii="仿宋_GB2312" w:hAnsi="仿宋_GB2312" w:eastAsia="仿宋_GB2312" w:cs="仿宋_GB2312"/>
          <w:sz w:val="32"/>
          <w:lang w:eastAsia="zh-CN"/>
        </w:rPr>
        <w:t>两</w:t>
      </w:r>
      <w:r>
        <w:rPr>
          <w:rFonts w:hint="eastAsia" w:ascii="仿宋_GB2312" w:hAnsi="仿宋_GB2312" w:eastAsia="仿宋_GB2312" w:cs="仿宋_GB2312"/>
          <w:sz w:val="32"/>
        </w:rPr>
        <w:t>个科室为</w:t>
      </w:r>
      <w:r>
        <w:rPr>
          <w:rFonts w:hint="eastAsia" w:ascii="仿宋_GB2312" w:hAnsi="仿宋_GB2312" w:eastAsia="仿宋_GB2312" w:cs="仿宋_GB2312"/>
          <w:sz w:val="32"/>
          <w:lang w:eastAsia="zh-CN"/>
        </w:rPr>
        <w:t>办公室和非公经济发展服务中心</w:t>
      </w:r>
      <w:r>
        <w:rPr>
          <w:rFonts w:hint="eastAsia" w:ascii="仿宋_GB2312" w:hAnsi="仿宋_GB2312" w:eastAsia="仿宋_GB2312" w:cs="仿宋_GB2312"/>
          <w:sz w:val="32"/>
        </w:rPr>
        <w:t>。人员编制为公务员</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名</w:t>
      </w:r>
      <w:r>
        <w:rPr>
          <w:rFonts w:hint="eastAsia" w:ascii="仿宋_GB2312" w:hAnsi="仿宋_GB2312" w:eastAsia="仿宋_GB2312" w:cs="仿宋_GB2312"/>
          <w:sz w:val="32"/>
          <w:lang w:eastAsia="zh-CN"/>
        </w:rPr>
        <w:t>，事业编制</w:t>
      </w:r>
      <w:r>
        <w:rPr>
          <w:rFonts w:hint="eastAsia" w:ascii="仿宋_GB2312" w:hAnsi="仿宋_GB2312" w:eastAsia="仿宋_GB2312" w:cs="仿宋_GB2312"/>
          <w:sz w:val="32"/>
          <w:lang w:val="en-US" w:eastAsia="zh-CN"/>
        </w:rPr>
        <w:t>3名</w:t>
      </w:r>
      <w:r>
        <w:rPr>
          <w:rFonts w:hint="eastAsia" w:ascii="仿宋_GB2312" w:hAnsi="仿宋_GB2312" w:eastAsia="仿宋_GB2312" w:cs="仿宋_GB2312"/>
          <w:sz w:val="32"/>
        </w:rPr>
        <w:t>。目前重庆市璧山区工商业联合会党组书记由同级党委统战部分管经济统战工作的副部长兼任，并担任常务副主席（第一副会长）</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公务员</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人、</w:t>
      </w:r>
      <w:r>
        <w:rPr>
          <w:rFonts w:hint="eastAsia" w:ascii="仿宋_GB2312" w:hAnsi="仿宋_GB2312" w:eastAsia="仿宋_GB2312" w:cs="仿宋_GB2312"/>
          <w:sz w:val="32"/>
          <w:lang w:eastAsia="zh-CN"/>
        </w:rPr>
        <w:t>事业人员</w:t>
      </w:r>
      <w:r>
        <w:rPr>
          <w:rFonts w:hint="eastAsia" w:ascii="仿宋_GB2312" w:hAnsi="仿宋_GB2312" w:eastAsia="仿宋_GB2312" w:cs="仿宋_GB2312"/>
          <w:sz w:val="32"/>
          <w:lang w:val="en-US" w:eastAsia="zh-CN"/>
        </w:rPr>
        <w:t>3人</w:t>
      </w:r>
      <w:r>
        <w:rPr>
          <w:rFonts w:hint="eastAsia" w:ascii="仿宋_GB2312" w:hAnsi="仿宋_GB2312" w:eastAsia="仿宋_GB2312" w:cs="仿宋_GB2312"/>
          <w:sz w:val="32"/>
          <w:lang w:eastAsia="zh-CN"/>
        </w:rPr>
        <w:t>，临聘人员</w:t>
      </w:r>
      <w:r>
        <w:rPr>
          <w:rFonts w:hint="eastAsia" w:ascii="仿宋_GB2312" w:hAnsi="仿宋_GB2312" w:eastAsia="仿宋_GB2312" w:cs="仿宋_GB2312"/>
          <w:sz w:val="32"/>
          <w:lang w:val="en-US" w:eastAsia="zh-CN"/>
        </w:rPr>
        <w:t>2人</w:t>
      </w:r>
      <w:r>
        <w:rPr>
          <w:rFonts w:hint="eastAsia" w:ascii="仿宋_GB2312" w:hAnsi="仿宋_GB2312" w:eastAsia="仿宋_GB2312" w:cs="仿宋_GB2312"/>
          <w:sz w:val="32"/>
        </w:rPr>
        <w:t>。</w:t>
      </w:r>
    </w:p>
    <w:p>
      <w:pPr>
        <w:spacing w:line="596"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eastAsia="zh-CN"/>
        </w:rPr>
        <w:t>三</w:t>
      </w:r>
      <w:r>
        <w:rPr>
          <w:rFonts w:eastAsia="方正仿宋_GBK"/>
          <w:sz w:val="32"/>
          <w:szCs w:val="32"/>
        </w:rPr>
        <w:t>）</w:t>
      </w:r>
      <w:r>
        <w:rPr>
          <w:rFonts w:hint="eastAsia" w:eastAsia="方正仿宋_GBK"/>
          <w:sz w:val="32"/>
          <w:szCs w:val="32"/>
        </w:rPr>
        <w:t>预算及支出情况</w:t>
      </w:r>
      <w:r>
        <w:rPr>
          <w:rFonts w:eastAsia="方正仿宋_GBK"/>
          <w:sz w:val="32"/>
          <w:szCs w:val="32"/>
        </w:rPr>
        <w:t>。</w:t>
      </w:r>
    </w:p>
    <w:p>
      <w:pPr>
        <w:spacing w:line="600" w:lineRule="exact"/>
        <w:ind w:firstLine="640" w:firstLineChars="200"/>
        <w:rPr>
          <w:rFonts w:hint="eastAsia" w:ascii="方正仿宋_GBK" w:hAnsi="仿宋_GB2312" w:eastAsia="方正仿宋_GBK" w:cs="仿宋_GB2312"/>
          <w:sz w:val="32"/>
        </w:rPr>
      </w:pPr>
      <w:r>
        <w:rPr>
          <w:rFonts w:hint="eastAsia" w:ascii="仿宋_GB2312" w:hAnsi="仿宋_GB2312" w:eastAsia="仿宋_GB2312" w:cs="仿宋_GB2312"/>
          <w:sz w:val="32"/>
          <w:lang w:val="en-US" w:eastAsia="zh-CN"/>
        </w:rPr>
        <w:t>区财政局批复的年初预算</w:t>
      </w:r>
      <w:r>
        <w:rPr>
          <w:rFonts w:hint="eastAsia" w:ascii="仿宋_GB2312" w:hAnsi="仿宋_GB2312" w:eastAsia="仿宋_GB2312" w:cs="仿宋_GB2312"/>
          <w:sz w:val="32"/>
        </w:rPr>
        <w:t>：</w:t>
      </w:r>
      <w:r>
        <w:rPr>
          <w:rFonts w:hint="eastAsia" w:ascii="方正仿宋_GBK" w:hAnsi="仿宋_GB2312" w:eastAsia="方正仿宋_GBK" w:cs="仿宋_GB2312"/>
          <w:sz w:val="32"/>
        </w:rPr>
        <w:t>2022年年初预算数</w:t>
      </w:r>
      <w:r>
        <w:rPr>
          <w:rFonts w:hint="eastAsia" w:ascii="方正仿宋_GBK" w:hAnsi="仿宋_GB2312" w:eastAsia="方正仿宋_GBK" w:cs="仿宋_GB2312"/>
          <w:sz w:val="32"/>
          <w:lang w:val="en-US" w:eastAsia="zh-CN"/>
        </w:rPr>
        <w:t>388.49</w:t>
      </w:r>
      <w:r>
        <w:rPr>
          <w:rFonts w:hint="eastAsia" w:ascii="方正仿宋_GBK" w:hAnsi="仿宋_GB2312" w:eastAsia="方正仿宋_GBK" w:cs="仿宋_GB2312"/>
          <w:sz w:val="32"/>
        </w:rPr>
        <w:t>万元，其中：一般公共预算拨款</w:t>
      </w:r>
      <w:r>
        <w:rPr>
          <w:rFonts w:hint="eastAsia" w:ascii="方正仿宋_GBK" w:hAnsi="仿宋_GB2312" w:eastAsia="方正仿宋_GBK" w:cs="仿宋_GB2312"/>
          <w:sz w:val="32"/>
          <w:lang w:val="en-US" w:eastAsia="zh-CN"/>
        </w:rPr>
        <w:t>388.49</w:t>
      </w:r>
      <w:r>
        <w:rPr>
          <w:rFonts w:hint="eastAsia" w:ascii="方正仿宋_GBK" w:hAnsi="仿宋_GB2312" w:eastAsia="方正仿宋_GBK" w:cs="仿宋_GB2312"/>
          <w:sz w:val="32"/>
        </w:rPr>
        <w:t xml:space="preserve">万元，政府性基金预算拨款 </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万元，国有资本经营预算收入</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万元，事业收入</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万元，事业单位经营收入</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万元，其他收入</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万元。收入较2021年增加</w:t>
      </w:r>
      <w:r>
        <w:rPr>
          <w:rFonts w:hint="eastAsia" w:ascii="方正仿宋_GBK" w:hAnsi="仿宋_GB2312" w:eastAsia="方正仿宋_GBK" w:cs="仿宋_GB2312"/>
          <w:sz w:val="32"/>
          <w:lang w:val="en-US" w:eastAsia="zh-CN"/>
        </w:rPr>
        <w:t>16.67</w:t>
      </w:r>
      <w:r>
        <w:rPr>
          <w:rFonts w:hint="eastAsia" w:ascii="方正仿宋_GBK" w:hAnsi="仿宋_GB2312" w:eastAsia="方正仿宋_GBK" w:cs="仿宋_GB2312"/>
          <w:sz w:val="32"/>
        </w:rPr>
        <w:t xml:space="preserve"> 万元，主要是</w:t>
      </w:r>
      <w:r>
        <w:rPr>
          <w:rFonts w:hint="eastAsia" w:ascii="方正仿宋_GBK" w:hAnsi="仿宋_GB2312" w:eastAsia="方正仿宋_GBK" w:cs="仿宋_GB2312"/>
          <w:sz w:val="32"/>
          <w:lang w:eastAsia="zh-CN"/>
        </w:rPr>
        <w:t>人员经费和公用经费增加</w:t>
      </w:r>
      <w:r>
        <w:rPr>
          <w:rFonts w:hint="eastAsia" w:ascii="方正仿宋_GBK" w:hAnsi="仿宋_GB2312" w:eastAsia="方正仿宋_GBK" w:cs="仿宋_GB2312"/>
          <w:sz w:val="32"/>
        </w:rPr>
        <w:t>经费拨款增加</w:t>
      </w:r>
      <w:r>
        <w:rPr>
          <w:rFonts w:hint="eastAsia" w:ascii="方正仿宋_GBK" w:hAnsi="仿宋_GB2312" w:eastAsia="方正仿宋_GBK" w:cs="仿宋_GB2312"/>
          <w:sz w:val="32"/>
          <w:lang w:val="en-US" w:eastAsia="zh-CN"/>
        </w:rPr>
        <w:t>23.98</w:t>
      </w:r>
      <w:r>
        <w:rPr>
          <w:rFonts w:hint="eastAsia" w:ascii="方正仿宋_GBK" w:hAnsi="仿宋_GB2312" w:eastAsia="方正仿宋_GBK" w:cs="仿宋_GB2312"/>
          <w:sz w:val="32"/>
        </w:rPr>
        <w:t>万元</w:t>
      </w:r>
      <w:r>
        <w:rPr>
          <w:rFonts w:hint="eastAsia" w:ascii="方正仿宋_GBK" w:hAnsi="仿宋_GB2312" w:eastAsia="方正仿宋_GBK" w:cs="仿宋_GB2312"/>
          <w:sz w:val="32"/>
          <w:lang w:eastAsia="zh-CN"/>
        </w:rPr>
        <w:t>，项目经费预算减少</w:t>
      </w:r>
      <w:r>
        <w:rPr>
          <w:rFonts w:hint="eastAsia" w:ascii="方正仿宋_GBK" w:hAnsi="仿宋_GB2312" w:eastAsia="方正仿宋_GBK" w:cs="仿宋_GB2312"/>
          <w:sz w:val="32"/>
          <w:lang w:val="en-US" w:eastAsia="zh-CN"/>
        </w:rPr>
        <w:t>7.31万元</w:t>
      </w:r>
      <w:r>
        <w:rPr>
          <w:rFonts w:hint="eastAsia" w:ascii="方正仿宋_GBK" w:hAnsi="仿宋_GB2312" w:eastAsia="方正仿宋_GBK" w:cs="仿宋_GB2312"/>
          <w:sz w:val="32"/>
        </w:rPr>
        <w:t>。</w:t>
      </w:r>
    </w:p>
    <w:p>
      <w:pPr>
        <w:spacing w:line="600" w:lineRule="exact"/>
        <w:ind w:firstLine="640" w:firstLineChars="200"/>
        <w:rPr>
          <w:rFonts w:hint="eastAsia" w:ascii="方正仿宋_GBK" w:hAnsi="仿宋_GB2312" w:eastAsia="方正仿宋_GBK" w:cs="仿宋_GB2312"/>
          <w:sz w:val="32"/>
        </w:rPr>
      </w:pPr>
      <w:r>
        <w:rPr>
          <w:rFonts w:hint="eastAsia" w:ascii="仿宋_GB2312" w:hAnsi="仿宋_GB2312" w:eastAsia="仿宋_GB2312" w:cs="仿宋_GB2312"/>
          <w:sz w:val="32"/>
          <w:lang w:val="en-US" w:eastAsia="zh-CN"/>
        </w:rPr>
        <w:t>区财政资金执行情况</w:t>
      </w:r>
      <w:r>
        <w:rPr>
          <w:rFonts w:hint="eastAsia" w:ascii="仿宋_GB2312" w:hAnsi="仿宋_GB2312" w:eastAsia="仿宋_GB2312" w:cs="仿宋_GB2312"/>
          <w:sz w:val="32"/>
        </w:rPr>
        <w:t>：</w:t>
      </w:r>
      <w:r>
        <w:rPr>
          <w:rFonts w:hint="eastAsia" w:ascii="方正仿宋_GBK" w:hAnsi="仿宋_GB2312" w:eastAsia="方正仿宋_GBK" w:cs="仿宋_GB2312"/>
          <w:sz w:val="32"/>
        </w:rPr>
        <w:t>2022年年初预算数</w:t>
      </w:r>
      <w:r>
        <w:rPr>
          <w:rFonts w:hint="eastAsia" w:ascii="方正仿宋_GBK" w:hAnsi="仿宋_GB2312" w:eastAsia="方正仿宋_GBK" w:cs="仿宋_GB2312"/>
          <w:sz w:val="32"/>
          <w:lang w:val="en-US" w:eastAsia="zh-CN"/>
        </w:rPr>
        <w:t>388.49</w:t>
      </w:r>
      <w:r>
        <w:rPr>
          <w:rFonts w:hint="eastAsia" w:ascii="方正仿宋_GBK" w:hAnsi="仿宋_GB2312" w:eastAsia="方正仿宋_GBK" w:cs="仿宋_GB2312"/>
          <w:sz w:val="32"/>
        </w:rPr>
        <w:t>万元，其中：一般公共服务支出预算</w:t>
      </w:r>
      <w:r>
        <w:rPr>
          <w:rFonts w:hint="eastAsia" w:ascii="方正仿宋_GBK" w:hAnsi="仿宋_GB2312" w:eastAsia="方正仿宋_GBK" w:cs="仿宋_GB2312"/>
          <w:sz w:val="32"/>
          <w:lang w:val="en-US" w:eastAsia="zh-CN"/>
        </w:rPr>
        <w:t>388.49</w:t>
      </w:r>
      <w:r>
        <w:rPr>
          <w:rFonts w:hint="eastAsia" w:ascii="方正仿宋_GBK" w:hAnsi="仿宋_GB2312" w:eastAsia="方正仿宋_GBK" w:cs="仿宋_GB2312"/>
          <w:sz w:val="32"/>
        </w:rPr>
        <w:t>万元，教育支出预算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万元，社会保障和就业支出预算25.12万元，卫生健康支出预算8.05万元，住房保障支出预算9.64万元。支出预算较2021年增加</w:t>
      </w:r>
      <w:r>
        <w:rPr>
          <w:rFonts w:hint="eastAsia" w:ascii="方正仿宋_GBK" w:hAnsi="仿宋_GB2312" w:eastAsia="方正仿宋_GBK" w:cs="仿宋_GB2312"/>
          <w:sz w:val="32"/>
          <w:lang w:val="en-US" w:eastAsia="zh-CN"/>
        </w:rPr>
        <w:t>16.67</w:t>
      </w:r>
      <w:r>
        <w:rPr>
          <w:rFonts w:hint="eastAsia" w:ascii="方正仿宋_GBK" w:hAnsi="仿宋_GB2312" w:eastAsia="方正仿宋_GBK" w:cs="仿宋_GB2312"/>
          <w:sz w:val="32"/>
        </w:rPr>
        <w:t xml:space="preserve"> 万元，主要是基本支出预算增加</w:t>
      </w:r>
      <w:r>
        <w:rPr>
          <w:rFonts w:hint="eastAsia" w:ascii="方正仿宋_GBK" w:hAnsi="仿宋_GB2312" w:eastAsia="方正仿宋_GBK" w:cs="仿宋_GB2312"/>
          <w:sz w:val="32"/>
          <w:lang w:val="en-US" w:eastAsia="zh-CN"/>
        </w:rPr>
        <w:t>23.97</w:t>
      </w:r>
      <w:r>
        <w:rPr>
          <w:rFonts w:hint="eastAsia" w:ascii="方正仿宋_GBK" w:hAnsi="仿宋_GB2312" w:eastAsia="方正仿宋_GBK" w:cs="仿宋_GB2312"/>
          <w:sz w:val="32"/>
        </w:rPr>
        <w:t>万元，项目支出预算</w:t>
      </w:r>
      <w:r>
        <w:rPr>
          <w:rFonts w:hint="eastAsia" w:ascii="方正仿宋_GBK" w:hAnsi="仿宋_GB2312" w:eastAsia="方正仿宋_GBK" w:cs="仿宋_GB2312"/>
          <w:sz w:val="32"/>
          <w:lang w:eastAsia="zh-CN"/>
        </w:rPr>
        <w:t>减少</w:t>
      </w:r>
      <w:r>
        <w:rPr>
          <w:rFonts w:hint="eastAsia" w:ascii="方正仿宋_GBK" w:hAnsi="仿宋_GB2312" w:eastAsia="方正仿宋_GBK" w:cs="仿宋_GB2312"/>
          <w:sz w:val="32"/>
          <w:lang w:val="en-US" w:eastAsia="zh-CN"/>
        </w:rPr>
        <w:t>7.31</w:t>
      </w:r>
      <w:r>
        <w:rPr>
          <w:rFonts w:hint="eastAsia" w:ascii="方正仿宋_GBK" w:hAnsi="仿宋_GB2312" w:eastAsia="方正仿宋_GBK" w:cs="仿宋_GB2312"/>
          <w:sz w:val="32"/>
        </w:rPr>
        <w:t>万元。</w:t>
      </w:r>
    </w:p>
    <w:p>
      <w:pPr>
        <w:spacing w:line="596" w:lineRule="exact"/>
        <w:rPr>
          <w:rFonts w:eastAsia="方正仿宋_GBK"/>
          <w:sz w:val="32"/>
          <w:szCs w:val="32"/>
        </w:rPr>
      </w:pPr>
      <w:r>
        <w:rPr>
          <w:rFonts w:hint="eastAsia" w:eastAsia="方正黑体_GBK"/>
          <w:sz w:val="32"/>
          <w:szCs w:val="32"/>
          <w:lang w:val="en-US" w:eastAsia="zh-CN"/>
        </w:rPr>
        <w:t xml:space="preserve">     </w:t>
      </w: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numPr>
          <w:ilvl w:val="0"/>
          <w:numId w:val="2"/>
        </w:numPr>
        <w:spacing w:line="596" w:lineRule="exact"/>
        <w:ind w:firstLine="640" w:firstLineChars="200"/>
        <w:rPr>
          <w:rFonts w:eastAsia="方正仿宋_GBK"/>
          <w:sz w:val="32"/>
          <w:szCs w:val="32"/>
        </w:rPr>
      </w:pPr>
      <w:r>
        <w:rPr>
          <w:rFonts w:eastAsia="方正仿宋_GBK"/>
          <w:sz w:val="32"/>
          <w:szCs w:val="32"/>
        </w:rPr>
        <w:t>绩效评价目的</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仿宋_GBK"/>
          <w:color w:val="auto"/>
          <w:sz w:val="32"/>
          <w:szCs w:val="32"/>
        </w:rPr>
      </w:pPr>
      <w:r>
        <w:rPr>
          <w:rFonts w:hint="eastAsia" w:ascii="仿宋_GB2312" w:hAnsi="仿宋_GB2312" w:eastAsia="仿宋_GB2312" w:cs="仿宋_GB2312"/>
          <w:sz w:val="32"/>
          <w:lang w:val="en-US" w:eastAsia="zh-CN"/>
        </w:rPr>
        <w:t>对照年初确定的绩效目标各项任务，加强项目和资金管理，确保</w:t>
      </w:r>
      <w:r>
        <w:rPr>
          <w:rFonts w:hint="eastAsia" w:ascii="仿宋_GB2312" w:hAnsi="仿宋_GB2312" w:eastAsia="仿宋_GB2312" w:cs="仿宋_GB2312"/>
          <w:color w:val="auto"/>
          <w:sz w:val="32"/>
          <w:lang w:val="en-US" w:eastAsia="zh-CN"/>
        </w:rPr>
        <w:t>资金使用合规合法，促进工作效率的提高。按要求完成全年“企业之家”的活动、开展各类培训活动、带领非公企业人士外出学习考察、加快商会建设工作、加强与国内优秀工商联和商会的交流学习，扩大璧山影响力等。</w:t>
      </w:r>
    </w:p>
    <w:p>
      <w:pPr>
        <w:spacing w:line="596" w:lineRule="exact"/>
        <w:ind w:firstLine="640" w:firstLineChars="200"/>
        <w:rPr>
          <w:rFonts w:eastAsia="方正仿宋_GBK"/>
          <w:sz w:val="32"/>
          <w:szCs w:val="32"/>
        </w:rPr>
      </w:pPr>
      <w:r>
        <w:rPr>
          <w:rFonts w:eastAsia="方正仿宋_GBK"/>
          <w:sz w:val="32"/>
          <w:szCs w:val="32"/>
        </w:rPr>
        <w:t>（二）绩效评价原则、评价指标体系、评价方法</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绩效评价原则包括</w:t>
      </w:r>
      <w:r>
        <w:rPr>
          <w:rFonts w:ascii="仿宋_GB2312" w:eastAsia="仿宋_GB2312"/>
          <w:bCs/>
          <w:sz w:val="32"/>
          <w:szCs w:val="32"/>
        </w:rPr>
        <w:t>科学规范原则</w:t>
      </w:r>
      <w:r>
        <w:rPr>
          <w:rFonts w:hint="eastAsia" w:ascii="仿宋_GB2312" w:eastAsia="仿宋_GB2312"/>
          <w:bCs/>
          <w:sz w:val="32"/>
          <w:szCs w:val="32"/>
        </w:rPr>
        <w:t>、</w:t>
      </w:r>
      <w:r>
        <w:rPr>
          <w:rFonts w:ascii="仿宋_GB2312" w:eastAsia="仿宋_GB2312"/>
          <w:bCs/>
          <w:sz w:val="32"/>
          <w:szCs w:val="32"/>
        </w:rPr>
        <w:t>公开公正原则</w:t>
      </w:r>
      <w:r>
        <w:rPr>
          <w:rFonts w:hint="eastAsia" w:ascii="仿宋_GB2312" w:eastAsia="仿宋_GB2312"/>
          <w:bCs/>
          <w:sz w:val="32"/>
          <w:szCs w:val="32"/>
        </w:rPr>
        <w:t>、</w:t>
      </w:r>
      <w:r>
        <w:rPr>
          <w:rFonts w:ascii="仿宋_GB2312" w:eastAsia="仿宋_GB2312"/>
          <w:bCs/>
          <w:sz w:val="32"/>
          <w:szCs w:val="32"/>
        </w:rPr>
        <w:t>分级分类原则</w:t>
      </w:r>
      <w:r>
        <w:rPr>
          <w:rFonts w:hint="eastAsia" w:ascii="仿宋_GB2312" w:eastAsia="仿宋_GB2312"/>
          <w:bCs/>
          <w:sz w:val="32"/>
          <w:szCs w:val="32"/>
        </w:rPr>
        <w:t>、</w:t>
      </w:r>
      <w:r>
        <w:rPr>
          <w:rFonts w:ascii="仿宋_GB2312" w:eastAsia="仿宋_GB2312"/>
          <w:bCs/>
          <w:sz w:val="32"/>
          <w:szCs w:val="32"/>
        </w:rPr>
        <w:t>绩效相关原则。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整个指标体系分为投入（7分），过程（24分），产出（</w:t>
      </w:r>
      <w:r>
        <w:rPr>
          <w:rFonts w:hint="eastAsia" w:ascii="仿宋_GB2312" w:eastAsia="仿宋_GB2312"/>
          <w:bCs/>
          <w:sz w:val="32"/>
          <w:szCs w:val="32"/>
          <w:lang w:val="en-US" w:eastAsia="zh-CN"/>
        </w:rPr>
        <w:t>57</w:t>
      </w:r>
      <w:r>
        <w:rPr>
          <w:rFonts w:hint="eastAsia" w:ascii="仿宋_GB2312" w:eastAsia="仿宋_GB2312"/>
          <w:bCs/>
          <w:sz w:val="32"/>
          <w:szCs w:val="32"/>
        </w:rPr>
        <w:t>分），效益（</w:t>
      </w:r>
      <w:r>
        <w:rPr>
          <w:rFonts w:hint="eastAsia" w:ascii="仿宋_GB2312" w:eastAsia="仿宋_GB2312"/>
          <w:bCs/>
          <w:sz w:val="32"/>
          <w:szCs w:val="32"/>
          <w:lang w:val="en-US" w:eastAsia="zh-CN"/>
        </w:rPr>
        <w:t>10</w:t>
      </w:r>
      <w:r>
        <w:rPr>
          <w:rFonts w:hint="eastAsia" w:ascii="仿宋_GB2312" w:eastAsia="仿宋_GB2312"/>
          <w:bCs/>
          <w:sz w:val="32"/>
          <w:szCs w:val="32"/>
        </w:rPr>
        <w:t>分），共设置了4个一级指标，</w:t>
      </w:r>
      <w:r>
        <w:rPr>
          <w:rFonts w:hint="eastAsia" w:ascii="仿宋_GB2312" w:eastAsia="仿宋_GB2312"/>
          <w:bCs/>
          <w:sz w:val="32"/>
          <w:szCs w:val="32"/>
          <w:lang w:val="en-US" w:eastAsia="zh-CN"/>
        </w:rPr>
        <w:t>10</w:t>
      </w:r>
      <w:r>
        <w:rPr>
          <w:rFonts w:hint="eastAsia" w:ascii="仿宋_GB2312" w:eastAsia="仿宋_GB2312"/>
          <w:bCs/>
          <w:sz w:val="32"/>
          <w:szCs w:val="32"/>
        </w:rPr>
        <w:t>个二级指标，</w:t>
      </w:r>
      <w:r>
        <w:rPr>
          <w:rFonts w:hint="eastAsia" w:ascii="仿宋_GB2312" w:eastAsia="仿宋_GB2312"/>
          <w:bCs/>
          <w:sz w:val="32"/>
          <w:szCs w:val="32"/>
          <w:lang w:val="en-US" w:eastAsia="zh-CN"/>
        </w:rPr>
        <w:t>30</w:t>
      </w:r>
      <w:r>
        <w:rPr>
          <w:rFonts w:hint="eastAsia" w:ascii="仿宋_GB2312" w:eastAsia="仿宋_GB2312"/>
          <w:bCs/>
          <w:sz w:val="32"/>
          <w:szCs w:val="32"/>
        </w:rPr>
        <w:t>个三级指标。</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评价的方法主要包括成本效益分析法、比较法、因素分析法、最低成本法、公众评判法、标杆管理法等。</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eastAsia="方正仿宋_GBK"/>
          <w:sz w:val="32"/>
          <w:szCs w:val="32"/>
        </w:rPr>
      </w:pPr>
      <w:r>
        <w:rPr>
          <w:rFonts w:hint="eastAsia" w:eastAsia="方正仿宋_GBK"/>
          <w:sz w:val="32"/>
          <w:szCs w:val="32"/>
        </w:rPr>
        <w:t>包括前期准备、组织实施、分析评价等。</w:t>
      </w:r>
    </w:p>
    <w:p>
      <w:pPr>
        <w:spacing w:line="596" w:lineRule="exact"/>
        <w:ind w:firstLine="640" w:firstLineChars="200"/>
        <w:rPr>
          <w:rFonts w:eastAsia="方正仿宋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hint="eastAsia" w:eastAsia="方正仿宋_GBK"/>
          <w:color w:val="auto"/>
          <w:sz w:val="32"/>
          <w:szCs w:val="32"/>
        </w:rPr>
      </w:pPr>
      <w:r>
        <w:rPr>
          <w:rFonts w:eastAsia="方正仿宋_GBK"/>
          <w:color w:val="auto"/>
          <w:sz w:val="32"/>
          <w:szCs w:val="32"/>
        </w:rPr>
        <w:t>（一）</w:t>
      </w:r>
      <w:r>
        <w:rPr>
          <w:rFonts w:hint="eastAsia" w:eastAsia="方正仿宋_GBK"/>
          <w:color w:val="auto"/>
          <w:sz w:val="32"/>
          <w:szCs w:val="32"/>
        </w:rPr>
        <w:t>投入评价情况</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1、搭建非公经济服务和交流平台工作经费资金2万元，其中：区本级财政资金2万元，分别投入到1个项目，投入资金1.72万元，资金到位率86.13%。</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2、非公经济人士专项视察和调研工作经费项目资金2.55万元，其中：区本级财政资金2.55万元，分别投入到1个项目，投入资金1.452万元，资金到位率56.93%。</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3、友好商会交流 、在外经商璧山籍非公经济人士招商引资推介活动经费、组织非公经济人士开展“走出去、引进来”活动经费项目资金0.17万元，其中：区本级财政资金0.17万元，分别投入到1个项目，投入资金0.17万元，资金到位率100%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4、“企业之家”维护运营经费工作项目资金70.19万元，其中：区本级财政资金70.19万元，分别投入到1个项目，投入资金24.52万元，资金到位率34.94%。</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5、主席会、常委会、执委会例会经费工作项目资金1.7万元，其中：区本级财政资金1.7万元，分别投入到1个项目，投入资金1.47万元，资金到位率86.76%。</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6、区工商联下属商会工作经费项目资金52万元，其中：区本级财政资金52万元，分别投入到1个项目，投入资金0万元，资金到位率0%。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7、购买服务经费工作项目资金45.5万元，其中：区本级财政资金45.5万元，分别投入到1个项目，投入资金45.5万元，资金到位率100%。</w:t>
      </w:r>
    </w:p>
    <w:p>
      <w:pPr>
        <w:spacing w:line="596"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8、购买服务经费工作（结转）项目资金53.40万元，其中：区本级财政资金53.40万元，分别投入到1个项目，投入资金53.19万元，资金到位率99.61%。</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过程评价情况</w:t>
      </w:r>
    </w:p>
    <w:p>
      <w:pPr>
        <w:spacing w:line="600" w:lineRule="exact"/>
        <w:ind w:firstLine="640" w:firstLineChars="200"/>
        <w:jc w:val="left"/>
        <w:rPr>
          <w:rFonts w:hint="eastAsia" w:ascii="仿宋_GB2312" w:hAnsi="仿宋_GB2312" w:eastAsia="仿宋_GB2312" w:cs="仿宋_GB2312"/>
          <w:sz w:val="32"/>
          <w:lang w:val="en-US" w:eastAsia="zh-CN"/>
        </w:rPr>
      </w:pPr>
      <w:r>
        <w:rPr>
          <w:rFonts w:hint="eastAsia" w:eastAsia="方正仿宋_GBK"/>
          <w:sz w:val="32"/>
          <w:szCs w:val="32"/>
        </w:rPr>
        <w:t>在项目实施过程中，</w:t>
      </w:r>
      <w:r>
        <w:rPr>
          <w:rFonts w:hint="eastAsia" w:ascii="仿宋_GB2312" w:hAnsi="仿宋" w:eastAsia="仿宋_GB2312"/>
          <w:color w:val="000000"/>
          <w:sz w:val="32"/>
          <w:szCs w:val="32"/>
        </w:rPr>
        <w:t>中心认真对照每个项目实施方案进行施行，严格按照政府会计制度进行经费管理和监督，确保了实施项目完整和顺利开展。</w:t>
      </w:r>
    </w:p>
    <w:p>
      <w:pPr>
        <w:spacing w:line="596" w:lineRule="exact"/>
        <w:ind w:firstLine="640" w:firstLineChars="200"/>
        <w:rPr>
          <w:rFonts w:eastAsia="方正黑体_GBK"/>
          <w:sz w:val="32"/>
          <w:szCs w:val="32"/>
        </w:rPr>
      </w:pPr>
      <w:r>
        <w:rPr>
          <w:rFonts w:hint="eastAsia" w:eastAsia="方正仿宋_GBK"/>
          <w:sz w:val="32"/>
          <w:szCs w:val="32"/>
          <w:lang w:val="en-US" w:eastAsia="zh-CN"/>
        </w:rPr>
        <w:t xml:space="preserve"> </w:t>
      </w:r>
      <w:r>
        <w:rPr>
          <w:rFonts w:hint="eastAsia" w:eastAsia="方正黑体_GBK"/>
          <w:sz w:val="32"/>
          <w:szCs w:val="32"/>
        </w:rPr>
        <w:t>四</w:t>
      </w:r>
      <w:r>
        <w:rPr>
          <w:rFonts w:eastAsia="方正黑体_GBK"/>
          <w:sz w:val="32"/>
          <w:szCs w:val="32"/>
        </w:rPr>
        <w:t>、主要经验及做法</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1.加强项目全过程管理，事前有计划、事中有管控、事后有反馈，做到“花钱必问效，无效必问责”，提升项目整体施行效果，保障项目有效运转。</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2.加强动态监控，单位内部建立健全内部控制和监督管理机制，做好项目管理工作。对项目进行“三全”监控，切实保障项目保质保量完成，使得资金使用和项目进度相一致，预算执行落实到位。</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黑体_GBK"/>
          <w:sz w:val="32"/>
          <w:szCs w:val="32"/>
        </w:rPr>
      </w:pPr>
      <w:r>
        <w:rPr>
          <w:rFonts w:hint="eastAsia" w:ascii="仿宋_GB2312" w:hAnsi="仿宋_GB2312" w:eastAsia="仿宋_GB2312" w:cs="仿宋_GB2312"/>
          <w:sz w:val="32"/>
          <w:lang w:val="en-US" w:eastAsia="zh-CN"/>
        </w:rPr>
        <w:t>3.强化一把手的领导作用，通过领导小组的方式推动项目有序开展，以领导小组组长为核心，统筹兼顾，分级管理，结合各项目特性对项目进行管理、实施。</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存在的问题和建议</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480" w:firstLineChars="15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）存在问题</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eastAsia="方正黑体_GBK"/>
          <w:sz w:val="32"/>
          <w:szCs w:val="32"/>
        </w:rPr>
      </w:pPr>
      <w:r>
        <w:rPr>
          <w:rFonts w:hint="eastAsia" w:ascii="仿宋_GB2312" w:hAnsi="仿宋_GB2312" w:eastAsia="仿宋_GB2312" w:cs="仿宋_GB2312"/>
          <w:sz w:val="32"/>
          <w:lang w:val="en-US" w:eastAsia="zh-CN"/>
        </w:rPr>
        <w:t>预算编制前根据年度内单位可预见的工作任务，确定了单位年度预算目标，细化了预算指标，但是实际支付过程中，有很多未按严格要求预算指标执行。</w:t>
      </w:r>
    </w:p>
    <w:p>
      <w:pPr>
        <w:pStyle w:val="3"/>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）意见或建议</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建立健全预算管理机制，强化专项资金的监管。财政部门和单位内部监督部门需对项目实施和资金使用进行动态监控，及时掌握项目进度与资金拨付情况，增加项目的公开透明。同时，建立健全监管制度，确保专项资金用到实处，实现效益最大化。</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提升绩效评价结果应用率。树立全面预算绩效管理理念，将绩效评价结果与预算相挂钩，以结果推动资金的申报与拨付，加强资金的利用率和效果。同时，探索配套资金承诺制度和奖罚制度，保障项目申报数据细致可靠。</w:t>
      </w:r>
    </w:p>
    <w:p>
      <w:pPr>
        <w:spacing w:line="596" w:lineRule="exact"/>
        <w:ind w:firstLine="640" w:firstLineChars="200"/>
        <w:rPr>
          <w:rFonts w:eastAsia="方正黑体_GBK"/>
          <w:sz w:val="32"/>
          <w:szCs w:val="32"/>
        </w:rPr>
      </w:pPr>
    </w:p>
    <w:p>
      <w:pPr>
        <w:spacing w:line="600" w:lineRule="exact"/>
        <w:ind w:firstLine="640"/>
        <w:jc w:val="right"/>
        <w:rPr>
          <w:rFonts w:eastAsia="方正仿宋_GBK"/>
          <w:sz w:val="32"/>
          <w:szCs w:val="32"/>
        </w:rPr>
      </w:pPr>
      <w:r>
        <w:rPr>
          <w:rFonts w:hint="eastAsia" w:eastAsia="方正仿宋_GBK"/>
          <w:sz w:val="32"/>
          <w:szCs w:val="32"/>
        </w:rPr>
        <w:t>重庆市璧山区</w:t>
      </w:r>
      <w:r>
        <w:rPr>
          <w:rFonts w:hint="eastAsia" w:eastAsia="方正仿宋_GBK"/>
          <w:sz w:val="32"/>
          <w:szCs w:val="32"/>
          <w:lang w:eastAsia="zh-CN"/>
        </w:rPr>
        <w:t>工商业联合会</w:t>
      </w:r>
    </w:p>
    <w:p>
      <w:pPr>
        <w:spacing w:line="596" w:lineRule="exact"/>
        <w:ind w:firstLine="640" w:firstLineChars="200"/>
        <w:jc w:val="right"/>
        <w:rPr>
          <w:rFonts w:eastAsia="方正仿宋_GBK"/>
          <w:sz w:val="32"/>
          <w:szCs w:val="32"/>
        </w:rPr>
      </w:pPr>
      <w:r>
        <w:rPr>
          <w:rFonts w:hint="eastAsia" w:eastAsia="方正仿宋_GBK"/>
          <w:sz w:val="32"/>
          <w:szCs w:val="32"/>
        </w:rPr>
        <w:t xml:space="preserve">                          202</w:t>
      </w:r>
      <w:r>
        <w:rPr>
          <w:rFonts w:hint="eastAsia" w:eastAsia="方正仿宋_GBK"/>
          <w:sz w:val="32"/>
          <w:szCs w:val="32"/>
          <w:lang w:val="en-US" w:eastAsia="zh-CN"/>
        </w:rPr>
        <w:t>3</w:t>
      </w:r>
      <w:r>
        <w:rPr>
          <w:rFonts w:hint="eastAsia" w:eastAsia="方正仿宋_GBK"/>
          <w:sz w:val="32"/>
          <w:szCs w:val="32"/>
        </w:rPr>
        <w:t>年3月</w:t>
      </w:r>
      <w:r>
        <w:rPr>
          <w:rFonts w:hint="eastAsia" w:eastAsia="方正仿宋_GBK"/>
          <w:sz w:val="32"/>
          <w:szCs w:val="32"/>
          <w:lang w:val="en-US" w:eastAsia="zh-CN"/>
        </w:rPr>
        <w:t>30</w:t>
      </w:r>
      <w:bookmarkStart w:id="0" w:name="_GoBack"/>
      <w:bookmarkEnd w:id="0"/>
      <w:r>
        <w:rPr>
          <w:rFonts w:hint="eastAsia" w:eastAsia="方正仿宋_GBK"/>
          <w:sz w:val="32"/>
          <w:szCs w:val="32"/>
        </w:rPr>
        <w:t xml:space="preserve">日 </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_GBK">
    <w:panose1 w:val="03000509000000000000"/>
    <w:charset w:val="86"/>
    <w:family w:val="script"/>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Calibri Light">
    <w:altName w:val="Calibri"/>
    <w:panose1 w:val="020F0302020204030204"/>
    <w:charset w:val="00"/>
    <w:family w:val="decorative"/>
    <w:pitch w:val="default"/>
    <w:sig w:usb0="00000000" w:usb1="00000000"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3C2C"/>
    <w:multiLevelType w:val="singleLevel"/>
    <w:tmpl w:val="60613C2C"/>
    <w:lvl w:ilvl="0" w:tentative="0">
      <w:start w:val="1"/>
      <w:numFmt w:val="chineseCounting"/>
      <w:suff w:val="nothing"/>
      <w:lvlText w:val="%1、"/>
      <w:lvlJc w:val="left"/>
    </w:lvl>
  </w:abstractNum>
  <w:abstractNum w:abstractNumId="1">
    <w:nsid w:val="60614784"/>
    <w:multiLevelType w:val="singleLevel"/>
    <w:tmpl w:val="6061478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77086"/>
    <w:rsid w:val="00C858DD"/>
    <w:rsid w:val="00CD33CE"/>
    <w:rsid w:val="00CF26C3"/>
    <w:rsid w:val="00D610B4"/>
    <w:rsid w:val="00E05A32"/>
    <w:rsid w:val="00E225F8"/>
    <w:rsid w:val="00E25A0F"/>
    <w:rsid w:val="00E42BE7"/>
    <w:rsid w:val="00E55405"/>
    <w:rsid w:val="00E72086"/>
    <w:rsid w:val="00E91393"/>
    <w:rsid w:val="00EB0A75"/>
    <w:rsid w:val="00EF2A45"/>
    <w:rsid w:val="00F70C2E"/>
    <w:rsid w:val="00F9262E"/>
    <w:rsid w:val="00F93438"/>
    <w:rsid w:val="00FA41F0"/>
    <w:rsid w:val="00FD0041"/>
    <w:rsid w:val="0275304B"/>
    <w:rsid w:val="15FF66A5"/>
    <w:rsid w:val="161847E0"/>
    <w:rsid w:val="181403EF"/>
    <w:rsid w:val="1A93151B"/>
    <w:rsid w:val="21F66CC5"/>
    <w:rsid w:val="282A6A14"/>
    <w:rsid w:val="322467DF"/>
    <w:rsid w:val="37D81E9E"/>
    <w:rsid w:val="3EBD6A21"/>
    <w:rsid w:val="481535C8"/>
    <w:rsid w:val="545C5A7D"/>
    <w:rsid w:val="661A6E81"/>
    <w:rsid w:val="6FB16C86"/>
    <w:rsid w:val="70CD71A7"/>
    <w:rsid w:val="75421129"/>
    <w:rsid w:val="79EF2F58"/>
    <w:rsid w:val="7FA466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Plain Text"/>
    <w:basedOn w:val="1"/>
    <w:unhideWhenUsed/>
    <w:qFormat/>
    <w:uiPriority w:val="99"/>
    <w:rPr>
      <w:rFonts w:hint="eastAsia"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5"/>
    <w:qFormat/>
    <w:uiPriority w:val="99"/>
    <w:rPr>
      <w:rFonts w:ascii="Times New Roman" w:hAnsi="Times New Roman" w:eastAsia="宋体" w:cs="Times New Roman"/>
      <w:sz w:val="18"/>
      <w:szCs w:val="18"/>
    </w:rPr>
  </w:style>
  <w:style w:type="character" w:customStyle="1" w:styleId="10">
    <w:name w:val="页脚 Char"/>
    <w:basedOn w:val="6"/>
    <w:link w:val="4"/>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65</Words>
  <Characters>377</Characters>
  <Lines>3</Lines>
  <Paragraphs>1</Paragraphs>
  <ScaleCrop>false</ScaleCrop>
  <LinksUpToDate>false</LinksUpToDate>
  <CharactersWithSpaces>441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2021-03-30T08:01:00Z</cp:lastPrinted>
  <dcterms:modified xsi:type="dcterms:W3CDTF">2023-03-30T04:53:17Z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