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ascii="方正仿宋_GBK" w:hAnsi="方正仿宋_GBK" w:eastAsia="方正仿宋_GBK" w:cs="方正仿宋_GBK"/>
          <w:color w:val="auto"/>
          <w:sz w:val="44"/>
          <w:szCs w:val="32"/>
          <w:lang w:eastAsia="zh-CN"/>
        </w:rPr>
      </w:pPr>
      <w:bookmarkStart w:id="1" w:name="_GoBack"/>
      <w:bookmarkEnd w:id="1"/>
      <w:r>
        <w:rPr>
          <w:rFonts w:hint="eastAsia" w:ascii="方正仿宋_GBK" w:hAnsi="方正仿宋_GBK" w:eastAsia="方正仿宋_GBK" w:cs="方正仿宋_GBK"/>
          <w:color w:val="auto"/>
          <w:sz w:val="44"/>
          <w:szCs w:val="32"/>
          <w:lang w:val="en-US" w:eastAsia="zh-CN"/>
        </w:rPr>
        <w:t>重庆市</w:t>
      </w:r>
      <w:r>
        <w:rPr>
          <w:rFonts w:hint="eastAsia" w:ascii="方正仿宋_GBK" w:hAnsi="方正仿宋_GBK" w:eastAsia="方正仿宋_GBK" w:cs="方正仿宋_GBK"/>
          <w:color w:val="auto"/>
          <w:sz w:val="44"/>
          <w:szCs w:val="32"/>
        </w:rPr>
        <w:t>璧山区</w:t>
      </w:r>
      <w:r>
        <w:rPr>
          <w:rFonts w:hint="eastAsia" w:ascii="方正仿宋_GBK" w:hAnsi="方正仿宋_GBK" w:eastAsia="方正仿宋_GBK" w:cs="方正仿宋_GBK"/>
          <w:color w:val="auto"/>
          <w:sz w:val="44"/>
          <w:szCs w:val="32"/>
          <w:lang w:val="en-US" w:eastAsia="zh-CN"/>
        </w:rPr>
        <w:t>统计局</w:t>
      </w:r>
    </w:p>
    <w:p>
      <w:pPr>
        <w:pStyle w:val="13"/>
        <w:spacing w:line="596" w:lineRule="exact"/>
        <w:ind w:left="359" w:leftChars="171" w:firstLine="1100" w:firstLineChars="250"/>
        <w:rPr>
          <w:rFonts w:hint="eastAsia" w:ascii="方正仿宋_GBK" w:hAnsi="方正仿宋_GBK" w:eastAsia="方正仿宋_GBK" w:cs="方正仿宋_GBK"/>
          <w:sz w:val="44"/>
          <w:szCs w:val="32"/>
        </w:rPr>
      </w:pPr>
      <w:r>
        <w:rPr>
          <w:rFonts w:hint="eastAsia" w:ascii="方正仿宋_GBK" w:hAnsi="方正仿宋_GBK" w:eastAsia="方正仿宋_GBK" w:cs="方正仿宋_GBK"/>
          <w:sz w:val="44"/>
          <w:szCs w:val="32"/>
        </w:rPr>
        <w:t>2022年度整体支出绩效自评报告</w:t>
      </w:r>
    </w:p>
    <w:p>
      <w:pPr>
        <w:pStyle w:val="13"/>
        <w:spacing w:line="596" w:lineRule="exact"/>
        <w:ind w:left="357" w:firstLine="640"/>
        <w:rPr>
          <w:rFonts w:hint="eastAsia" w:ascii="方正仿宋_GBK" w:hAnsi="方正仿宋_GBK" w:eastAsia="方正仿宋_GBK" w:cs="方正仿宋_GBK"/>
          <w:sz w:val="32"/>
          <w:szCs w:val="32"/>
        </w:rPr>
      </w:pP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一、基本情况</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color w:val="000000" w:themeColor="text1"/>
          <w:sz w:val="32"/>
          <w:szCs w:val="32"/>
        </w:rPr>
        <w:t>部门（单位）</w:t>
      </w:r>
      <w:r>
        <w:rPr>
          <w:rFonts w:hint="eastAsia" w:ascii="方正仿宋_GBK" w:hAnsi="方正仿宋_GBK" w:eastAsia="方正仿宋_GBK" w:cs="方正仿宋_GBK"/>
          <w:sz w:val="32"/>
          <w:szCs w:val="32"/>
        </w:rPr>
        <w:t>基本情况。</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1、部门</w:t>
      </w:r>
      <w:r>
        <w:rPr>
          <w:rFonts w:hint="eastAsia" w:ascii="方正仿宋_GBK" w:hAnsi="方正仿宋_GBK" w:eastAsia="方正仿宋_GBK" w:cs="方正仿宋_GBK"/>
          <w:color w:val="000000" w:themeColor="text1"/>
          <w:sz w:val="32"/>
          <w:szCs w:val="32"/>
        </w:rPr>
        <w:t>（单位）</w:t>
      </w:r>
      <w:r>
        <w:rPr>
          <w:rFonts w:hint="eastAsia" w:ascii="方正仿宋_GBK" w:hAnsi="方正仿宋_GBK" w:eastAsia="方正仿宋_GBK" w:cs="方正仿宋_GBK"/>
          <w:sz w:val="32"/>
          <w:szCs w:val="32"/>
        </w:rPr>
        <w:t>职级</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重庆市璧山区统计局是区政府工作部门，为正处级。</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2、内设机构及编制</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重庆市璧山区统计局设下列内设机构：</w:t>
      </w:r>
      <w:r>
        <w:rPr>
          <w:rFonts w:hint="eastAsia" w:ascii="方正仿宋_GBK" w:hAnsi="方正仿宋_GBK" w:eastAsia="方正仿宋_GBK" w:cs="方正仿宋_GBK"/>
          <w:color w:val="auto"/>
          <w:sz w:val="32"/>
          <w:szCs w:val="32"/>
          <w:highlight w:val="none"/>
          <w:lang w:val="en-US" w:eastAsia="zh-CN"/>
        </w:rPr>
        <w:t xml:space="preserve"> </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办公室。负责文电、会务、机要、档案等机关日常运转工作；负责机关日常工作的协调和督查；负责机关国有资产的管理；承担公务接待、安全、保密、信访、政务公开、后勤服务等工作；其他有关工作。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综合核算科。负责组织实施国民经济核算制度，搜集、整理和提供国民经济核算资料，并对数据质量进行审核评估，核算全区地区生产总值；组织实施全区经济社会发展统计监测和统计预警分析，进行统计分析和提供咨询服务；参与对镇街和区级部门的考核评价工作；组织实施有关人口、劳动力和劳动收入统计调查；承担社情民意调查；负责统一核定、管理、公布、出版全区性的基本统计资料，管理综合统计数据库；负责对统计数据的使用和提供进行管理、审查、咨询服务；其他有关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业能源统计科。组织实施工业统计调查、收集、整理和提供有关的调查统计数据，并对工业数据质量进行审核评估；组织实施有关能源资源统计调查，开展全区节能降耗统计监测和评价工作；组织实施有关社会发展、科技、环境等统计调查；组织实施妇女、儿童发展纲要（规划）统计监测；研究和实施本专业统计方法制度改革，进行统计分析和提供咨询服务，指导本专业统计基础工作；其他有关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建设投资统计科。组织实施全区有关固定资产投资、房地产业、建筑业的统计调查；管理协调各镇街、相关部门本专业的统计调查；搜集、整理和提供本专业统计数据，并对数据质量进行审核评估；研究和实施本专业有关统计制度方法改革；进行统计分析和提供咨询服务；指导本专业统计基础工作；其他有关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服务业统计科。组织实施有关交通运输、仓储业和邮政业、信息传输、计算机服务和软件业、金融业、租赁和商务服务业、水利和公共设施管理业、居民服务业和其他服务业、公共管理和社会组织等服务业的统计工作调查；组织实施全区有关批发和零售业、住宿和餐饮业以及商品市场运行情况等统计调查；承担利用内资统计调查；管理协调镇街、相关部门本专业的统计调查；搜集、整理和提供本专业统计数据，并对数据质量进行审核评估；研究和实施本专业有关统计制度方法改革；进行统计分析和提供咨询服务；指导本专业统计基础工作；其他有关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重庆市璧山区统计局机关核定行政编制11名；设局长1名，副局长3名，科级领导职数5名。</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机关后勤服务人员事业编制1名。</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color w:val="000000" w:themeColor="text1"/>
          <w:sz w:val="32"/>
          <w:szCs w:val="32"/>
        </w:rPr>
        <w:t>（单位）</w:t>
      </w:r>
      <w:r>
        <w:rPr>
          <w:rFonts w:hint="eastAsia" w:ascii="方正仿宋_GBK" w:hAnsi="方正仿宋_GBK" w:eastAsia="方正仿宋_GBK" w:cs="方正仿宋_GBK"/>
          <w:sz w:val="32"/>
          <w:szCs w:val="32"/>
        </w:rPr>
        <w:t>职能职责</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）承担组织领导和管理协调全区统计调查工作，确保统计数据真实、准确、及时。组织实施国家统计制度、统计标准和发展规划，制定并组织实施地方统计调查制度和统计改革发展规划。</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）贯彻执行统计法律、法规和方针政策，查处统计违法违纪行为，依法对涉外调查事务、民间统计进行监督管理。负责区级统计综合执法，具体执法交由执法队伍承担，并以部门的名义统一执法。</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）管理和指导镇街、部门统计工作。协助镇街管理统计办负责人，依法组织对镇街和部门统计数据进行审核、评估，依法管理审批地方统计调查项目。</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）组织实施全区人口、经济、农业等有关普查和专项调查，会同有关部门拟订区情区力普查方案。</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）组织实施全区国民经济核算制度，核算全区地区生产总值，搜集、整理和提供国民经济核算有关资料。</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）组织实施全区一、二、三产业统计调查，搜集、整理和提供有关国民经济、社会发展、科技进步、能源资源和环境等统计数据。</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建立有关统计数据质量审核、评估和监控制度并组织实施；整理、核定、管理、提供、发布全区基本统计资料。发布全区国民经济和社会发展情况的基本统计信息；加强对全区统计信息发布的规范管理，组织建立全区统计信息共享平台。</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对全区国民经济、社会发展、科技进步、能源资源、环境等情况进行统计分析、统计预警和统计监督。组织实施全区经济社会发展的统计监测和评价，开展统计决策咨询服务，参与对镇街、区级部门和企业的考核评价工作。将</w:t>
      </w:r>
      <w:r>
        <w:rPr>
          <w:rFonts w:hint="eastAsia" w:ascii="方正仿宋_GBK" w:hAnsi="方正仿宋_GBK" w:eastAsia="方正仿宋_GBK" w:cs="方正仿宋_GBK"/>
          <w:color w:val="auto"/>
          <w:sz w:val="32"/>
          <w:szCs w:val="32"/>
          <w:highlight w:val="none"/>
        </w:rPr>
        <w:t>重庆市璧山区统计局</w:t>
      </w:r>
      <w:r>
        <w:rPr>
          <w:rFonts w:hint="eastAsia" w:ascii="方正仿宋_GBK" w:hAnsi="方正仿宋_GBK" w:eastAsia="方正仿宋_GBK" w:cs="方正仿宋_GBK"/>
          <w:color w:val="auto"/>
          <w:sz w:val="32"/>
          <w:szCs w:val="32"/>
          <w:highlight w:val="none"/>
          <w:lang w:eastAsia="zh-CN"/>
        </w:rPr>
        <w:t>所属的重庆市璧山区社会经济调查队和重庆市璧山区普查中心承担的行政职能划入机关，除综合行政执法机构外，所属事业单位不再承担行政职能。</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）制定并组织实施全区统计信息化建设，组织指导全区统计科学研究和统计工作合作交流。</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eastAsia="zh-CN"/>
        </w:rPr>
        <w:t>）负责全区专兼职统计人员的业务管理工作，牵头组织全区统计人员专业技术培训等工作。</w:t>
      </w:r>
    </w:p>
    <w:p>
      <w:pPr>
        <w:pageBreakBefore w:val="0"/>
        <w:kinsoku/>
        <w:wordWrap/>
        <w:overflowPunct/>
        <w:topLinePunct w:val="0"/>
        <w:autoSpaceDE/>
        <w:autoSpaceDN/>
        <w:bidi w:val="0"/>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lang w:eastAsia="zh-CN"/>
        </w:rPr>
        <w:t>）完成区委、区政府交办的其他任务。</w:t>
      </w:r>
      <w:bookmarkStart w:id="0" w:name="_Toc24968"/>
    </w:p>
    <w:p>
      <w:pPr>
        <w:pageBreakBefore w:val="0"/>
        <w:kinsoku/>
        <w:wordWrap/>
        <w:overflowPunct/>
        <w:topLinePunct w:val="0"/>
        <w:autoSpaceDE/>
        <w:autoSpaceDN/>
        <w:bidi w:val="0"/>
        <w:spacing w:line="600" w:lineRule="exact"/>
        <w:ind w:firstLine="643" w:firstLineChars="20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（二）预算及支出情况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年财政资金年初支出预算为15367717.4</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元，年中调整预算为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11540607.35</w:t>
      </w:r>
      <w:r>
        <w:rPr>
          <w:rFonts w:hint="eastAsia" w:ascii="方正仿宋_GBK" w:hAnsi="方正仿宋_GBK" w:eastAsia="方正仿宋_GBK" w:cs="方正仿宋_GBK"/>
          <w:color w:val="auto"/>
          <w:sz w:val="32"/>
          <w:szCs w:val="32"/>
          <w:highlight w:val="none"/>
        </w:rPr>
        <w:t>元，</w:t>
      </w:r>
      <w:r>
        <w:rPr>
          <w:rFonts w:hint="eastAsia" w:ascii="方正仿宋_GBK" w:hAnsi="方正仿宋_GBK" w:eastAsia="方正仿宋_GBK" w:cs="方正仿宋_GBK"/>
          <w:color w:val="auto"/>
          <w:kern w:val="0"/>
          <w:sz w:val="32"/>
          <w:szCs w:val="32"/>
          <w:highlight w:val="none"/>
          <w:shd w:val="clear" w:color="auto" w:fill="FFFFFF"/>
          <w:lang w:val="en-US" w:eastAsia="zh-CN"/>
        </w:rPr>
        <w:t>上年结转2050.00元</w:t>
      </w:r>
      <w:r>
        <w:rPr>
          <w:rFonts w:hint="eastAsia" w:ascii="方正仿宋_GBK" w:hAnsi="方正仿宋_GBK" w:eastAsia="方正仿宋_GBK" w:cs="方正仿宋_GBK"/>
          <w:color w:val="auto"/>
          <w:sz w:val="32"/>
          <w:szCs w:val="32"/>
          <w:highlight w:val="none"/>
        </w:rPr>
        <w:t>，调整后支出预算为11542657.35元；年末支出决算为11542657.35元</w:t>
      </w:r>
      <w:r>
        <w:rPr>
          <w:rFonts w:hint="eastAsia" w:ascii="方正仿宋_GBK" w:hAnsi="方正仿宋_GBK" w:eastAsia="方正仿宋_GBK" w:cs="方正仿宋_GBK"/>
          <w:color w:val="auto"/>
          <w:sz w:val="32"/>
          <w:szCs w:val="32"/>
          <w:highlight w:val="none"/>
          <w:lang w:eastAsia="zh-CN"/>
        </w:rPr>
        <w:t>，年末结转和结余为</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lang w:eastAsia="zh-CN"/>
        </w:rPr>
        <w:t>元。</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二、主要成效</w:t>
      </w:r>
    </w:p>
    <w:p>
      <w:pPr>
        <w:spacing w:line="600" w:lineRule="exact"/>
        <w:ind w:firstLine="640" w:firstLineChars="200"/>
        <w:textAlignment w:val="baseline"/>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auto"/>
          <w:sz w:val="32"/>
          <w:szCs w:val="32"/>
          <w:lang w:val="en-US" w:eastAsia="zh-CN"/>
        </w:rPr>
        <w:t>单位</w:t>
      </w:r>
      <w:r>
        <w:rPr>
          <w:rFonts w:hint="eastAsia" w:ascii="方正仿宋_GBK" w:hAnsi="方正仿宋_GBK" w:eastAsia="方正仿宋_GBK" w:cs="方正仿宋_GBK"/>
          <w:color w:val="000000" w:themeColor="text1"/>
          <w:sz w:val="32"/>
          <w:szCs w:val="32"/>
        </w:rPr>
        <w:t>在区委、区政府的坚强领导下，着眼全区大局，紧紧围绕区委、区政府工作安排，</w:t>
      </w:r>
      <w:r>
        <w:rPr>
          <w:rStyle w:val="9"/>
          <w:rFonts w:hint="eastAsia" w:ascii="方正仿宋_GBK" w:hAnsi="方正仿宋_GBK" w:eastAsia="方正仿宋_GBK" w:cs="方正仿宋_GBK"/>
          <w:b w:val="0"/>
          <w:color w:val="000000" w:themeColor="text1"/>
          <w:sz w:val="32"/>
          <w:szCs w:val="32"/>
          <w:shd w:val="clear" w:color="auto" w:fill="FFFFFF"/>
        </w:rPr>
        <w:t>守正创新、锐意进取、主动作为</w:t>
      </w:r>
      <w:r>
        <w:rPr>
          <w:rFonts w:hint="eastAsia" w:ascii="方正仿宋_GBK" w:hAnsi="方正仿宋_GBK" w:eastAsia="方正仿宋_GBK" w:cs="方正仿宋_GBK"/>
          <w:color w:val="000000" w:themeColor="text1"/>
          <w:sz w:val="32"/>
          <w:szCs w:val="32"/>
        </w:rPr>
        <w:t>，较好地发挥了统计信息、咨询和监督职能作用</w:t>
      </w:r>
      <w:r>
        <w:rPr>
          <w:rFonts w:hint="eastAsia" w:ascii="方正仿宋_GBK" w:hAnsi="方正仿宋_GBK" w:eastAsia="方正仿宋_GBK" w:cs="方正仿宋_GBK"/>
          <w:color w:val="000000" w:themeColor="text1"/>
          <w:kern w:val="0"/>
          <w:sz w:val="32"/>
          <w:szCs w:val="32"/>
        </w:rPr>
        <w:t>。</w:t>
      </w:r>
    </w:p>
    <w:p>
      <w:pPr>
        <w:widowControl/>
        <w:spacing w:line="600" w:lineRule="exact"/>
        <w:ind w:firstLine="640" w:firstLineChars="200"/>
        <w:textAlignment w:val="baseline"/>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围绕服务全区“六稳”“六保”工作大局，及时开展疫情及持续高温限电对企业经营的影响调查，不断增强监测预警的针对性和前瞻性。密切与行业主管部门沟通协调，以工业、商业和服务业黄金样本为重点进行月度调度和实地调研分析，精准研判经济运行态势并提出合理对策建议。</w:t>
      </w:r>
      <w:r>
        <w:rPr>
          <w:rFonts w:hint="eastAsia" w:ascii="方正仿宋_GBK" w:hAnsi="方正仿宋_GBK" w:eastAsia="方正仿宋_GBK" w:cs="方正仿宋_GBK"/>
          <w:color w:val="000000" w:themeColor="text1"/>
          <w:kern w:val="0"/>
          <w:sz w:val="32"/>
          <w:szCs w:val="32"/>
          <w:shd w:val="clear" w:color="auto" w:fill="FFFFFF"/>
        </w:rPr>
        <w:t>共</w:t>
      </w:r>
      <w:r>
        <w:rPr>
          <w:rFonts w:hint="eastAsia" w:ascii="方正仿宋_GBK" w:hAnsi="方正仿宋_GBK" w:eastAsia="方正仿宋_GBK" w:cs="方正仿宋_GBK"/>
          <w:color w:val="000000" w:themeColor="text1"/>
          <w:kern w:val="0"/>
          <w:sz w:val="32"/>
          <w:szCs w:val="32"/>
        </w:rPr>
        <w:t>完成</w:t>
      </w:r>
      <w:r>
        <w:rPr>
          <w:rFonts w:hint="eastAsia" w:ascii="方正仿宋_GBK" w:hAnsi="方正仿宋_GBK" w:eastAsia="方正仿宋_GBK" w:cs="方正仿宋_GBK"/>
          <w:color w:val="000000" w:themeColor="text1"/>
          <w:kern w:val="0"/>
          <w:sz w:val="32"/>
          <w:szCs w:val="32"/>
          <w:shd w:val="clear" w:color="auto" w:fill="FFFFFF"/>
        </w:rPr>
        <w:t>经济运行监测分析43期、黄金样本调查分析18期</w:t>
      </w:r>
      <w:r>
        <w:rPr>
          <w:rFonts w:hint="eastAsia" w:ascii="方正仿宋_GBK" w:hAnsi="方正仿宋_GBK" w:eastAsia="方正仿宋_GBK" w:cs="方正仿宋_GBK"/>
          <w:color w:val="000000" w:themeColor="text1"/>
          <w:kern w:val="0"/>
          <w:sz w:val="32"/>
          <w:szCs w:val="32"/>
          <w:shd w:val="clear" w:color="auto" w:fill="FFFFFF"/>
          <w:lang w:eastAsia="zh-CN"/>
        </w:rPr>
        <w:t>，</w:t>
      </w:r>
      <w:r>
        <w:rPr>
          <w:rFonts w:hint="eastAsia" w:ascii="方正仿宋_GBK" w:hAnsi="方正仿宋_GBK" w:eastAsia="方正仿宋_GBK" w:cs="方正仿宋_GBK"/>
          <w:color w:val="000000" w:themeColor="text1"/>
          <w:kern w:val="0"/>
          <w:sz w:val="32"/>
          <w:szCs w:val="32"/>
          <w:shd w:val="clear" w:color="auto" w:fill="FFFFFF"/>
        </w:rPr>
        <w:t>切实当好党委政府参谋助手。</w:t>
      </w:r>
    </w:p>
    <w:p>
      <w:pPr>
        <w:widowControl/>
        <w:shd w:val="clear" w:color="auto" w:fill="FFFFFF"/>
        <w:spacing w:line="600" w:lineRule="exact"/>
        <w:ind w:firstLine="640" w:firstLineChars="200"/>
        <w:textAlignment w:val="baseline"/>
        <w:rPr>
          <w:rFonts w:hint="eastAsia" w:ascii="方正仿宋_GBK" w:hAnsi="方正仿宋_GBK" w:eastAsia="方正仿宋_GBK" w:cs="方正仿宋_GBK"/>
          <w:color w:val="000000" w:themeColor="text1"/>
          <w:kern w:val="0"/>
          <w:sz w:val="32"/>
          <w:szCs w:val="32"/>
          <w:highlight w:val="none"/>
        </w:rPr>
      </w:pPr>
      <w:r>
        <w:rPr>
          <w:rFonts w:hint="eastAsia" w:ascii="方正仿宋_GBK" w:hAnsi="方正仿宋_GBK" w:eastAsia="方正仿宋_GBK" w:cs="方正仿宋_GBK"/>
          <w:color w:val="000000" w:themeColor="text1"/>
          <w:kern w:val="0"/>
          <w:sz w:val="32"/>
          <w:szCs w:val="32"/>
        </w:rPr>
        <w:t>围绕“五新四城”，在养老、教育等民生领域以及科技创新、产业集群、营</w:t>
      </w:r>
      <w:r>
        <w:rPr>
          <w:rFonts w:hint="eastAsia" w:ascii="方正仿宋_GBK" w:hAnsi="方正仿宋_GBK" w:eastAsia="方正仿宋_GBK" w:cs="方正仿宋_GBK"/>
          <w:color w:val="000000" w:themeColor="text1"/>
          <w:kern w:val="0"/>
          <w:sz w:val="32"/>
          <w:szCs w:val="32"/>
          <w:highlight w:val="none"/>
        </w:rPr>
        <w:t>商环境、基层治理、生育意愿、居民幸福感等方面深入开展课题研究，完成专题报告7期</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themeColor="text1"/>
          <w:kern w:val="0"/>
          <w:sz w:val="32"/>
          <w:szCs w:val="32"/>
          <w:highlight w:val="none"/>
        </w:rPr>
        <w:t>针对稳企惠企政策落实情况、增值税留抵退税等社会热点问题及时开展调查研究，完成调查分析4期</w:t>
      </w:r>
      <w:r>
        <w:rPr>
          <w:rFonts w:hint="eastAsia" w:ascii="方正仿宋_GBK" w:hAnsi="方正仿宋_GBK" w:eastAsia="方正仿宋_GBK" w:cs="方正仿宋_GBK"/>
          <w:color w:val="000000" w:themeColor="text1"/>
          <w:kern w:val="0"/>
          <w:sz w:val="32"/>
          <w:szCs w:val="32"/>
          <w:highlight w:val="none"/>
          <w:lang w:eastAsia="zh-CN"/>
        </w:rPr>
        <w:t>，</w:t>
      </w:r>
      <w:r>
        <w:rPr>
          <w:rFonts w:hint="eastAsia" w:ascii="方正仿宋_GBK" w:hAnsi="方正仿宋_GBK" w:eastAsia="方正仿宋_GBK" w:cs="方正仿宋_GBK"/>
          <w:color w:val="000000" w:themeColor="text1"/>
          <w:kern w:val="0"/>
          <w:sz w:val="32"/>
          <w:szCs w:val="32"/>
          <w:highlight w:val="none"/>
        </w:rPr>
        <w:t>为全区高质量发展提供有力的统计支撑。</w:t>
      </w:r>
    </w:p>
    <w:p>
      <w:pPr>
        <w:spacing w:line="596"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themeColor="text1"/>
          <w:sz w:val="32"/>
          <w:szCs w:val="32"/>
          <w:highlight w:val="none"/>
        </w:rPr>
        <w:t>坚持从基层基础出发，扎实开展20多个专业的常规调查，指导督促企业统全报准源头数据，</w:t>
      </w:r>
      <w:r>
        <w:rPr>
          <w:rFonts w:hint="eastAsia" w:ascii="方正仿宋_GBK" w:hAnsi="方正仿宋_GBK" w:eastAsia="方正仿宋_GBK" w:cs="方正仿宋_GBK"/>
          <w:color w:val="000000" w:themeColor="text1"/>
          <w:sz w:val="32"/>
          <w:szCs w:val="32"/>
          <w:highlight w:val="none"/>
          <w:shd w:val="clear" w:color="auto" w:fill="FFFFFF"/>
        </w:rPr>
        <w:t>全年累计开展统计业务培训23期，参训3000余人</w:t>
      </w:r>
      <w:r>
        <w:rPr>
          <w:rFonts w:hint="eastAsia" w:ascii="方正仿宋_GBK" w:hAnsi="方正仿宋_GBK" w:eastAsia="方正仿宋_GBK" w:cs="方正仿宋_GBK"/>
          <w:color w:val="000000" w:themeColor="text1"/>
          <w:sz w:val="32"/>
          <w:szCs w:val="32"/>
          <w:highlight w:val="none"/>
          <w:shd w:val="clear" w:color="auto" w:fill="FFFFFF"/>
          <w:lang w:eastAsia="zh-CN"/>
        </w:rPr>
        <w:t>；</w:t>
      </w:r>
      <w:r>
        <w:rPr>
          <w:rFonts w:hint="eastAsia" w:ascii="方正仿宋_GBK" w:hAnsi="方正仿宋_GBK" w:eastAsia="方正仿宋_GBK" w:cs="方正仿宋_GBK"/>
          <w:color w:val="auto"/>
          <w:sz w:val="32"/>
          <w:szCs w:val="32"/>
          <w:lang w:val="en-US" w:eastAsia="zh-CN"/>
        </w:rPr>
        <w:t>组织实施统计信息化建设，保障网络及相关设备正常运行；全年统计电子台账安装887家，实现“四上企业”全覆盖；加强统计执法监督检查，执法检查单位共计59家；扎实开展住户调查大样本轮换工作，为未来5年准确反映全区城乡居民收支奠定坚实基础。</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三、绩效评价情况及结论</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璧山区统计局</w:t>
      </w:r>
      <w:r>
        <w:rPr>
          <w:rFonts w:hint="eastAsia" w:ascii="方正仿宋_GBK" w:hAnsi="方正仿宋_GBK" w:eastAsia="方正仿宋_GBK" w:cs="方正仿宋_GBK"/>
          <w:sz w:val="32"/>
          <w:szCs w:val="32"/>
        </w:rPr>
        <w:t>2022年度部门整体支出绩效自评表》中的指标体系分析情况，</w:t>
      </w:r>
      <w:r>
        <w:rPr>
          <w:rFonts w:hint="eastAsia" w:ascii="方正仿宋_GBK" w:hAnsi="方正仿宋_GBK" w:eastAsia="方正仿宋_GBK" w:cs="方正仿宋_GBK"/>
          <w:sz w:val="32"/>
          <w:szCs w:val="32"/>
          <w:lang w:val="en-US" w:eastAsia="zh-CN"/>
        </w:rPr>
        <w:t>璧山区统计局</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年度部门整体支出绩效自评总</w:t>
      </w:r>
      <w:r>
        <w:rPr>
          <w:rFonts w:hint="eastAsia" w:ascii="方正仿宋_GBK" w:hAnsi="方正仿宋_GBK" w:eastAsia="方正仿宋_GBK" w:cs="方正仿宋_GBK"/>
          <w:color w:val="auto"/>
          <w:sz w:val="32"/>
          <w:szCs w:val="32"/>
        </w:rPr>
        <w:t>得分98.</w:t>
      </w:r>
      <w:r>
        <w:rPr>
          <w:rFonts w:hint="eastAsia" w:ascii="方正仿宋_GBK" w:hAnsi="方正仿宋_GBK" w:eastAsia="方正仿宋_GBK" w:cs="方正仿宋_GBK"/>
          <w:color w:val="auto"/>
          <w:sz w:val="32"/>
          <w:szCs w:val="32"/>
          <w:lang w:val="en-US" w:eastAsia="zh-CN"/>
        </w:rPr>
        <w:t>56</w:t>
      </w:r>
      <w:r>
        <w:rPr>
          <w:rFonts w:hint="eastAsia" w:ascii="方正仿宋_GBK" w:hAnsi="方正仿宋_GBK" w:eastAsia="方正仿宋_GBK" w:cs="方正仿宋_GBK"/>
          <w:color w:val="auto"/>
          <w:sz w:val="32"/>
          <w:szCs w:val="32"/>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方正仿宋_GBK" w:hAnsi="方正仿宋_GBK" w:eastAsia="方正仿宋_GBK" w:cs="方正仿宋_GBK"/>
          <w:color w:val="auto"/>
          <w:kern w:val="0"/>
          <w:sz w:val="28"/>
          <w:szCs w:val="28"/>
          <w:highlight w:val="none"/>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方正仿宋_GBK" w:hAnsi="方正仿宋_GBK" w:eastAsia="方正仿宋_GBK" w:cs="方正仿宋_GBK"/>
          <w:color w:val="auto"/>
          <w:kern w:val="0"/>
          <w:sz w:val="28"/>
          <w:szCs w:val="28"/>
          <w:highlight w:val="none"/>
          <w:shd w:val="clear" w:color="auto" w:fill="FFFFFF"/>
          <w:lang w:val="en-US" w:eastAsia="zh-CN"/>
        </w:rPr>
      </w:pPr>
      <w:r>
        <w:rPr>
          <w:rFonts w:hint="eastAsia" w:ascii="方正仿宋_GBK" w:hAnsi="方正仿宋_GBK" w:eastAsia="方正仿宋_GBK" w:cs="方正仿宋_GBK"/>
          <w:color w:val="auto"/>
          <w:kern w:val="0"/>
          <w:sz w:val="28"/>
          <w:szCs w:val="28"/>
          <w:highlight w:val="none"/>
          <w:shd w:val="clear" w:color="auto" w:fill="FFFFFF"/>
          <w:lang w:val="en-US" w:eastAsia="zh-CN"/>
        </w:rPr>
        <w:t>表 1：指标得分情况</w:t>
      </w:r>
    </w:p>
    <w:tbl>
      <w:tblPr>
        <w:tblStyle w:val="7"/>
        <w:tblW w:w="43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9"/>
        <w:gridCol w:w="960"/>
        <w:gridCol w:w="88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指标名称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权重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得分</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得分系数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预算执行率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预决算公开率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数据采集及时率（按照统计调查制度要求）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数据报送及时率（按照统计调查制度要求）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数据采集完成度（按照统计调查制度要求）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对外发布统计数据及时率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保障统计网络正常运转</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开发研究统计产品种类</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企业安装电子台账数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 xml:space="preserve">8.56 </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执法检查单位数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完成专项调查个数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2"/>
                <w:szCs w:val="22"/>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3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完成课题个数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sz w:val="24"/>
                <w:szCs w:val="24"/>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r>
    </w:tbl>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1、预算执行率分析</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按照年初设定绩效目标预算执行率不得低于9</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年执行支出数11542657.35元，完成预算执行率为</w:t>
      </w:r>
      <w:r>
        <w:rPr>
          <w:rFonts w:hint="eastAsia" w:ascii="方正仿宋_GBK" w:hAnsi="方正仿宋_GBK" w:eastAsia="方正仿宋_GBK" w:cs="方正仿宋_GBK"/>
          <w:color w:val="auto"/>
          <w:sz w:val="32"/>
          <w:szCs w:val="32"/>
          <w:lang w:val="en-US" w:eastAsia="zh-CN"/>
        </w:rPr>
        <w:t>100.00</w:t>
      </w:r>
      <w:r>
        <w:rPr>
          <w:rFonts w:hint="eastAsia" w:ascii="方正仿宋_GBK" w:hAnsi="方正仿宋_GBK" w:eastAsia="方正仿宋_GBK" w:cs="方正仿宋_GBK"/>
          <w:color w:val="auto"/>
          <w:sz w:val="32"/>
          <w:szCs w:val="32"/>
        </w:rPr>
        <w:t>%，项目执行情况良好，及时发放了人员经费、公用经费，保障了我局正常运转，体现了预算编制的准确性及科学性。根据评价标准，该指标得100%权重分。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2、预决算公开率分析</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按照相关文件规定，单位预决算信息需严格按照要求进行公开，202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年我局按时完成了预决算公开，财政资金使用情况公开透明。根据评价标准，该指标得100%权重分。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数据采集及时率</w:t>
      </w:r>
      <w:r>
        <w:rPr>
          <w:rFonts w:hint="eastAsia" w:ascii="方正仿宋_GBK" w:hAnsi="方正仿宋_GBK" w:eastAsia="方正仿宋_GBK" w:cs="方正仿宋_GBK"/>
          <w:color w:val="auto"/>
          <w:sz w:val="32"/>
          <w:szCs w:val="32"/>
        </w:rPr>
        <w:t>分析</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各业务科室严格按照统计调查制度要求完成了数据采集，数据采集及时。</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数据报送及时率分析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各业务科室严格按照统计调查制度要求完成了数据报送，数据报送及时率为100%，完成了年初既定绩效目标。</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val="en-US" w:eastAsia="zh-CN"/>
        </w:rPr>
        <w:t>数据采集完成度分析</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2022年，各业务科室严格按照统计调查制度要求采集数据，未出现统计数据采集不完整情况。</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val="en-US" w:eastAsia="zh-CN"/>
        </w:rPr>
        <w:t>对外发布统计数据及时率分</w:t>
      </w:r>
      <w:r>
        <w:rPr>
          <w:rFonts w:hint="eastAsia" w:ascii="方正仿宋_GBK" w:hAnsi="方正仿宋_GBK" w:eastAsia="方正仿宋_GBK" w:cs="方正仿宋_GBK"/>
          <w:color w:val="auto"/>
          <w:sz w:val="32"/>
          <w:szCs w:val="32"/>
          <w:highlight w:val="none"/>
        </w:rPr>
        <w:t>析</w:t>
      </w:r>
    </w:p>
    <w:p>
      <w:pPr>
        <w:spacing w:line="596" w:lineRule="exact"/>
        <w:ind w:firstLine="640" w:firstLineChars="200"/>
        <w:rPr>
          <w:rFonts w:hint="eastAsia"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color w:val="auto"/>
          <w:sz w:val="32"/>
          <w:szCs w:val="32"/>
          <w:highlight w:val="none"/>
          <w:lang w:val="en-US" w:eastAsia="zh-CN"/>
        </w:rPr>
        <w:t>各业务科室严格按照统计调查制度要求及时对外发布了统计数据，未出现统计数据发布不及时情况，对外发布统计数据及时率为100%，完成了年初既定绩效目标，保证了统计服务能力。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val="en-US" w:eastAsia="zh-CN"/>
        </w:rPr>
        <w:t>是否保障统计网络正常运转分</w:t>
      </w:r>
      <w:r>
        <w:rPr>
          <w:rFonts w:hint="eastAsia" w:ascii="方正仿宋_GBK" w:hAnsi="方正仿宋_GBK" w:eastAsia="方正仿宋_GBK" w:cs="方正仿宋_GBK"/>
          <w:color w:val="auto"/>
          <w:sz w:val="32"/>
          <w:szCs w:val="32"/>
          <w:highlight w:val="none"/>
        </w:rPr>
        <w:t>析</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2022年，我局严格</w:t>
      </w:r>
      <w:r>
        <w:rPr>
          <w:rFonts w:hint="eastAsia" w:ascii="方正仿宋_GBK" w:hAnsi="方正仿宋_GBK" w:eastAsia="方正仿宋_GBK" w:cs="方正仿宋_GBK"/>
          <w:color w:val="auto"/>
          <w:sz w:val="32"/>
          <w:szCs w:val="32"/>
          <w:highlight w:val="none"/>
        </w:rPr>
        <w:t>按照国家统计局统计联网直报要求</w:t>
      </w:r>
      <w:r>
        <w:rPr>
          <w:rFonts w:hint="eastAsia" w:ascii="方正仿宋_GBK" w:hAnsi="方正仿宋_GBK" w:eastAsia="方正仿宋_GBK" w:cs="方正仿宋_GBK"/>
          <w:color w:val="auto"/>
          <w:sz w:val="32"/>
          <w:szCs w:val="32"/>
          <w:highlight w:val="none"/>
          <w:lang w:eastAsia="zh-CN"/>
        </w:rPr>
        <w:t>，统一采集和处理各专业数据，实现统计数据“一体化”采集，</w:t>
      </w:r>
      <w:r>
        <w:rPr>
          <w:rFonts w:hint="eastAsia" w:ascii="方正仿宋_GBK" w:hAnsi="方正仿宋_GBK" w:eastAsia="方正仿宋_GBK" w:cs="方正仿宋_GBK"/>
          <w:color w:val="auto"/>
          <w:sz w:val="32"/>
          <w:szCs w:val="32"/>
          <w:highlight w:val="none"/>
          <w:lang w:val="en-US" w:eastAsia="zh-CN"/>
        </w:rPr>
        <w:t>扎实高效开展相关工作，保障了统计网络正常运转。</w:t>
      </w:r>
      <w:r>
        <w:rPr>
          <w:rFonts w:hint="eastAsia" w:ascii="方正仿宋_GBK" w:hAnsi="方正仿宋_GBK" w:eastAsia="方正仿宋_GBK" w:cs="方正仿宋_GBK"/>
          <w:color w:val="auto"/>
          <w:sz w:val="32"/>
          <w:szCs w:val="32"/>
          <w:highlight w:val="none"/>
        </w:rPr>
        <w:t>根据评价标准，该指标得100%权重分。</w:t>
      </w:r>
    </w:p>
    <w:p>
      <w:pPr>
        <w:numPr>
          <w:ilvl w:val="0"/>
          <w:numId w:val="1"/>
        </w:numPr>
        <w:spacing w:line="596"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研究统计产品种类分析</w:t>
      </w:r>
    </w:p>
    <w:p>
      <w:pPr>
        <w:spacing w:line="596" w:lineRule="exact"/>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2022年完成了统计月报、统计公报、领导干部手册、统计年鉴的编辑制作，</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9、企业安装电子台账数分析</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Cs/>
          <w:color w:val="auto"/>
          <w:sz w:val="32"/>
          <w:szCs w:val="32"/>
          <w:highlight w:val="none"/>
          <w:lang w:val="en-US" w:eastAsia="zh-CN"/>
        </w:rPr>
        <w:t>2022年，我局</w:t>
      </w:r>
      <w:r>
        <w:rPr>
          <w:rFonts w:hint="eastAsia" w:ascii="方正仿宋_GBK" w:hAnsi="方正仿宋_GBK" w:eastAsia="方正仿宋_GBK" w:cs="方正仿宋_GBK"/>
          <w:bCs/>
          <w:color w:val="000000" w:themeColor="text1"/>
          <w:sz w:val="32"/>
          <w:szCs w:val="32"/>
          <w:highlight w:val="none"/>
          <w:lang w:val="en-US" w:eastAsia="zh-CN"/>
        </w:rPr>
        <w:t>深入</w:t>
      </w:r>
      <w:r>
        <w:rPr>
          <w:rFonts w:hint="eastAsia" w:ascii="方正仿宋_GBK" w:hAnsi="方正仿宋_GBK" w:eastAsia="方正仿宋_GBK" w:cs="方正仿宋_GBK"/>
          <w:bCs/>
          <w:color w:val="000000" w:themeColor="text1"/>
          <w:sz w:val="32"/>
          <w:szCs w:val="32"/>
          <w:highlight w:val="none"/>
        </w:rPr>
        <w:t>推进建立企业电子统计台账，规范企业统计数据生产过程，</w:t>
      </w:r>
      <w:r>
        <w:rPr>
          <w:rFonts w:hint="eastAsia" w:ascii="方正仿宋_GBK" w:hAnsi="方正仿宋_GBK" w:eastAsia="方正仿宋_GBK" w:cs="方正仿宋_GBK"/>
          <w:bCs/>
          <w:color w:val="000000" w:themeColor="text1"/>
          <w:sz w:val="32"/>
          <w:szCs w:val="32"/>
        </w:rPr>
        <w:t>提高</w:t>
      </w:r>
      <w:r>
        <w:rPr>
          <w:rFonts w:hint="eastAsia" w:ascii="方正仿宋_GBK" w:hAnsi="方正仿宋_GBK" w:eastAsia="方正仿宋_GBK" w:cs="方正仿宋_GBK"/>
          <w:bCs/>
          <w:color w:val="000000" w:themeColor="text1"/>
          <w:sz w:val="32"/>
          <w:szCs w:val="32"/>
          <w:lang w:val="en-US" w:eastAsia="zh-CN"/>
        </w:rPr>
        <w:t>了</w:t>
      </w:r>
      <w:r>
        <w:rPr>
          <w:rFonts w:hint="eastAsia" w:ascii="方正仿宋_GBK" w:hAnsi="方正仿宋_GBK" w:eastAsia="方正仿宋_GBK" w:cs="方正仿宋_GBK"/>
          <w:bCs/>
          <w:color w:val="000000" w:themeColor="text1"/>
          <w:sz w:val="32"/>
          <w:szCs w:val="32"/>
        </w:rPr>
        <w:t>统计工作效率</w:t>
      </w:r>
      <w:r>
        <w:rPr>
          <w:rFonts w:hint="eastAsia" w:ascii="方正仿宋_GBK" w:hAnsi="方正仿宋_GBK" w:eastAsia="方正仿宋_GBK" w:cs="方正仿宋_GBK"/>
          <w:bCs/>
          <w:color w:val="000000" w:themeColor="text1"/>
          <w:sz w:val="32"/>
          <w:szCs w:val="32"/>
          <w:lang w:eastAsia="zh-CN"/>
        </w:rPr>
        <w:t>。</w:t>
      </w:r>
      <w:r>
        <w:rPr>
          <w:rFonts w:hint="eastAsia" w:ascii="方正仿宋_GBK" w:hAnsi="方正仿宋_GBK" w:eastAsia="方正仿宋_GBK" w:cs="方正仿宋_GBK"/>
          <w:bCs/>
          <w:color w:val="000000" w:themeColor="text1"/>
          <w:sz w:val="32"/>
          <w:szCs w:val="32"/>
          <w:lang w:val="en-US" w:eastAsia="zh-CN"/>
        </w:rPr>
        <w:t>因个别“四上”企业退库</w:t>
      </w:r>
      <w:r>
        <w:rPr>
          <w:rFonts w:hint="eastAsia" w:ascii="方正仿宋_GBK" w:hAnsi="方正仿宋_GBK" w:eastAsia="方正仿宋_GBK" w:cs="方正仿宋_GBK"/>
          <w:bCs/>
          <w:color w:val="000000" w:themeColor="text1"/>
          <w:sz w:val="32"/>
          <w:szCs w:val="32"/>
          <w:lang w:eastAsia="zh-CN"/>
        </w:rPr>
        <w:t>，</w:t>
      </w:r>
      <w:r>
        <w:rPr>
          <w:rFonts w:hint="eastAsia" w:ascii="方正仿宋_GBK" w:hAnsi="方正仿宋_GBK" w:eastAsia="方正仿宋_GBK" w:cs="方正仿宋_GBK"/>
          <w:bCs/>
          <w:color w:val="000000" w:themeColor="text1"/>
          <w:sz w:val="32"/>
          <w:szCs w:val="32"/>
          <w:lang w:val="en-US" w:eastAsia="zh-CN"/>
        </w:rPr>
        <w:t>全年完成值未达到年初设置指标数，</w:t>
      </w:r>
      <w:r>
        <w:rPr>
          <w:rFonts w:hint="eastAsia" w:ascii="方正仿宋_GBK" w:hAnsi="方正仿宋_GBK" w:eastAsia="方正仿宋_GBK" w:cs="方正仿宋_GBK"/>
          <w:bCs/>
          <w:color w:val="auto"/>
          <w:sz w:val="32"/>
          <w:szCs w:val="32"/>
          <w:highlight w:val="none"/>
        </w:rPr>
        <w:t>安装统计电子台账</w:t>
      </w:r>
      <w:r>
        <w:rPr>
          <w:rFonts w:hint="eastAsia" w:ascii="方正仿宋_GBK" w:hAnsi="方正仿宋_GBK" w:eastAsia="方正仿宋_GBK" w:cs="方正仿宋_GBK"/>
          <w:bCs/>
          <w:color w:val="auto"/>
          <w:sz w:val="32"/>
          <w:szCs w:val="32"/>
          <w:highlight w:val="none"/>
          <w:lang w:val="en-US" w:eastAsia="zh-CN"/>
        </w:rPr>
        <w:t>共计</w:t>
      </w:r>
      <w:r>
        <w:rPr>
          <w:rFonts w:hint="eastAsia" w:ascii="方正仿宋_GBK" w:hAnsi="方正仿宋_GBK" w:eastAsia="方正仿宋_GBK" w:cs="方正仿宋_GBK"/>
          <w:bCs/>
          <w:color w:val="auto"/>
          <w:sz w:val="32"/>
          <w:szCs w:val="32"/>
          <w:highlight w:val="none"/>
        </w:rPr>
        <w:t>887家</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根据评价标准，该指标得</w:t>
      </w:r>
      <w:r>
        <w:rPr>
          <w:rFonts w:hint="eastAsia" w:ascii="方正仿宋_GBK" w:hAnsi="方正仿宋_GBK" w:eastAsia="方正仿宋_GBK" w:cs="方正仿宋_GBK"/>
          <w:color w:val="auto"/>
          <w:sz w:val="32"/>
          <w:szCs w:val="32"/>
          <w:highlight w:val="none"/>
          <w:lang w:val="en-US" w:eastAsia="zh-CN"/>
        </w:rPr>
        <w:t>85.56</w:t>
      </w:r>
      <w:r>
        <w:rPr>
          <w:rFonts w:hint="eastAsia" w:ascii="方正仿宋_GBK" w:hAnsi="方正仿宋_GBK" w:eastAsia="方正仿宋_GBK" w:cs="方正仿宋_GBK"/>
          <w:color w:val="auto"/>
          <w:sz w:val="32"/>
          <w:szCs w:val="32"/>
          <w:highlight w:val="none"/>
        </w:rPr>
        <w:t>%权重分。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执法检查单位数分析</w:t>
      </w:r>
    </w:p>
    <w:p>
      <w:pPr>
        <w:widowControl/>
        <w:spacing w:line="600" w:lineRule="exact"/>
        <w:ind w:firstLine="640"/>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2022年，我局</w:t>
      </w:r>
      <w:r>
        <w:rPr>
          <w:rFonts w:hint="eastAsia" w:ascii="方正仿宋_GBK" w:hAnsi="方正仿宋_GBK" w:eastAsia="方正仿宋_GBK" w:cs="方正仿宋_GBK"/>
          <w:color w:val="auto"/>
          <w:sz w:val="32"/>
          <w:szCs w:val="32"/>
          <w:highlight w:val="none"/>
        </w:rPr>
        <w:t>持续加大统计数据执法检查和审核查询力度，全年</w:t>
      </w:r>
      <w:r>
        <w:rPr>
          <w:rFonts w:hint="eastAsia" w:ascii="方正仿宋_GBK" w:hAnsi="方正仿宋_GBK" w:eastAsia="方正仿宋_GBK" w:cs="方正仿宋_GBK"/>
          <w:bCs/>
          <w:color w:val="auto"/>
          <w:sz w:val="32"/>
          <w:szCs w:val="32"/>
          <w:highlight w:val="none"/>
        </w:rPr>
        <w:t>督导检查企业72家、双随机执法检查59家</w:t>
      </w:r>
      <w:r>
        <w:rPr>
          <w:rFonts w:hint="eastAsia" w:ascii="方正仿宋_GBK" w:hAnsi="方正仿宋_GBK" w:eastAsia="方正仿宋_GBK" w:cs="方正仿宋_GBK"/>
          <w:bCs/>
          <w:color w:val="auto"/>
          <w:kern w:val="0"/>
          <w:sz w:val="32"/>
          <w:szCs w:val="32"/>
          <w:highlight w:val="none"/>
        </w:rPr>
        <w:t>。</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完成专项调查个数分析</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val="en-US" w:eastAsia="zh-CN"/>
        </w:rPr>
        <w:t>我局坚持从目标任务出发服务区域发展，统计调查分析“高”度明显提升。完成了《璧山区基层治理工作群众满意度调查》、《重庆市璧山区稳企惠企政策落实情况调查》、《璧山区优化营商环境调查》、《璧山区居民生育意愿调查》、《2021年群众幸福感民意调查》5个专项调查</w:t>
      </w:r>
      <w:r>
        <w:rPr>
          <w:rFonts w:hint="eastAsia" w:ascii="方正仿宋_GBK" w:hAnsi="方正仿宋_GBK" w:eastAsia="方正仿宋_GBK" w:cs="方正仿宋_GBK"/>
          <w:color w:val="000000" w:themeColor="text1"/>
          <w:kern w:val="0"/>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完成课题个数</w:t>
      </w:r>
      <w:r>
        <w:rPr>
          <w:rFonts w:hint="eastAsia" w:ascii="方正仿宋_GBK" w:hAnsi="方正仿宋_GBK" w:eastAsia="方正仿宋_GBK" w:cs="方正仿宋_GBK"/>
          <w:color w:val="auto"/>
          <w:sz w:val="32"/>
          <w:szCs w:val="32"/>
          <w:highlight w:val="none"/>
        </w:rPr>
        <w:t>分析</w:t>
      </w:r>
    </w:p>
    <w:p>
      <w:pPr>
        <w:widowControl/>
        <w:shd w:val="clear" w:color="auto" w:fill="FFFFFF"/>
        <w:spacing w:line="600" w:lineRule="exact"/>
        <w:ind w:firstLine="640" w:firstLineChars="200"/>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2022年我局</w:t>
      </w:r>
      <w:r>
        <w:rPr>
          <w:rFonts w:hint="eastAsia" w:ascii="方正仿宋_GBK" w:hAnsi="方正仿宋_GBK" w:eastAsia="方正仿宋_GBK" w:cs="方正仿宋_GBK"/>
          <w:color w:val="auto"/>
          <w:kern w:val="0"/>
          <w:sz w:val="32"/>
          <w:szCs w:val="32"/>
        </w:rPr>
        <w:t>围绕</w:t>
      </w:r>
      <w:r>
        <w:rPr>
          <w:rFonts w:hint="eastAsia" w:ascii="方正仿宋_GBK" w:hAnsi="方正仿宋_GBK" w:eastAsia="方正仿宋_GBK" w:cs="方正仿宋_GBK"/>
          <w:color w:val="000000" w:themeColor="text1"/>
          <w:kern w:val="0"/>
          <w:sz w:val="32"/>
          <w:szCs w:val="32"/>
        </w:rPr>
        <w:t>“五新四城”，在养老、教育等民生领域以及科技创新、产业集群、居民幸福感等方面深入开展研究</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rPr>
        <w:t>完成了《璧山区高质量发展与高品质生活监测评价指标体系研究》课题</w:t>
      </w:r>
      <w:r>
        <w:rPr>
          <w:rFonts w:hint="eastAsia" w:ascii="方正仿宋_GBK" w:hAnsi="方正仿宋_GBK" w:eastAsia="方正仿宋_GBK" w:cs="方正仿宋_GBK"/>
          <w:color w:val="000000" w:themeColor="text1"/>
          <w:kern w:val="0"/>
          <w:sz w:val="32"/>
          <w:szCs w:val="32"/>
        </w:rPr>
        <w:t>。</w:t>
      </w:r>
      <w:r>
        <w:rPr>
          <w:rFonts w:hint="eastAsia" w:ascii="方正仿宋_GBK" w:hAnsi="方正仿宋_GBK" w:eastAsia="方正仿宋_GBK" w:cs="方正仿宋_GBK"/>
          <w:color w:val="auto"/>
          <w:sz w:val="32"/>
          <w:szCs w:val="32"/>
          <w:highlight w:val="none"/>
        </w:rPr>
        <w:t>根据评价标准，该指标得100%权重分。</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四、需重点关注的问题</w:t>
      </w:r>
    </w:p>
    <w:p>
      <w:pPr>
        <w:spacing w:line="596"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根据年中预算调剂及局工作情况，及时调整绩效目标，</w:t>
      </w:r>
      <w:r>
        <w:rPr>
          <w:rFonts w:hint="eastAsia" w:ascii="方正仿宋_GBK" w:hAnsi="方正仿宋_GBK" w:eastAsia="方正仿宋_GBK" w:cs="方正仿宋_GBK"/>
          <w:color w:val="auto"/>
          <w:sz w:val="32"/>
          <w:szCs w:val="32"/>
        </w:rPr>
        <w:t>综合指标的合理性及可完成性，</w:t>
      </w:r>
      <w:r>
        <w:rPr>
          <w:rFonts w:hint="eastAsia" w:ascii="方正仿宋_GBK" w:hAnsi="方正仿宋_GBK" w:eastAsia="方正仿宋_GBK" w:cs="方正仿宋_GBK"/>
          <w:color w:val="auto"/>
          <w:sz w:val="32"/>
          <w:szCs w:val="32"/>
          <w:lang w:val="en-US" w:eastAsia="zh-CN"/>
        </w:rPr>
        <w:t>科学设置绩效指标</w:t>
      </w:r>
      <w:r>
        <w:rPr>
          <w:rFonts w:hint="eastAsia" w:ascii="方正仿宋_GBK" w:hAnsi="方正仿宋_GBK" w:eastAsia="方正仿宋_GBK" w:cs="方正仿宋_GBK"/>
          <w:color w:val="auto"/>
          <w:sz w:val="32"/>
          <w:szCs w:val="32"/>
          <w:lang w:eastAsia="zh-CN"/>
        </w:rPr>
        <w:t>。</w:t>
      </w:r>
    </w:p>
    <w:p>
      <w:pPr>
        <w:spacing w:line="596"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、有关建议</w:t>
      </w:r>
    </w:p>
    <w:p>
      <w:pPr>
        <w:spacing w:line="596"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认真学习预算绩效管理相关政策文件，强化预算绩效责任意识，结合实际工作情况，优化预算绩效全过程管理模式。</w:t>
      </w:r>
    </w:p>
    <w:p>
      <w:pPr>
        <w:pStyle w:val="2"/>
        <w:rPr>
          <w:rFonts w:hint="eastAsia" w:ascii="方正仿宋_GBK" w:hAnsi="方正仿宋_GBK" w:eastAsia="方正仿宋_GBK" w:cs="方正仿宋_GBK"/>
          <w:b w:val="0"/>
          <w:bCs w:val="0"/>
          <w:color w:val="auto"/>
          <w:sz w:val="32"/>
          <w:szCs w:val="32"/>
          <w:lang w:val="en-US" w:eastAsia="zh-CN"/>
        </w:rPr>
      </w:pPr>
    </w:p>
    <w:p>
      <w:pPr>
        <w:jc w:val="righ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重庆市璧山区统计局</w:t>
      </w:r>
    </w:p>
    <w:p>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color w:val="auto"/>
          <w:sz w:val="32"/>
          <w:szCs w:val="32"/>
          <w:lang w:val="en-US" w:eastAsia="zh-CN"/>
        </w:rPr>
        <w:t xml:space="preserve">                                      2023年3月30日</w:t>
      </w:r>
    </w:p>
    <w:p>
      <w:pPr>
        <w:pStyle w:val="2"/>
        <w:rPr>
          <w:rFonts w:hint="eastAsia" w:ascii="方正仿宋_GBK" w:hAnsi="方正仿宋_GBK" w:eastAsia="方正仿宋_GBK" w:cs="方正仿宋_GBK"/>
          <w:lang w:val="en-US" w:eastAsia="zh-CN"/>
        </w:rPr>
      </w:pPr>
    </w:p>
    <w:p>
      <w:pPr>
        <w:pStyle w:val="2"/>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5817A"/>
    <w:multiLevelType w:val="singleLevel"/>
    <w:tmpl w:val="8815817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GM2MWM5YjE0OGM0OGZiZjU1Mjc2YTBjMTJiNjA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1787946"/>
    <w:rsid w:val="03FE7EAB"/>
    <w:rsid w:val="04C133B2"/>
    <w:rsid w:val="08601134"/>
    <w:rsid w:val="0A570314"/>
    <w:rsid w:val="0BDD7AB9"/>
    <w:rsid w:val="0C152235"/>
    <w:rsid w:val="0C7B586A"/>
    <w:rsid w:val="0DB03F27"/>
    <w:rsid w:val="11DD55A3"/>
    <w:rsid w:val="12B207DE"/>
    <w:rsid w:val="12D24F78"/>
    <w:rsid w:val="137B21E9"/>
    <w:rsid w:val="13C95DDF"/>
    <w:rsid w:val="164811E7"/>
    <w:rsid w:val="16867481"/>
    <w:rsid w:val="174C7453"/>
    <w:rsid w:val="1759719C"/>
    <w:rsid w:val="18D55226"/>
    <w:rsid w:val="1B365E7B"/>
    <w:rsid w:val="1B7032F9"/>
    <w:rsid w:val="1BB750B7"/>
    <w:rsid w:val="1BEE5BB4"/>
    <w:rsid w:val="1CCE26B8"/>
    <w:rsid w:val="1CD5662F"/>
    <w:rsid w:val="1F1A1BE5"/>
    <w:rsid w:val="1F996FAD"/>
    <w:rsid w:val="221F12E6"/>
    <w:rsid w:val="28700AC7"/>
    <w:rsid w:val="2A24600D"/>
    <w:rsid w:val="2C262B7E"/>
    <w:rsid w:val="2CB82A3D"/>
    <w:rsid w:val="2E7806D6"/>
    <w:rsid w:val="2EC1207D"/>
    <w:rsid w:val="2F0F103A"/>
    <w:rsid w:val="2F5C3B54"/>
    <w:rsid w:val="304D1905"/>
    <w:rsid w:val="31091AB9"/>
    <w:rsid w:val="313C3C3D"/>
    <w:rsid w:val="329B2BE5"/>
    <w:rsid w:val="339B778A"/>
    <w:rsid w:val="33A37FA3"/>
    <w:rsid w:val="347566B1"/>
    <w:rsid w:val="34C06933"/>
    <w:rsid w:val="35431A3E"/>
    <w:rsid w:val="35F03248"/>
    <w:rsid w:val="37E34E12"/>
    <w:rsid w:val="37F72D2F"/>
    <w:rsid w:val="3BA23236"/>
    <w:rsid w:val="3F1F0AD0"/>
    <w:rsid w:val="403A57EB"/>
    <w:rsid w:val="42CA554C"/>
    <w:rsid w:val="45B147A1"/>
    <w:rsid w:val="465D66D7"/>
    <w:rsid w:val="485C5376"/>
    <w:rsid w:val="49683C5A"/>
    <w:rsid w:val="4F014170"/>
    <w:rsid w:val="4F5D32A4"/>
    <w:rsid w:val="51A97EB1"/>
    <w:rsid w:val="52304CA0"/>
    <w:rsid w:val="523E560F"/>
    <w:rsid w:val="532946DA"/>
    <w:rsid w:val="53654E1D"/>
    <w:rsid w:val="5497375E"/>
    <w:rsid w:val="55596E28"/>
    <w:rsid w:val="563665FD"/>
    <w:rsid w:val="568E6439"/>
    <w:rsid w:val="58360B36"/>
    <w:rsid w:val="58F20F01"/>
    <w:rsid w:val="598D0C2A"/>
    <w:rsid w:val="59B166C6"/>
    <w:rsid w:val="59D40607"/>
    <w:rsid w:val="5C164F06"/>
    <w:rsid w:val="5C5314F8"/>
    <w:rsid w:val="5C89392A"/>
    <w:rsid w:val="5D6D6DD4"/>
    <w:rsid w:val="60236F69"/>
    <w:rsid w:val="61A82AA5"/>
    <w:rsid w:val="63117990"/>
    <w:rsid w:val="659F41BF"/>
    <w:rsid w:val="6908207B"/>
    <w:rsid w:val="6938470E"/>
    <w:rsid w:val="695221F9"/>
    <w:rsid w:val="69EB1780"/>
    <w:rsid w:val="6AC63F9C"/>
    <w:rsid w:val="6AD14E1A"/>
    <w:rsid w:val="6D8D0DA1"/>
    <w:rsid w:val="6E3D6323"/>
    <w:rsid w:val="6F9969BC"/>
    <w:rsid w:val="716D6A3D"/>
    <w:rsid w:val="73636968"/>
    <w:rsid w:val="73E3107E"/>
    <w:rsid w:val="741B7106"/>
    <w:rsid w:val="77B85077"/>
    <w:rsid w:val="78CC4E73"/>
    <w:rsid w:val="79801064"/>
    <w:rsid w:val="7B7A2964"/>
    <w:rsid w:val="7BAE0860"/>
    <w:rsid w:val="7C10151B"/>
    <w:rsid w:val="7D6475B5"/>
    <w:rsid w:val="7DF764EE"/>
    <w:rsid w:val="7F012324"/>
    <w:rsid w:val="7F3948E4"/>
    <w:rsid w:val="7F4A08A0"/>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3987</Words>
  <Characters>4218</Characters>
  <Lines>1</Lines>
  <Paragraphs>1</Paragraphs>
  <TotalTime>241</TotalTime>
  <ScaleCrop>false</ScaleCrop>
  <LinksUpToDate>false</LinksUpToDate>
  <CharactersWithSpaces>4259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小月</cp:lastModifiedBy>
  <cp:lastPrinted>2023-03-29T09:18:00Z</cp:lastPrinted>
  <dcterms:modified xsi:type="dcterms:W3CDTF">2023-09-14T07:04:21Z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F7264F76A31A44A0A6447124F4192152_13</vt:lpwstr>
  </property>
</Properties>
</file>