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id w:val="147471556"/>
        <w15:color w:val="DBDBDB"/>
        <w:docPartObj>
          <w:docPartGallery w:val="Table of Contents"/>
          <w:docPartUnique/>
        </w:docPartObj>
      </w:sdtPr>
      <w:sdtEndP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sdtEndPr>
      <w:sdtContent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560" w:lineRule="exact"/>
            <w:ind w:left="0" w:leftChars="0" w:right="0" w:rightChars="0" w:firstLine="0" w:firstLineChars="0"/>
            <w:jc w:val="left"/>
            <w:textAlignment w:val="auto"/>
            <w:rPr>
              <w:rFonts w:hint="eastAsia" w:ascii="方正仿宋_GBK" w:eastAsia="方正仿宋_GBK"/>
              <w:sz w:val="32"/>
              <w:szCs w:val="32"/>
              <w:lang w:val="en-US" w:eastAsia="zh-CN"/>
            </w:rPr>
          </w:pPr>
          <w:r>
            <w:rPr>
              <w:rFonts w:hint="eastAsia" w:ascii="方正仿宋_GBK" w:eastAsia="方正仿宋_GBK"/>
              <w:sz w:val="32"/>
              <w:szCs w:val="32"/>
            </w:rPr>
            <w:t>附件</w:t>
          </w:r>
          <w:r>
            <w:rPr>
              <w:rFonts w:hint="eastAsia" w:ascii="方正仿宋_GBK" w:eastAsia="方正仿宋_GBK"/>
              <w:sz w:val="32"/>
              <w:szCs w:val="32"/>
              <w:lang w:val="en-US" w:eastAsia="zh-CN"/>
            </w:rPr>
            <w:t>3</w:t>
          </w:r>
          <w:bookmarkStart w:id="10" w:name="_GoBack"/>
          <w:bookmarkEnd w:id="10"/>
        </w:p>
        <w:p>
          <w:pPr>
            <w:pStyle w:val="15"/>
            <w:spacing w:line="596" w:lineRule="exact"/>
            <w:ind w:left="359" w:leftChars="171" w:firstLine="1100" w:firstLineChars="250"/>
            <w:jc w:val="center"/>
            <w:rPr>
              <w:rFonts w:hint="eastAsia" w:eastAsia="方正小标宋_GBK"/>
              <w:sz w:val="44"/>
              <w:szCs w:val="32"/>
            </w:rPr>
          </w:pPr>
        </w:p>
        <w:p>
          <w:pPr>
            <w:pStyle w:val="15"/>
            <w:spacing w:line="596" w:lineRule="exact"/>
            <w:ind w:left="359" w:leftChars="171" w:firstLine="1100" w:firstLineChars="250"/>
            <w:jc w:val="center"/>
            <w:rPr>
              <w:rFonts w:hint="eastAsia" w:eastAsia="方正小标宋_GBK"/>
              <w:sz w:val="44"/>
              <w:szCs w:val="32"/>
            </w:rPr>
          </w:pPr>
        </w:p>
        <w:p>
          <w:pPr>
            <w:pStyle w:val="15"/>
            <w:spacing w:line="596" w:lineRule="exact"/>
            <w:ind w:left="359" w:leftChars="171" w:firstLine="1100" w:firstLineChars="250"/>
            <w:jc w:val="center"/>
            <w:rPr>
              <w:rFonts w:hint="eastAsia" w:eastAsia="方正小标宋_GBK"/>
              <w:sz w:val="44"/>
              <w:szCs w:val="32"/>
            </w:rPr>
          </w:pPr>
        </w:p>
        <w:p>
          <w:pPr>
            <w:pStyle w:val="15"/>
            <w:spacing w:line="596" w:lineRule="exact"/>
            <w:ind w:left="359" w:leftChars="171" w:firstLine="1100" w:firstLineChars="250"/>
            <w:jc w:val="center"/>
            <w:rPr>
              <w:rFonts w:hint="eastAsia" w:eastAsia="方正小标宋_GBK"/>
              <w:sz w:val="44"/>
              <w:szCs w:val="32"/>
            </w:rPr>
          </w:pPr>
        </w:p>
        <w:p>
          <w:pPr>
            <w:pStyle w:val="15"/>
            <w:spacing w:line="596" w:lineRule="exact"/>
            <w:ind w:left="359" w:leftChars="171" w:firstLine="1100" w:firstLineChars="250"/>
            <w:jc w:val="center"/>
            <w:rPr>
              <w:rFonts w:hint="eastAsia" w:eastAsia="方正小标宋_GBK"/>
              <w:sz w:val="44"/>
              <w:szCs w:val="32"/>
            </w:rPr>
          </w:pPr>
        </w:p>
        <w:p>
          <w:pPr>
            <w:pStyle w:val="15"/>
            <w:spacing w:line="596" w:lineRule="exact"/>
            <w:ind w:left="359" w:leftChars="171" w:firstLine="1100" w:firstLineChars="250"/>
            <w:jc w:val="center"/>
            <w:rPr>
              <w:rFonts w:hint="eastAsia" w:eastAsia="方正小标宋_GBK"/>
              <w:sz w:val="44"/>
              <w:szCs w:val="32"/>
            </w:rPr>
          </w:pPr>
        </w:p>
        <w:p>
          <w:pPr>
            <w:pStyle w:val="15"/>
            <w:spacing w:line="596" w:lineRule="exact"/>
            <w:ind w:left="359" w:leftChars="171" w:firstLine="1100" w:firstLineChars="250"/>
            <w:jc w:val="center"/>
            <w:rPr>
              <w:rFonts w:hint="eastAsia" w:eastAsia="方正小标宋_GBK"/>
              <w:sz w:val="44"/>
              <w:szCs w:val="32"/>
            </w:rPr>
          </w:pPr>
        </w:p>
        <w:p>
          <w:pPr>
            <w:pStyle w:val="15"/>
            <w:spacing w:line="596" w:lineRule="exact"/>
            <w:ind w:left="359" w:leftChars="171" w:firstLine="1100" w:firstLineChars="250"/>
            <w:jc w:val="center"/>
            <w:rPr>
              <w:rFonts w:hint="eastAsia" w:eastAsia="方正小标宋_GBK"/>
              <w:sz w:val="44"/>
              <w:szCs w:val="32"/>
            </w:rPr>
          </w:pPr>
          <w:r>
            <w:rPr>
              <w:rFonts w:hint="eastAsia" w:eastAsia="方正小标宋_GBK"/>
              <w:sz w:val="44"/>
              <w:szCs w:val="32"/>
            </w:rPr>
            <w:t>重庆市璧山区住房和城乡建设综合行政执法支队</w:t>
          </w:r>
        </w:p>
        <w:p>
          <w:pPr>
            <w:pStyle w:val="15"/>
            <w:spacing w:line="596" w:lineRule="exact"/>
            <w:ind w:left="359" w:leftChars="171" w:firstLine="1100" w:firstLineChars="250"/>
            <w:rPr>
              <w:rFonts w:eastAsia="方正小标宋_GBK"/>
              <w:sz w:val="44"/>
              <w:szCs w:val="32"/>
            </w:rPr>
          </w:pPr>
          <w:r>
            <w:rPr>
              <w:rFonts w:hint="eastAsia" w:eastAsia="方正小标宋_GBK"/>
              <w:sz w:val="44"/>
              <w:szCs w:val="32"/>
            </w:rPr>
            <w:t>2022</w:t>
          </w:r>
          <w:r>
            <w:rPr>
              <w:rFonts w:eastAsia="方正小标宋_GBK"/>
              <w:sz w:val="44"/>
              <w:szCs w:val="32"/>
            </w:rPr>
            <w:t>年</w:t>
          </w:r>
          <w:r>
            <w:rPr>
              <w:rFonts w:hint="eastAsia" w:eastAsia="方正小标宋_GBK"/>
              <w:sz w:val="44"/>
              <w:szCs w:val="32"/>
            </w:rPr>
            <w:t>度</w:t>
          </w:r>
          <w:r>
            <w:rPr>
              <w:rFonts w:eastAsia="方正小标宋_GBK"/>
              <w:sz w:val="44"/>
              <w:szCs w:val="32"/>
            </w:rPr>
            <w:t>整体支出绩效</w:t>
          </w:r>
          <w:r>
            <w:rPr>
              <w:rFonts w:hint="eastAsia" w:eastAsia="方正小标宋_GBK"/>
              <w:sz w:val="44"/>
              <w:szCs w:val="32"/>
            </w:rPr>
            <w:t>自评</w:t>
          </w:r>
          <w:r>
            <w:rPr>
              <w:rFonts w:eastAsia="方正小标宋_GBK"/>
              <w:sz w:val="44"/>
              <w:szCs w:val="32"/>
            </w:rPr>
            <w:t>报告</w:t>
          </w:r>
        </w:p>
        <w:p>
          <w:pPr>
            <w:rPr>
              <w:rFonts w:hint="eastAsia" w:ascii="Times New Roman" w:hAnsi="Times New Roman" w:eastAsia="方正仿宋_GBK" w:cs="Times New Roman"/>
              <w:kern w:val="2"/>
              <w:sz w:val="32"/>
              <w:szCs w:val="32"/>
              <w:lang w:val="en-US" w:eastAsia="zh-CN" w:bidi="ar-SA"/>
            </w:rPr>
          </w:pPr>
          <w:r>
            <w:rPr>
              <w:rFonts w:hint="eastAsia" w:ascii="Times New Roman" w:hAnsi="Times New Roman" w:eastAsia="方正仿宋_GBK" w:cs="Times New Roman"/>
              <w:kern w:val="2"/>
              <w:sz w:val="32"/>
              <w:szCs w:val="32"/>
              <w:lang w:val="en-US" w:eastAsia="zh-CN" w:bidi="ar-SA"/>
            </w:rPr>
            <w:br w:type="page"/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560" w:lineRule="exact"/>
            <w:ind w:left="0" w:leftChars="0" w:right="0" w:rightChars="0" w:firstLine="0" w:firstLineChars="0"/>
            <w:jc w:val="center"/>
            <w:textAlignment w:val="auto"/>
            <w:rPr>
              <w:rFonts w:hint="eastAsia" w:ascii="Times New Roman" w:hAnsi="Times New Roman" w:eastAsia="方正仿宋_GBK" w:cs="Times New Roman"/>
              <w:b/>
              <w:bCs/>
              <w:kern w:val="2"/>
              <w:sz w:val="32"/>
              <w:szCs w:val="32"/>
              <w:lang w:val="en-US" w:eastAsia="zh-CN" w:bidi="ar-SA"/>
            </w:rPr>
          </w:pPr>
          <w:r>
            <w:rPr>
              <w:rFonts w:hint="eastAsia" w:ascii="Times New Roman" w:hAnsi="Times New Roman" w:eastAsia="方正仿宋_GBK" w:cs="Times New Roman"/>
              <w:b/>
              <w:bCs/>
              <w:kern w:val="2"/>
              <w:sz w:val="32"/>
              <w:szCs w:val="32"/>
              <w:lang w:val="en-US" w:eastAsia="zh-CN" w:bidi="ar-SA"/>
            </w:rPr>
            <w:t>目</w:t>
          </w:r>
          <w:r>
            <w:rPr>
              <w:rFonts w:hint="eastAsia" w:eastAsia="方正仿宋_GBK" w:cs="Times New Roman"/>
              <w:b/>
              <w:bCs/>
              <w:kern w:val="2"/>
              <w:sz w:val="32"/>
              <w:szCs w:val="32"/>
              <w:lang w:val="en-US" w:eastAsia="zh-CN" w:bidi="ar-SA"/>
            </w:rPr>
            <w:t xml:space="preserve">  </w:t>
          </w:r>
          <w:r>
            <w:rPr>
              <w:rFonts w:hint="eastAsia" w:ascii="Times New Roman" w:hAnsi="Times New Roman" w:eastAsia="方正仿宋_GBK" w:cs="Times New Roman"/>
              <w:b/>
              <w:bCs/>
              <w:kern w:val="2"/>
              <w:sz w:val="32"/>
              <w:szCs w:val="32"/>
              <w:lang w:val="en-US" w:eastAsia="zh-CN" w:bidi="ar-SA"/>
            </w:rPr>
            <w:t>录</w:t>
          </w:r>
        </w:p>
        <w:p>
          <w:pPr>
            <w:pStyle w:val="8"/>
            <w:tabs>
              <w:tab w:val="right" w:leader="dot" w:pos="8958"/>
            </w:tabs>
            <w:rPr>
              <w:rFonts w:hint="eastAsia" w:ascii="方正仿宋_GBK" w:hAnsi="方正仿宋_GBK" w:eastAsia="方正仿宋_GBK" w:cs="方正仿宋_GBK"/>
              <w:sz w:val="32"/>
              <w:szCs w:val="32"/>
            </w:rPr>
          </w:pPr>
          <w:r>
            <w:rPr>
              <w:sz w:val="32"/>
              <w:szCs w:val="32"/>
            </w:rPr>
            <w:fldChar w:fldCharType="begin"/>
          </w:r>
          <w:r>
            <w:rPr>
              <w:sz w:val="32"/>
              <w:szCs w:val="32"/>
            </w:rPr>
            <w:instrText xml:space="preserve">TOC \o "1-3" \h \u </w:instrText>
          </w:r>
          <w:r>
            <w:rPr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HYPERLINK \l _Toc22949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一、基本情况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ab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PAGEREF _Toc22949 \h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1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8"/>
            </w:tabs>
            <w:rPr>
              <w:rFonts w:hint="eastAsia" w:ascii="方正仿宋_GBK" w:hAnsi="方正仿宋_GBK" w:eastAsia="方正仿宋_GBK" w:cs="方正仿宋_GBK"/>
              <w:sz w:val="32"/>
              <w:szCs w:val="32"/>
            </w:rPr>
          </w:pP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HYPERLINK \l _Toc3230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（一）部门（单位）基本情况。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ab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PAGEREF _Toc3230 \h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1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958"/>
            </w:tabs>
            <w:rPr>
              <w:rFonts w:hint="eastAsia" w:ascii="方正仿宋_GBK" w:hAnsi="方正仿宋_GBK" w:eastAsia="方正仿宋_GBK" w:cs="方正仿宋_GBK"/>
              <w:sz w:val="32"/>
              <w:szCs w:val="32"/>
            </w:rPr>
          </w:pP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HYPERLINK \l _Toc28966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1、部门（单位）职级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ab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PAGEREF _Toc28966 \h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1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958"/>
            </w:tabs>
            <w:rPr>
              <w:rFonts w:hint="eastAsia" w:ascii="方正仿宋_GBK" w:hAnsi="方正仿宋_GBK" w:eastAsia="方正仿宋_GBK" w:cs="方正仿宋_GBK"/>
              <w:sz w:val="32"/>
              <w:szCs w:val="32"/>
            </w:rPr>
          </w:pP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HYPERLINK \l _Toc8934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2、内设机构及编制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ab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PAGEREF _Toc8934 \h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1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</w:p>
        <w:p>
          <w:pPr>
            <w:pStyle w:val="5"/>
            <w:tabs>
              <w:tab w:val="right" w:leader="dot" w:pos="8958"/>
            </w:tabs>
            <w:rPr>
              <w:rFonts w:hint="eastAsia" w:ascii="方正仿宋_GBK" w:hAnsi="方正仿宋_GBK" w:eastAsia="方正仿宋_GBK" w:cs="方正仿宋_GBK"/>
              <w:sz w:val="32"/>
              <w:szCs w:val="32"/>
            </w:rPr>
          </w:pP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HYPERLINK \l _Toc10379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  <w:lang w:val="en-US" w:eastAsia="zh-CN"/>
            </w:rPr>
            <w:t>3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、部门（单位）职能职责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ab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PAGEREF _Toc10379 \h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1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</w:p>
        <w:p>
          <w:pPr>
            <w:pStyle w:val="9"/>
            <w:tabs>
              <w:tab w:val="right" w:leader="dot" w:pos="8958"/>
            </w:tabs>
            <w:rPr>
              <w:rFonts w:hint="eastAsia" w:ascii="方正仿宋_GBK" w:hAnsi="方正仿宋_GBK" w:eastAsia="方正仿宋_GBK" w:cs="方正仿宋_GBK"/>
              <w:sz w:val="32"/>
              <w:szCs w:val="32"/>
            </w:rPr>
          </w:pP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HYPERLINK \l _Toc23585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  <w:highlight w:val="none"/>
              <w:lang w:val="en-US" w:eastAsia="zh-CN"/>
            </w:rPr>
            <w:t>（二）预算及支出情况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ab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PAGEREF _Toc23585 \h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1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  <w:rPr>
              <w:rFonts w:hint="eastAsia" w:ascii="方正仿宋_GBK" w:hAnsi="方正仿宋_GBK" w:eastAsia="方正仿宋_GBK" w:cs="方正仿宋_GBK"/>
              <w:sz w:val="32"/>
              <w:szCs w:val="32"/>
            </w:rPr>
          </w:pP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HYPERLINK \l _Toc29760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二、主要成效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ab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PAGEREF _Toc29760 \h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2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  <w:rPr>
              <w:rFonts w:hint="eastAsia" w:ascii="方正仿宋_GBK" w:hAnsi="方正仿宋_GBK" w:eastAsia="方正仿宋_GBK" w:cs="方正仿宋_GBK"/>
              <w:sz w:val="32"/>
              <w:szCs w:val="32"/>
            </w:rPr>
          </w:pP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HYPERLINK \l _Toc20978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三、绩效评价情况及结论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ab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PAGEREF _Toc20978 \h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2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  <w:rPr>
              <w:rFonts w:hint="eastAsia" w:ascii="方正仿宋_GBK" w:hAnsi="方正仿宋_GBK" w:eastAsia="方正仿宋_GBK" w:cs="方正仿宋_GBK"/>
              <w:sz w:val="32"/>
              <w:szCs w:val="32"/>
            </w:rPr>
          </w:pP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HYPERLINK \l _Toc19099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四、需重点关注的问题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ab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PAGEREF _Toc19099 \h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4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HYPERLINK \l _Toc24465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五、有关建议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ab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begin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instrText xml:space="preserve"> PAGEREF _Toc24465 \h </w:instrTex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separate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t>5</w:t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  <w:r>
            <w:rPr>
              <w:rFonts w:hint="eastAsia" w:ascii="方正仿宋_GBK" w:hAnsi="方正仿宋_GBK" w:eastAsia="方正仿宋_GBK" w:cs="方正仿宋_GBK"/>
              <w:sz w:val="32"/>
              <w:szCs w:val="32"/>
            </w:rPr>
            <w:fldChar w:fldCharType="end"/>
          </w:r>
        </w:p>
        <w:p>
          <w:pPr>
            <w:keepNext w:val="0"/>
            <w:keepLines w:val="0"/>
            <w:pageBreakBefore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60" w:lineRule="exact"/>
            <w:textAlignment w:val="auto"/>
          </w:pPr>
          <w:r>
            <w:rPr>
              <w:szCs w:val="32"/>
            </w:rPr>
            <w:fldChar w:fldCharType="end"/>
          </w:r>
        </w:p>
      </w:sdtContent>
    </w:sdt>
    <w:p>
      <w:pPr>
        <w:spacing w:line="596" w:lineRule="exact"/>
        <w:ind w:firstLine="640" w:firstLineChars="200"/>
        <w:outlineLvl w:val="0"/>
        <w:rPr>
          <w:rFonts w:eastAsia="方正黑体_GBK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588" w:right="1474" w:bottom="1588" w:left="1474" w:header="851" w:footer="992" w:gutter="0"/>
          <w:cols w:space="425" w:num="1"/>
          <w:docGrid w:type="lines" w:linePitch="312" w:charSpace="0"/>
        </w:sectPr>
      </w:pPr>
    </w:p>
    <w:p>
      <w:pPr>
        <w:spacing w:line="596" w:lineRule="exact"/>
        <w:ind w:firstLine="640" w:firstLineChars="200"/>
        <w:outlineLvl w:val="0"/>
        <w:rPr>
          <w:rFonts w:eastAsia="方正黑体_GBK"/>
          <w:sz w:val="32"/>
          <w:szCs w:val="32"/>
        </w:rPr>
      </w:pPr>
      <w:bookmarkStart w:id="0" w:name="_Toc22949"/>
      <w:r>
        <w:rPr>
          <w:rFonts w:eastAsia="方正黑体_GBK"/>
          <w:sz w:val="32"/>
          <w:szCs w:val="32"/>
        </w:rPr>
        <w:t>一、基本</w:t>
      </w:r>
      <w:r>
        <w:rPr>
          <w:rFonts w:hint="eastAsia" w:eastAsia="方正黑体_GBK"/>
          <w:sz w:val="32"/>
          <w:szCs w:val="32"/>
        </w:rPr>
        <w:t>情况</w:t>
      </w:r>
      <w:bookmarkEnd w:id="0"/>
    </w:p>
    <w:p>
      <w:pPr>
        <w:spacing w:line="596" w:lineRule="exact"/>
        <w:ind w:firstLine="640" w:firstLineChars="200"/>
        <w:outlineLvl w:val="1"/>
        <w:rPr>
          <w:rFonts w:eastAsia="方正仿宋_GBK"/>
          <w:sz w:val="32"/>
          <w:szCs w:val="32"/>
        </w:rPr>
      </w:pPr>
      <w:bookmarkStart w:id="1" w:name="_Toc3230"/>
      <w:r>
        <w:rPr>
          <w:rFonts w:eastAsia="方正仿宋_GBK"/>
          <w:sz w:val="32"/>
          <w:szCs w:val="32"/>
        </w:rPr>
        <w:t>（一）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部门（单位）</w:t>
      </w:r>
      <w:r>
        <w:rPr>
          <w:rFonts w:hint="eastAsia" w:eastAsia="方正仿宋_GBK"/>
          <w:sz w:val="32"/>
          <w:szCs w:val="32"/>
        </w:rPr>
        <w:t>基本情况</w:t>
      </w:r>
      <w:r>
        <w:rPr>
          <w:rFonts w:eastAsia="方正仿宋_GBK"/>
          <w:sz w:val="32"/>
          <w:szCs w:val="32"/>
        </w:rPr>
        <w:t>。</w:t>
      </w:r>
      <w:bookmarkEnd w:id="1"/>
    </w:p>
    <w:p>
      <w:pPr>
        <w:spacing w:line="596" w:lineRule="exact"/>
        <w:ind w:firstLine="640" w:firstLineChars="200"/>
        <w:outlineLvl w:val="2"/>
        <w:rPr>
          <w:rFonts w:hint="eastAsia" w:eastAsia="方正仿宋_GBK"/>
          <w:sz w:val="32"/>
          <w:szCs w:val="32"/>
        </w:rPr>
      </w:pPr>
      <w:bookmarkStart w:id="2" w:name="_Toc28966"/>
      <w:r>
        <w:rPr>
          <w:rFonts w:hint="eastAsia" w:eastAsia="方正仿宋_GBK"/>
          <w:sz w:val="32"/>
          <w:szCs w:val="32"/>
        </w:rPr>
        <w:t>1、部门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（单位）</w:t>
      </w:r>
      <w:r>
        <w:rPr>
          <w:rFonts w:hint="eastAsia" w:eastAsia="方正仿宋_GBK"/>
          <w:sz w:val="32"/>
          <w:szCs w:val="32"/>
        </w:rPr>
        <w:t>职级</w:t>
      </w:r>
      <w:bookmarkEnd w:id="2"/>
    </w:p>
    <w:p>
      <w:pPr>
        <w:spacing w:line="596" w:lineRule="exact"/>
        <w:ind w:firstLine="640" w:firstLineChars="200"/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</w:pP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重庆市璧山区住房和城乡建设综合行政执法支队，为区住房城乡建委管理的财政全额补助公益一类正科级事业单位。</w:t>
      </w:r>
    </w:p>
    <w:p>
      <w:pPr>
        <w:spacing w:line="596" w:lineRule="exact"/>
        <w:ind w:firstLine="640" w:firstLineChars="200"/>
        <w:outlineLvl w:val="2"/>
        <w:rPr>
          <w:rFonts w:hint="eastAsia" w:eastAsia="方正仿宋_GBK"/>
          <w:sz w:val="32"/>
          <w:szCs w:val="32"/>
        </w:rPr>
      </w:pPr>
      <w:bookmarkStart w:id="3" w:name="_Toc8934"/>
      <w:r>
        <w:rPr>
          <w:rFonts w:hint="eastAsia" w:eastAsia="方正仿宋_GBK"/>
          <w:sz w:val="32"/>
          <w:szCs w:val="32"/>
        </w:rPr>
        <w:t>2、内设机构及编制</w:t>
      </w:r>
      <w:bookmarkEnd w:id="3"/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eastAsia="方正仿宋_GBK"/>
          <w:color w:val="FF0000"/>
          <w:sz w:val="32"/>
          <w:szCs w:val="32"/>
        </w:rPr>
      </w:pP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重庆市壁山区住房和城乡建设综合行政执法支队无内设机构，核定事业编制12名（干部）。核定领导职数2名（其中正职1名、副职1名)。所需人员编制从原区建设施工安全监督站连人带编划入12名（干部）。</w:t>
      </w:r>
    </w:p>
    <w:p>
      <w:pPr>
        <w:spacing w:line="596" w:lineRule="exact"/>
        <w:ind w:firstLine="640" w:firstLineChars="200"/>
        <w:outlineLvl w:val="2"/>
        <w:rPr>
          <w:rFonts w:hint="eastAsia" w:eastAsia="方正仿宋_GBK"/>
          <w:sz w:val="32"/>
          <w:szCs w:val="32"/>
        </w:rPr>
      </w:pPr>
      <w:bookmarkStart w:id="4" w:name="_Toc10379"/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、部门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（单位）</w:t>
      </w:r>
      <w:r>
        <w:rPr>
          <w:rFonts w:hint="eastAsia" w:eastAsia="方正仿宋_GBK"/>
          <w:sz w:val="32"/>
          <w:szCs w:val="32"/>
        </w:rPr>
        <w:t>职能职责</w:t>
      </w:r>
      <w:bookmarkEnd w:id="4"/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</w:pP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）负责宣传贯彻执行住房和城乡建设法律、法规、规章和方针政策；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</w:pP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）受主管部门委托，依法开展房地产开发建设、勘察设计、建筑市场、建设工程质量、建设施工安全、房屋建筑和市政基础设施工程消防、物业管理、村镇建设等住房和城乡建设领城行政执法；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</w:pP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）受理对工程质量、安全文明施工、物业管理等违反住房城乡建设法律、法规及规章的举报、投诉；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</w:pP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）联合和指导镇街开展住房和城乡建设综合行政执法工作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</w:pP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）承办主管部门交办的其他事项。</w:t>
      </w:r>
    </w:p>
    <w:p>
      <w:pPr>
        <w:spacing w:line="596" w:lineRule="exact"/>
        <w:ind w:firstLine="640" w:firstLineChars="200"/>
        <w:outlineLvl w:val="1"/>
        <w:rPr>
          <w:rFonts w:hint="eastAsia" w:eastAsia="方正仿宋_GBK"/>
          <w:sz w:val="32"/>
          <w:szCs w:val="32"/>
          <w:highlight w:val="none"/>
          <w:lang w:val="en-US" w:eastAsia="zh-CN"/>
        </w:rPr>
      </w:pPr>
      <w:bookmarkStart w:id="5" w:name="_Toc23585"/>
      <w:r>
        <w:rPr>
          <w:rFonts w:hint="eastAsia" w:eastAsia="方正仿宋_GBK"/>
          <w:sz w:val="32"/>
          <w:szCs w:val="32"/>
          <w:highlight w:val="none"/>
          <w:lang w:val="en-US" w:eastAsia="zh-CN"/>
        </w:rPr>
        <w:t>（二）预算及支出情况</w:t>
      </w:r>
      <w:bookmarkEnd w:id="5"/>
    </w:p>
    <w:p>
      <w:pPr>
        <w:spacing w:line="596" w:lineRule="exact"/>
        <w:ind w:firstLine="640" w:firstLineChars="200"/>
        <w:rPr>
          <w:rFonts w:hint="default"/>
          <w:highlight w:val="none"/>
          <w:lang w:val="en-US" w:eastAsia="zh-CN"/>
        </w:rPr>
      </w:pP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2022年财政资金年初支出预算为389.62万元，调整后支出预算为386.53万元；年末支出决算为386.53万元。</w:t>
      </w:r>
    </w:p>
    <w:p>
      <w:pPr>
        <w:spacing w:line="596" w:lineRule="exact"/>
        <w:ind w:firstLine="640" w:firstLineChars="200"/>
        <w:outlineLvl w:val="0"/>
        <w:rPr>
          <w:rFonts w:hint="eastAsia" w:eastAsia="方正黑体_GBK"/>
          <w:sz w:val="32"/>
          <w:szCs w:val="32"/>
        </w:rPr>
      </w:pPr>
      <w:bookmarkStart w:id="6" w:name="_Toc29760"/>
      <w:r>
        <w:rPr>
          <w:rFonts w:hint="eastAsia" w:eastAsia="方正黑体_GBK"/>
          <w:sz w:val="32"/>
          <w:szCs w:val="32"/>
        </w:rPr>
        <w:t>二</w:t>
      </w:r>
      <w:r>
        <w:rPr>
          <w:rFonts w:eastAsia="方正黑体_GBK"/>
          <w:sz w:val="32"/>
          <w:szCs w:val="32"/>
        </w:rPr>
        <w:t>、</w:t>
      </w:r>
      <w:r>
        <w:rPr>
          <w:rFonts w:hint="eastAsia" w:eastAsia="方正黑体_GBK"/>
          <w:sz w:val="32"/>
          <w:szCs w:val="32"/>
        </w:rPr>
        <w:t>主要成效</w:t>
      </w:r>
      <w:bookmarkEnd w:id="6"/>
    </w:p>
    <w:p>
      <w:pPr>
        <w:ind w:firstLine="640"/>
        <w:rPr>
          <w:rFonts w:hint="eastAsia" w:eastAsia="方正仿宋_GBK"/>
          <w:color w:val="FF0000"/>
          <w:sz w:val="32"/>
          <w:szCs w:val="32"/>
        </w:rPr>
      </w:pPr>
      <w:r>
        <w:rPr>
          <w:rFonts w:hint="default" w:hAnsi="方正仿宋_GBK" w:eastAsia="方正仿宋_GBK" w:cs="方正仿宋_GBK"/>
          <w:sz w:val="32"/>
          <w:szCs w:val="32"/>
          <w:lang w:val="en-US" w:eastAsia="zh-CN" w:bidi="ar"/>
        </w:rPr>
        <w:t>坚持每周例会，学习法律法规和行业标准规范，贯彻落实领导指示和上级重要会议精神，通报案件最新办理情况，研讨疑难问题，通过每月安全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工作会议</w:t>
      </w:r>
      <w:r>
        <w:rPr>
          <w:rFonts w:hint="default" w:hAnsi="方正仿宋_GBK" w:eastAsia="方正仿宋_GBK" w:cs="方正仿宋_GBK"/>
          <w:sz w:val="32"/>
          <w:szCs w:val="32"/>
          <w:lang w:val="en-US" w:eastAsia="zh-CN" w:bidi="ar"/>
        </w:rPr>
        <w:t>，通报执法情况，按规定时限办结案件，做到执法清零。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对照年度执法计划，有序开展</w:t>
      </w:r>
      <w:r>
        <w:rPr>
          <w:rFonts w:hint="default" w:hAnsi="方正仿宋_GBK" w:eastAsia="方正仿宋_GBK" w:cs="方正仿宋_GBK"/>
          <w:sz w:val="32"/>
          <w:szCs w:val="32"/>
          <w:lang w:val="en-US" w:eastAsia="zh-CN" w:bidi="ar"/>
        </w:rPr>
        <w:t>安全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、</w:t>
      </w:r>
      <w:r>
        <w:rPr>
          <w:rFonts w:hint="default" w:hAnsi="方正仿宋_GBK" w:eastAsia="方正仿宋_GBK" w:cs="方正仿宋_GBK"/>
          <w:sz w:val="32"/>
          <w:szCs w:val="32"/>
          <w:lang w:val="en-US" w:eastAsia="zh-CN" w:bidi="ar"/>
        </w:rPr>
        <w:t>市场行为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普查普检专项</w:t>
      </w:r>
      <w:r>
        <w:rPr>
          <w:rFonts w:hint="default" w:hAnsi="方正仿宋_GBK" w:eastAsia="方正仿宋_GBK" w:cs="方正仿宋_GBK"/>
          <w:sz w:val="32"/>
          <w:szCs w:val="32"/>
          <w:lang w:val="en-US" w:eastAsia="zh-CN" w:bidi="ar"/>
        </w:rPr>
        <w:t>执法行动，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对</w:t>
      </w:r>
      <w:r>
        <w:rPr>
          <w:rFonts w:hint="default" w:hAnsi="方正仿宋_GBK" w:eastAsia="方正仿宋_GBK" w:cs="方正仿宋_GBK"/>
          <w:sz w:val="32"/>
          <w:szCs w:val="32"/>
          <w:lang w:val="en-US" w:eastAsia="zh-CN" w:bidi="ar"/>
        </w:rPr>
        <w:t>安全、质量、扬尘、销售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、违法施工、违法投用</w:t>
      </w:r>
      <w:r>
        <w:rPr>
          <w:rFonts w:hint="default" w:hAnsi="方正仿宋_GBK" w:eastAsia="方正仿宋_GBK" w:cs="方正仿宋_GBK"/>
          <w:sz w:val="32"/>
          <w:szCs w:val="32"/>
          <w:lang w:val="en-US" w:eastAsia="zh-CN" w:bidi="ar"/>
        </w:rPr>
        <w:t>等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6类违法行为进行了抽查执法，及时办理各类移交案件。支队单独受理信访投诉举报事项41起，累计下达责令改正违法行为通知书26份，责令停止违法行为通知书7份，责令停工通知书3份，已实施简易处罚551起，行政立案72起，已结案49起，已收缴罚款134.34万元（因疫情延期未入账罚款190余万元），所有行政处罚案件均严格按要求上网进行了公示。支队今年共受领重点工作任务2项，一是出台行业领域“首违不罚”清单，二是</w:t>
      </w:r>
      <w:r>
        <w:rPr>
          <w:rFonts w:hint="default" w:hAnsi="方正仿宋_GBK" w:eastAsia="方正仿宋_GBK" w:cs="方正仿宋_GBK"/>
          <w:sz w:val="32"/>
          <w:szCs w:val="32"/>
          <w:lang w:val="en-US" w:eastAsia="zh-CN" w:bidi="ar"/>
        </w:rPr>
        <w:t>积极跟进</w:t>
      </w:r>
      <w:r>
        <w:rPr>
          <w:rFonts w:hint="eastAsia" w:hAnsi="方正仿宋_GBK" w:eastAsia="方正仿宋_GBK" w:cs="方正仿宋_GBK"/>
          <w:sz w:val="32"/>
          <w:szCs w:val="32"/>
          <w:lang w:val="en-US" w:eastAsia="zh-CN" w:bidi="ar"/>
        </w:rPr>
        <w:t>处置问题项目化解。“首违不罚”清单已于7月1日公布试行；之前受领的半山半园问题项目化解已推进复工建设。项目各标段总承包单位和18家专业分包单位已逐个沟通协调，恢复正常施工，全现场工程主体完成67%，水电气讯消防等安装作业完成34%，首批交付部分环境附属工程已进场施工，近日平均作业人数约1000人。</w:t>
      </w:r>
    </w:p>
    <w:p>
      <w:pPr>
        <w:spacing w:line="596" w:lineRule="exact"/>
        <w:ind w:firstLine="640" w:firstLineChars="200"/>
        <w:outlineLvl w:val="0"/>
        <w:rPr>
          <w:rFonts w:eastAsia="方正黑体_GBK"/>
          <w:sz w:val="32"/>
          <w:szCs w:val="32"/>
        </w:rPr>
      </w:pPr>
      <w:bookmarkStart w:id="7" w:name="_Toc20978"/>
      <w:r>
        <w:rPr>
          <w:rFonts w:hint="eastAsia" w:eastAsia="方正黑体_GBK"/>
          <w:sz w:val="32"/>
          <w:szCs w:val="32"/>
        </w:rPr>
        <w:t>三、绩效</w:t>
      </w:r>
      <w:r>
        <w:rPr>
          <w:rFonts w:eastAsia="方正黑体_GBK"/>
          <w:sz w:val="32"/>
          <w:szCs w:val="32"/>
        </w:rPr>
        <w:t>评价情况及结论</w:t>
      </w:r>
      <w:bookmarkEnd w:id="7"/>
    </w:p>
    <w:p>
      <w:pPr>
        <w:spacing w:line="596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根据《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重庆市璧山区住房和城乡建设综合行政执法支队</w:t>
      </w:r>
      <w:r>
        <w:rPr>
          <w:rFonts w:hint="eastAsia" w:eastAsia="方正仿宋_GBK"/>
          <w:color w:val="auto"/>
          <w:sz w:val="32"/>
          <w:szCs w:val="32"/>
        </w:rPr>
        <w:t>2022年度部门整体支出绩效自评表》中的指标体系分析情况，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重庆市璧山区住房和城乡建设综合行政执法支队</w:t>
      </w:r>
      <w:r>
        <w:rPr>
          <w:rFonts w:hint="eastAsia" w:eastAsia="方正仿宋_GBK"/>
          <w:color w:val="auto"/>
          <w:sz w:val="32"/>
          <w:szCs w:val="32"/>
        </w:rPr>
        <w:t>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auto"/>
          <w:sz w:val="32"/>
          <w:szCs w:val="32"/>
        </w:rPr>
        <w:t>年度部门整体支出绩效自评总得分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97.5</w:t>
      </w:r>
      <w:r>
        <w:rPr>
          <w:rFonts w:hint="eastAsia" w:eastAsia="方正仿宋_GBK"/>
          <w:color w:val="auto"/>
          <w:sz w:val="32"/>
          <w:szCs w:val="32"/>
        </w:rPr>
        <w:t>分，等级为“优”。具体得分情况如表1所示。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left="0" w:right="0" w:firstLine="560" w:firstLineChars="200"/>
        <w:jc w:val="center"/>
        <w:textAlignment w:val="auto"/>
        <w:rPr>
          <w:rFonts w:hint="eastAsia" w:ascii="Times New Roman" w:hAnsi="Times New Roman" w:eastAsia="方正仿宋_GBK" w:cs="方正仿宋_GBK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/>
        </w:rPr>
        <w:t>表 1：指标得分情况</w:t>
      </w:r>
    </w:p>
    <w:tbl>
      <w:tblPr>
        <w:tblStyle w:val="10"/>
        <w:tblW w:w="441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5"/>
        <w:gridCol w:w="1457"/>
        <w:gridCol w:w="1457"/>
        <w:gridCol w:w="14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权重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9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得分率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预决算公开率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立案查处案件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案件结案率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档案案件装订件数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执法培训次数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服务群众满意度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2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方正仿宋_GBK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加快信访投诉事项和执法案件项目推进进度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75.00%</w:t>
            </w:r>
          </w:p>
        </w:tc>
      </w:tr>
    </w:tbl>
    <w:p>
      <w:pPr>
        <w:spacing w:line="596" w:lineRule="exact"/>
        <w:ind w:firstLine="640" w:firstLineChars="200"/>
        <w:outlineLvl w:val="9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1、预算执行率分析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hAnsi="方正仿宋_GBK" w:eastAsia="方正仿宋_GBK" w:cs="方正仿宋_GBK"/>
          <w:color w:val="auto"/>
          <w:sz w:val="32"/>
          <w:szCs w:val="32"/>
          <w:lang w:val="en-US" w:eastAsia="zh-CN" w:bidi="ar"/>
        </w:rPr>
        <w:t>年初预算数为</w:t>
      </w:r>
      <w:r>
        <w:rPr>
          <w:rFonts w:hint="default" w:hAnsi="方正仿宋_GBK" w:eastAsia="方正仿宋_GBK" w:cs="方正仿宋_GBK"/>
          <w:color w:val="auto"/>
          <w:sz w:val="32"/>
          <w:szCs w:val="32"/>
          <w:lang w:val="en-US" w:eastAsia="zh-CN" w:bidi="ar"/>
        </w:rPr>
        <w:t>3</w:t>
      </w:r>
      <w:r>
        <w:rPr>
          <w:rFonts w:hint="eastAsia" w:hAnsi="方正仿宋_GBK" w:eastAsia="方正仿宋_GBK" w:cs="方正仿宋_GBK"/>
          <w:color w:val="auto"/>
          <w:sz w:val="32"/>
          <w:szCs w:val="32"/>
          <w:lang w:val="en-US" w:eastAsia="zh-CN" w:bidi="ar"/>
        </w:rPr>
        <w:t>89.62万元，全年调整数为</w:t>
      </w:r>
      <w:r>
        <w:rPr>
          <w:rFonts w:hint="default" w:hAnsi="方正仿宋_GBK" w:eastAsia="方正仿宋_GBK" w:cs="方正仿宋_GBK"/>
          <w:color w:val="auto"/>
          <w:sz w:val="32"/>
          <w:szCs w:val="32"/>
          <w:lang w:val="en-US" w:eastAsia="zh-CN" w:bidi="ar"/>
        </w:rPr>
        <w:t>3</w:t>
      </w:r>
      <w:r>
        <w:rPr>
          <w:rFonts w:hint="eastAsia" w:hAnsi="方正仿宋_GBK" w:eastAsia="方正仿宋_GBK" w:cs="方正仿宋_GBK"/>
          <w:color w:val="auto"/>
          <w:sz w:val="32"/>
          <w:szCs w:val="32"/>
          <w:lang w:val="en-US" w:eastAsia="zh-CN" w:bidi="ar"/>
        </w:rPr>
        <w:t>86.53万元，预算执行数为</w:t>
      </w:r>
      <w:r>
        <w:rPr>
          <w:rFonts w:hint="default" w:hAnsi="方正仿宋_GBK" w:eastAsia="方正仿宋_GBK" w:cs="方正仿宋_GBK"/>
          <w:color w:val="auto"/>
          <w:sz w:val="32"/>
          <w:szCs w:val="32"/>
          <w:lang w:val="en-US" w:eastAsia="zh-CN" w:bidi="ar"/>
        </w:rPr>
        <w:t>3</w:t>
      </w:r>
      <w:r>
        <w:rPr>
          <w:rFonts w:hint="eastAsia" w:hAnsi="方正仿宋_GBK" w:eastAsia="方正仿宋_GBK" w:cs="方正仿宋_GBK"/>
          <w:color w:val="auto"/>
          <w:sz w:val="32"/>
          <w:szCs w:val="32"/>
          <w:lang w:val="en-US" w:eastAsia="zh-CN" w:bidi="ar"/>
        </w:rPr>
        <w:t>86.53万元，预算执行率为100%。根据评价标准，该指标得</w:t>
      </w:r>
      <w:r>
        <w:rPr>
          <w:rFonts w:hint="default" w:hAnsi="方正仿宋_GBK" w:eastAsia="方正仿宋_GBK" w:cs="方正仿宋_GBK"/>
          <w:color w:val="auto"/>
          <w:sz w:val="32"/>
          <w:szCs w:val="32"/>
          <w:lang w:val="en-US" w:eastAsia="zh-CN" w:bidi="ar"/>
        </w:rPr>
        <w:t>100</w:t>
      </w:r>
      <w:r>
        <w:rPr>
          <w:rFonts w:hint="eastAsia" w:hAnsi="方正仿宋_GBK" w:eastAsia="方正仿宋_GBK" w:cs="方正仿宋_GBK"/>
          <w:color w:val="auto"/>
          <w:sz w:val="32"/>
          <w:szCs w:val="32"/>
          <w:lang w:val="en-US" w:eastAsia="zh-CN" w:bidi="ar"/>
        </w:rPr>
        <w:t>%权重分。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2、预决算公开率分析</w:t>
      </w:r>
    </w:p>
    <w:p>
      <w:pPr>
        <w:spacing w:line="596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按照相关文件规定，单位预决算信息需严格按照要求进行公开，202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auto"/>
          <w:sz w:val="32"/>
          <w:szCs w:val="32"/>
        </w:rPr>
        <w:t>年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单位</w:t>
      </w:r>
      <w:r>
        <w:rPr>
          <w:rFonts w:hint="eastAsia" w:eastAsia="方正仿宋_GBK"/>
          <w:color w:val="auto"/>
          <w:sz w:val="32"/>
          <w:szCs w:val="32"/>
        </w:rPr>
        <w:t>按时完成了预决算公开，财政资金使用情况公开透明。根据评价标准，该指标得100%权重分。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outlineLvl w:val="9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、立案查处案件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数</w:t>
      </w:r>
      <w:r>
        <w:rPr>
          <w:rFonts w:hint="eastAsia" w:eastAsia="方正仿宋_GBK"/>
          <w:color w:val="auto"/>
          <w:sz w:val="32"/>
          <w:szCs w:val="32"/>
        </w:rPr>
        <w:t>分析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立案查处案件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数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年初指标值为100件，全年完成值为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件，完成目标值。根据评价标准，该指标得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%权重分。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4、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案件结案率</w:t>
      </w:r>
      <w:r>
        <w:rPr>
          <w:rFonts w:hint="eastAsia" w:eastAsia="方正仿宋_GBK"/>
          <w:color w:val="auto"/>
          <w:sz w:val="32"/>
          <w:szCs w:val="32"/>
        </w:rPr>
        <w:t>分析</w:t>
      </w:r>
    </w:p>
    <w:p>
      <w:pPr>
        <w:spacing w:line="596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案件结案率年初指标值为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不小于60%，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全年完成值为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60%，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完成目标值。</w:t>
      </w:r>
      <w:r>
        <w:rPr>
          <w:rFonts w:hint="eastAsia" w:eastAsia="方正仿宋_GBK"/>
          <w:color w:val="auto"/>
          <w:sz w:val="32"/>
          <w:szCs w:val="32"/>
        </w:rPr>
        <w:t>根据评价标准，该指标得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100</w:t>
      </w:r>
      <w:r>
        <w:rPr>
          <w:rFonts w:hint="eastAsia" w:eastAsia="方正仿宋_GBK"/>
          <w:color w:val="auto"/>
          <w:sz w:val="32"/>
          <w:szCs w:val="32"/>
        </w:rPr>
        <w:t>%权重分。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5、档案案件装订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件数</w:t>
      </w:r>
      <w:r>
        <w:rPr>
          <w:rFonts w:hint="eastAsia" w:eastAsia="方正仿宋_GBK"/>
          <w:color w:val="auto"/>
          <w:sz w:val="32"/>
          <w:szCs w:val="32"/>
        </w:rPr>
        <w:t>分析</w:t>
      </w:r>
    </w:p>
    <w:p>
      <w:pPr>
        <w:spacing w:line="596" w:lineRule="exact"/>
        <w:ind w:firstLine="640" w:firstLineChars="200"/>
        <w:rPr>
          <w:rFonts w:hint="default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单位</w:t>
      </w:r>
      <w:r>
        <w:rPr>
          <w:rFonts w:hint="eastAsia" w:eastAsia="方正仿宋_GBK"/>
          <w:color w:val="auto"/>
          <w:sz w:val="32"/>
          <w:szCs w:val="32"/>
        </w:rPr>
        <w:t>档案案件装订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件数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年初指标值为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不小于100件，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全年完成值为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100件，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完成目标值。</w:t>
      </w:r>
      <w:r>
        <w:rPr>
          <w:rFonts w:hint="eastAsia" w:eastAsia="方正仿宋_GBK"/>
          <w:color w:val="auto"/>
          <w:sz w:val="32"/>
          <w:szCs w:val="32"/>
        </w:rPr>
        <w:t>根据评价标准，该指标得100%权重分。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6、执法培训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次数</w:t>
      </w:r>
      <w:r>
        <w:rPr>
          <w:rFonts w:hint="eastAsia" w:eastAsia="方正仿宋_GBK"/>
          <w:color w:val="auto"/>
          <w:sz w:val="32"/>
          <w:szCs w:val="32"/>
        </w:rPr>
        <w:t>分析</w:t>
      </w:r>
    </w:p>
    <w:p>
      <w:pPr>
        <w:spacing w:line="596" w:lineRule="exact"/>
        <w:ind w:firstLine="640" w:firstLineChars="200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执法培训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次数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年初指标值为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不少于2次，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全年完成值为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2次，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完成目标值。</w:t>
      </w:r>
      <w:r>
        <w:rPr>
          <w:rFonts w:hint="eastAsia" w:eastAsia="方正仿宋_GBK"/>
          <w:color w:val="auto"/>
          <w:sz w:val="32"/>
          <w:szCs w:val="32"/>
        </w:rPr>
        <w:t>根据评价标准，该指标得100%权重分。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</w:rPr>
        <w:t>7、服务群众满意度分析</w:t>
      </w:r>
    </w:p>
    <w:p>
      <w:pPr>
        <w:spacing w:line="596" w:lineRule="exact"/>
        <w:ind w:firstLine="640" w:firstLineChars="200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eastAsia="方正仿宋_GBK"/>
          <w:color w:val="auto"/>
          <w:sz w:val="32"/>
          <w:szCs w:val="32"/>
        </w:rPr>
        <w:t>服务群众满意度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年初指标值为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不小于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90%，全年完成值为9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0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%，完成目标值。根据评价标准，该指标得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100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%权重分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color w:val="auto"/>
          <w:sz w:val="32"/>
          <w:szCs w:val="32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8</w:t>
      </w:r>
      <w:r>
        <w:rPr>
          <w:rFonts w:hint="eastAsia" w:eastAsia="方正仿宋_GBK"/>
          <w:color w:val="auto"/>
          <w:sz w:val="32"/>
          <w:szCs w:val="32"/>
        </w:rPr>
        <w:t>、加快信访投诉事项和执法案件项目推进进度</w:t>
      </w:r>
    </w:p>
    <w:p>
      <w:pPr>
        <w:spacing w:line="596" w:lineRule="exact"/>
        <w:ind w:firstLine="640" w:firstLineChars="200"/>
        <w:rPr>
          <w:rFonts w:hint="eastAsia"/>
        </w:rPr>
      </w:pPr>
      <w:r>
        <w:rPr>
          <w:rFonts w:hint="eastAsia" w:ascii="仿宋_GB2312" w:hAnsi="仿宋" w:eastAsia="仿宋_GB2312" w:cs="仿宋"/>
          <w:bCs/>
          <w:kern w:val="2"/>
          <w:sz w:val="32"/>
          <w:szCs w:val="32"/>
          <w:lang w:val="en-US" w:eastAsia="zh-CN" w:bidi="ar-SA"/>
        </w:rPr>
        <w:t>由于</w:t>
      </w:r>
      <w:r>
        <w:rPr>
          <w:rFonts w:hint="default" w:ascii="仿宋_GB2312" w:hAnsi="仿宋" w:eastAsia="仿宋_GB2312" w:cs="仿宋"/>
          <w:bCs/>
          <w:kern w:val="2"/>
          <w:sz w:val="32"/>
          <w:szCs w:val="32"/>
          <w:lang w:val="en-US" w:eastAsia="zh-CN" w:bidi="ar-SA"/>
        </w:rPr>
        <w:t>市场环境的变化</w:t>
      </w:r>
      <w:r>
        <w:rPr>
          <w:rFonts w:hint="eastAsia" w:ascii="仿宋_GB2312" w:hAnsi="仿宋" w:eastAsia="仿宋_GB2312" w:cs="仿宋"/>
          <w:bCs/>
          <w:kern w:val="2"/>
          <w:sz w:val="32"/>
          <w:szCs w:val="32"/>
          <w:lang w:val="en-US" w:eastAsia="zh-CN" w:bidi="ar-SA"/>
        </w:rPr>
        <w:t>，支队2022年受理的疑难工作和案件较多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，所以</w:t>
      </w:r>
      <w:r>
        <w:rPr>
          <w:rFonts w:hint="eastAsia" w:eastAsia="方正仿宋_GBK"/>
          <w:color w:val="auto"/>
          <w:sz w:val="32"/>
          <w:szCs w:val="32"/>
        </w:rPr>
        <w:t>信访投诉事项和执法案件项目推进进度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减缓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。根据评价标准，该指标得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75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"/>
        </w:rPr>
        <w:t>%权重分</w:t>
      </w:r>
      <w:r>
        <w:rPr>
          <w:rFonts w:hint="eastAsia" w:eastAsia="方正仿宋_GBK" w:cs="Times New Roman"/>
          <w:color w:val="auto"/>
          <w:kern w:val="2"/>
          <w:sz w:val="32"/>
          <w:szCs w:val="32"/>
          <w:lang w:val="en-US" w:eastAsia="zh-CN" w:bidi="ar"/>
        </w:rPr>
        <w:t>。</w:t>
      </w:r>
    </w:p>
    <w:p>
      <w:pPr>
        <w:spacing w:line="596" w:lineRule="exact"/>
        <w:ind w:firstLine="640" w:firstLineChars="200"/>
        <w:outlineLvl w:val="0"/>
        <w:rPr>
          <w:rFonts w:hint="eastAsia" w:eastAsia="方正黑体_GBK"/>
          <w:sz w:val="32"/>
          <w:szCs w:val="32"/>
        </w:rPr>
      </w:pPr>
      <w:bookmarkStart w:id="8" w:name="_Toc19099"/>
      <w:r>
        <w:rPr>
          <w:rFonts w:hint="eastAsia" w:eastAsia="方正黑体_GBK"/>
          <w:sz w:val="32"/>
          <w:szCs w:val="32"/>
        </w:rPr>
        <w:t>四</w:t>
      </w:r>
      <w:r>
        <w:rPr>
          <w:rFonts w:eastAsia="方正黑体_GBK"/>
          <w:sz w:val="32"/>
          <w:szCs w:val="32"/>
        </w:rPr>
        <w:t>、</w:t>
      </w:r>
      <w:r>
        <w:rPr>
          <w:rFonts w:hint="eastAsia" w:eastAsia="方正黑体_GBK"/>
          <w:sz w:val="32"/>
          <w:szCs w:val="32"/>
        </w:rPr>
        <w:t>需重点关注的问题</w:t>
      </w:r>
      <w:bookmarkEnd w:id="8"/>
    </w:p>
    <w:p>
      <w:pPr>
        <w:spacing w:line="596" w:lineRule="exact"/>
        <w:ind w:firstLine="640" w:firstLineChars="200"/>
        <w:outlineLvl w:val="9"/>
        <w:rPr>
          <w:rFonts w:hint="eastAsia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1、信访投诉事项和执法案件项目推进进度较缓慢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eastAsia="方正仿宋_GBK"/>
          <w:color w:val="auto"/>
          <w:sz w:val="32"/>
          <w:szCs w:val="32"/>
          <w:lang w:val="en-US" w:eastAsia="zh-CN"/>
        </w:rPr>
        <w:t>由于</w:t>
      </w:r>
      <w:r>
        <w:rPr>
          <w:rFonts w:hint="default" w:eastAsia="方正仿宋_GBK"/>
          <w:color w:val="auto"/>
          <w:sz w:val="32"/>
          <w:szCs w:val="32"/>
          <w:lang w:val="en-US" w:eastAsia="zh-CN"/>
        </w:rPr>
        <w:t>市场环境的变化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，支队2022年受理的疑难工作和案件较多，且</w:t>
      </w:r>
      <w:r>
        <w:rPr>
          <w:rFonts w:hint="default" w:eastAsia="方正仿宋_GBK"/>
          <w:color w:val="auto"/>
          <w:sz w:val="32"/>
          <w:szCs w:val="32"/>
          <w:lang w:val="en-US" w:eastAsia="zh-CN"/>
        </w:rPr>
        <w:t>受理的信访投诉事项和执法案件呈现出稀奇、复杂、难办、结案难等情况。事项和案件都需要经办人多次参与和多向协调取证，费时费力，影响常态执法检查工作的开展。</w:t>
      </w:r>
    </w:p>
    <w:p>
      <w:pPr>
        <w:spacing w:line="596" w:lineRule="exact"/>
        <w:ind w:firstLine="640" w:firstLineChars="200"/>
        <w:outlineLvl w:val="0"/>
        <w:rPr>
          <w:rFonts w:hint="eastAsia" w:eastAsia="方正黑体_GBK"/>
          <w:color w:val="auto"/>
          <w:sz w:val="32"/>
          <w:szCs w:val="32"/>
        </w:rPr>
      </w:pPr>
      <w:bookmarkStart w:id="9" w:name="_Toc24465"/>
      <w:r>
        <w:rPr>
          <w:rFonts w:hint="eastAsia" w:eastAsia="方正黑体_GBK"/>
          <w:color w:val="auto"/>
          <w:sz w:val="32"/>
          <w:szCs w:val="32"/>
        </w:rPr>
        <w:t>五、有关建议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eastAsia="方正仿宋_GBK"/>
          <w:color w:val="auto"/>
          <w:sz w:val="32"/>
          <w:szCs w:val="32"/>
          <w:lang w:val="en-US"/>
        </w:rPr>
      </w:pPr>
      <w:r>
        <w:rPr>
          <w:rFonts w:hint="eastAsia" w:eastAsia="方正仿宋_GBK"/>
          <w:color w:val="auto"/>
          <w:sz w:val="32"/>
          <w:szCs w:val="32"/>
        </w:rPr>
        <w:t>1、</w:t>
      </w:r>
      <w:r>
        <w:rPr>
          <w:rFonts w:hint="eastAsia" w:ascii="仿宋_GB2312" w:hAnsi="仿宋" w:eastAsia="仿宋_GB2312" w:cs="仿宋"/>
          <w:bCs/>
          <w:kern w:val="2"/>
          <w:sz w:val="32"/>
          <w:szCs w:val="32"/>
          <w:lang w:val="en-US" w:eastAsia="zh-CN" w:bidi="ar-SA"/>
        </w:rPr>
        <w:t>对</w:t>
      </w:r>
      <w:r>
        <w:rPr>
          <w:rFonts w:hint="default" w:eastAsia="方正仿宋_GBK"/>
          <w:color w:val="auto"/>
          <w:sz w:val="32"/>
          <w:szCs w:val="32"/>
          <w:lang w:val="en-US" w:eastAsia="zh-CN"/>
        </w:rPr>
        <w:t>受理的信访投诉事项和执法案件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进行及时地整理归纳，针对各个事项和案件制定相关实施办法和计划，</w:t>
      </w:r>
      <w:r>
        <w:rPr>
          <w:rFonts w:hint="eastAsia" w:ascii="仿宋_GB2312" w:hAnsi="仿宋" w:eastAsia="仿宋_GB2312" w:cs="仿宋"/>
          <w:bCs/>
          <w:kern w:val="2"/>
          <w:sz w:val="32"/>
          <w:szCs w:val="32"/>
          <w:lang w:val="en-US" w:eastAsia="zh-CN" w:bidi="ar-SA"/>
        </w:rPr>
        <w:t>合理规划安排</w:t>
      </w:r>
      <w:r>
        <w:rPr>
          <w:rFonts w:hint="default" w:eastAsia="方正仿宋_GBK"/>
          <w:color w:val="auto"/>
          <w:sz w:val="32"/>
          <w:szCs w:val="32"/>
          <w:lang w:val="en-US" w:eastAsia="zh-CN"/>
        </w:rPr>
        <w:t>事项和案件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的时间和人力，</w:t>
      </w:r>
      <w:r>
        <w:rPr>
          <w:rFonts w:hint="default" w:ascii="仿宋_GB2312" w:hAnsi="仿宋" w:eastAsia="仿宋_GB2312" w:cs="仿宋"/>
          <w:bCs/>
          <w:kern w:val="2"/>
          <w:sz w:val="32"/>
          <w:szCs w:val="32"/>
          <w:lang w:val="en-US" w:eastAsia="zh-CN" w:bidi="ar-SA"/>
        </w:rPr>
        <w:t>针对</w:t>
      </w:r>
      <w:r>
        <w:rPr>
          <w:rFonts w:hint="eastAsia" w:ascii="仿宋_GB2312" w:hAnsi="仿宋" w:eastAsia="仿宋_GB2312" w:cs="仿宋"/>
          <w:bCs/>
          <w:kern w:val="2"/>
          <w:sz w:val="32"/>
          <w:szCs w:val="32"/>
          <w:lang w:val="en-US" w:eastAsia="zh-CN" w:bidi="ar-SA"/>
        </w:rPr>
        <w:t>稀奇复杂案件进行专项抽查，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有效开展执法工作，实时跟踪</w:t>
      </w:r>
      <w:r>
        <w:rPr>
          <w:rFonts w:hint="default" w:eastAsia="方正仿宋_GBK"/>
          <w:color w:val="auto"/>
          <w:sz w:val="32"/>
          <w:szCs w:val="32"/>
          <w:lang w:val="en-US" w:eastAsia="zh-CN"/>
        </w:rPr>
        <w:t>事项和案件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推进进度，确保工作的完成效率。</w:t>
      </w:r>
    </w:p>
    <w:sectPr>
      <w:footerReference r:id="rId5" w:type="default"/>
      <w:pgSz w:w="11906" w:h="16838"/>
      <w:pgMar w:top="1588" w:right="1474" w:bottom="1588" w:left="1474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YWJjOWFlZDAxMzBiOWZlMTljOWJhY2Q0MjQyZmUifQ=="/>
    <w:docVar w:name="KSO_WPS_MARK_KEY" w:val="00e543a2-18b1-43e5-b994-b394a15e0224"/>
  </w:docVars>
  <w:rsids>
    <w:rsidRoot w:val="00806865"/>
    <w:rsid w:val="00043A15"/>
    <w:rsid w:val="000575E2"/>
    <w:rsid w:val="00063B15"/>
    <w:rsid w:val="0009607E"/>
    <w:rsid w:val="000B5DB9"/>
    <w:rsid w:val="000C0972"/>
    <w:rsid w:val="00171AB3"/>
    <w:rsid w:val="001C3D64"/>
    <w:rsid w:val="001C641A"/>
    <w:rsid w:val="001C6822"/>
    <w:rsid w:val="001E256D"/>
    <w:rsid w:val="001E2D5B"/>
    <w:rsid w:val="00247BB1"/>
    <w:rsid w:val="002571F7"/>
    <w:rsid w:val="002641A6"/>
    <w:rsid w:val="002834C5"/>
    <w:rsid w:val="00293914"/>
    <w:rsid w:val="002C141E"/>
    <w:rsid w:val="002F6627"/>
    <w:rsid w:val="00304656"/>
    <w:rsid w:val="00333D24"/>
    <w:rsid w:val="0034410B"/>
    <w:rsid w:val="003532F1"/>
    <w:rsid w:val="00357647"/>
    <w:rsid w:val="00365C0E"/>
    <w:rsid w:val="00381982"/>
    <w:rsid w:val="00381F5B"/>
    <w:rsid w:val="00384864"/>
    <w:rsid w:val="003B01B9"/>
    <w:rsid w:val="003E4915"/>
    <w:rsid w:val="003E75C4"/>
    <w:rsid w:val="00401B11"/>
    <w:rsid w:val="00422429"/>
    <w:rsid w:val="0043034C"/>
    <w:rsid w:val="00443E03"/>
    <w:rsid w:val="00487348"/>
    <w:rsid w:val="00497B55"/>
    <w:rsid w:val="004C051C"/>
    <w:rsid w:val="00516F77"/>
    <w:rsid w:val="00547BAD"/>
    <w:rsid w:val="00550210"/>
    <w:rsid w:val="005516E1"/>
    <w:rsid w:val="00563118"/>
    <w:rsid w:val="005A221A"/>
    <w:rsid w:val="005B5ED1"/>
    <w:rsid w:val="00606BA5"/>
    <w:rsid w:val="006417E5"/>
    <w:rsid w:val="0064309B"/>
    <w:rsid w:val="00671BB5"/>
    <w:rsid w:val="006772C6"/>
    <w:rsid w:val="006C7720"/>
    <w:rsid w:val="006C793C"/>
    <w:rsid w:val="006D100A"/>
    <w:rsid w:val="006E6E29"/>
    <w:rsid w:val="00704B56"/>
    <w:rsid w:val="00725E01"/>
    <w:rsid w:val="00732DA5"/>
    <w:rsid w:val="00770339"/>
    <w:rsid w:val="0077453E"/>
    <w:rsid w:val="0079497F"/>
    <w:rsid w:val="007B27A0"/>
    <w:rsid w:val="007C2693"/>
    <w:rsid w:val="007D04AB"/>
    <w:rsid w:val="007D7B0E"/>
    <w:rsid w:val="007E54DF"/>
    <w:rsid w:val="00806211"/>
    <w:rsid w:val="00806865"/>
    <w:rsid w:val="0081273A"/>
    <w:rsid w:val="0082343D"/>
    <w:rsid w:val="00831BF0"/>
    <w:rsid w:val="00837D1D"/>
    <w:rsid w:val="00844EE6"/>
    <w:rsid w:val="00871B89"/>
    <w:rsid w:val="00880010"/>
    <w:rsid w:val="008A7625"/>
    <w:rsid w:val="008D02AF"/>
    <w:rsid w:val="008D25A0"/>
    <w:rsid w:val="009108DF"/>
    <w:rsid w:val="00974291"/>
    <w:rsid w:val="009A23DE"/>
    <w:rsid w:val="00A1196F"/>
    <w:rsid w:val="00A27343"/>
    <w:rsid w:val="00A3725D"/>
    <w:rsid w:val="00A45BE4"/>
    <w:rsid w:val="00AD0DAD"/>
    <w:rsid w:val="00AF31E0"/>
    <w:rsid w:val="00B07031"/>
    <w:rsid w:val="00B17BC3"/>
    <w:rsid w:val="00B34D05"/>
    <w:rsid w:val="00B85927"/>
    <w:rsid w:val="00BC3295"/>
    <w:rsid w:val="00BD1848"/>
    <w:rsid w:val="00BF6FF2"/>
    <w:rsid w:val="00C31CE4"/>
    <w:rsid w:val="00C77086"/>
    <w:rsid w:val="00C858DD"/>
    <w:rsid w:val="00CD33CE"/>
    <w:rsid w:val="00CF26C3"/>
    <w:rsid w:val="00D610B4"/>
    <w:rsid w:val="00D86135"/>
    <w:rsid w:val="00E05A32"/>
    <w:rsid w:val="00E11CE4"/>
    <w:rsid w:val="00E225F8"/>
    <w:rsid w:val="00E25A0F"/>
    <w:rsid w:val="00E42BE7"/>
    <w:rsid w:val="00E55405"/>
    <w:rsid w:val="00E72086"/>
    <w:rsid w:val="00E91393"/>
    <w:rsid w:val="00EB0A75"/>
    <w:rsid w:val="00EF2A45"/>
    <w:rsid w:val="00F70C2E"/>
    <w:rsid w:val="00F9262E"/>
    <w:rsid w:val="00F93438"/>
    <w:rsid w:val="00FA41F0"/>
    <w:rsid w:val="00FD0041"/>
    <w:rsid w:val="00FE38F2"/>
    <w:rsid w:val="02E344C7"/>
    <w:rsid w:val="04A25146"/>
    <w:rsid w:val="05B47256"/>
    <w:rsid w:val="0BDD7AB9"/>
    <w:rsid w:val="0BE0257F"/>
    <w:rsid w:val="0C7B586A"/>
    <w:rsid w:val="117A5C2C"/>
    <w:rsid w:val="12B207DE"/>
    <w:rsid w:val="137B21E9"/>
    <w:rsid w:val="13A12835"/>
    <w:rsid w:val="145B74F4"/>
    <w:rsid w:val="1920600E"/>
    <w:rsid w:val="1A8969D1"/>
    <w:rsid w:val="1AB74A6D"/>
    <w:rsid w:val="1BBE41A2"/>
    <w:rsid w:val="1EBF675C"/>
    <w:rsid w:val="27C82E0F"/>
    <w:rsid w:val="2B8F4144"/>
    <w:rsid w:val="2F761DC4"/>
    <w:rsid w:val="331A7FAD"/>
    <w:rsid w:val="338D50BA"/>
    <w:rsid w:val="36581115"/>
    <w:rsid w:val="37735EDE"/>
    <w:rsid w:val="38CA10EF"/>
    <w:rsid w:val="3D876C19"/>
    <w:rsid w:val="41E82ADB"/>
    <w:rsid w:val="45C07A37"/>
    <w:rsid w:val="48A154C7"/>
    <w:rsid w:val="49257EA3"/>
    <w:rsid w:val="4E960E86"/>
    <w:rsid w:val="532946DA"/>
    <w:rsid w:val="55596E28"/>
    <w:rsid w:val="5777794B"/>
    <w:rsid w:val="58074B74"/>
    <w:rsid w:val="585711D8"/>
    <w:rsid w:val="5BA1090F"/>
    <w:rsid w:val="5D455361"/>
    <w:rsid w:val="5E5B51B1"/>
    <w:rsid w:val="6084664B"/>
    <w:rsid w:val="62BC14D8"/>
    <w:rsid w:val="63147CC6"/>
    <w:rsid w:val="65077AE2"/>
    <w:rsid w:val="6C192360"/>
    <w:rsid w:val="70781894"/>
    <w:rsid w:val="70DE7C35"/>
    <w:rsid w:val="78D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qFormat="1" w:uiPriority="39" w:name="toc 2"/>
    <w:lsdException w:qFormat="1"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240" w:lineRule="auto"/>
      <w:jc w:val="left"/>
      <w:outlineLvl w:val="3"/>
    </w:pPr>
    <w:rPr>
      <w:rFonts w:ascii="Arial" w:hAnsi="Arial" w:eastAsia="方正仿宋_GBK" w:cs="Times New Roman"/>
      <w:sz w:val="32"/>
      <w:szCs w:val="20"/>
    </w:rPr>
  </w:style>
  <w:style w:type="paragraph" w:styleId="3">
    <w:name w:val="heading 6"/>
    <w:basedOn w:val="1"/>
    <w:next w:val="1"/>
    <w:qFormat/>
    <w:uiPriority w:val="9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nhideWhenUsed/>
    <w:qFormat/>
    <w:uiPriority w:val="39"/>
  </w:style>
  <w:style w:type="paragraph" w:styleId="9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12">
    <w:name w:val="No Spacing"/>
    <w:qFormat/>
    <w:uiPriority w:val="99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眉 Char"/>
    <w:basedOn w:val="11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7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2092</Words>
  <Characters>2275</Characters>
  <Lines>1</Lines>
  <Paragraphs>1</Paragraphs>
  <TotalTime>3</TotalTime>
  <ScaleCrop>false</ScaleCrop>
  <LinksUpToDate>false</LinksUpToDate>
  <CharactersWithSpaces>2308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2020-04-20T08:58:00Z</dcterms:created>
  <dc:creator>Administrator</dc:creator>
  <cp:lastModifiedBy>安静</cp:lastModifiedBy>
  <cp:lastPrinted>2020-04-20T08:58:00Z</cp:lastPrinted>
  <dcterms:modified xsi:type="dcterms:W3CDTF">2023-09-18T06:54:48Z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6E837B8C14FA46099AFBF507DD726DBF_13</vt:lpwstr>
  </property>
</Properties>
</file>