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DF" w:rsidRDefault="004F79EF">
      <w:pPr>
        <w:rPr>
          <w:rFonts w:eastAsia="方正仿宋_GBK" w:cs="方正仿宋_GBK"/>
          <w:sz w:val="32"/>
          <w:szCs w:val="40"/>
        </w:rPr>
      </w:pPr>
      <w:bookmarkStart w:id="0" w:name="_Toc13063"/>
      <w:r>
        <w:rPr>
          <w:rFonts w:eastAsia="方正仿宋_GBK" w:cs="方正仿宋_GBK" w:hint="eastAsia"/>
          <w:sz w:val="32"/>
          <w:szCs w:val="40"/>
        </w:rPr>
        <w:t>附件</w:t>
      </w:r>
      <w:bookmarkEnd w:id="0"/>
      <w:r w:rsidR="004439A8">
        <w:rPr>
          <w:rFonts w:eastAsia="方正仿宋_GBK" w:cs="方正仿宋_GBK" w:hint="eastAsia"/>
          <w:sz w:val="32"/>
          <w:szCs w:val="40"/>
        </w:rPr>
        <w:t>3</w:t>
      </w:r>
      <w:bookmarkStart w:id="1" w:name="_GoBack"/>
      <w:bookmarkEnd w:id="1"/>
    </w:p>
    <w:p w:rsidR="00A47BDF" w:rsidRDefault="00A47BDF">
      <w:pPr>
        <w:spacing w:line="596" w:lineRule="exact"/>
        <w:jc w:val="center"/>
        <w:rPr>
          <w:rFonts w:eastAsia="方正小标宋_GBK"/>
          <w:sz w:val="44"/>
          <w:szCs w:val="32"/>
        </w:rPr>
      </w:pPr>
    </w:p>
    <w:p w:rsidR="00A47BDF" w:rsidRDefault="00A47BDF">
      <w:pPr>
        <w:spacing w:line="596" w:lineRule="exact"/>
        <w:jc w:val="center"/>
        <w:rPr>
          <w:rFonts w:eastAsia="方正小标宋_GBK"/>
          <w:sz w:val="44"/>
          <w:szCs w:val="32"/>
        </w:rPr>
      </w:pPr>
    </w:p>
    <w:p w:rsidR="00A47BDF" w:rsidRDefault="00A47BDF">
      <w:pPr>
        <w:spacing w:line="596" w:lineRule="exact"/>
        <w:jc w:val="center"/>
        <w:rPr>
          <w:rFonts w:eastAsia="方正小标宋_GBK"/>
          <w:sz w:val="44"/>
          <w:szCs w:val="32"/>
        </w:rPr>
      </w:pPr>
    </w:p>
    <w:p w:rsidR="00A47BDF" w:rsidRDefault="00A47BDF">
      <w:pPr>
        <w:spacing w:line="596" w:lineRule="exact"/>
        <w:jc w:val="center"/>
        <w:rPr>
          <w:rFonts w:eastAsia="方正小标宋_GBK"/>
          <w:sz w:val="44"/>
          <w:szCs w:val="32"/>
        </w:rPr>
      </w:pPr>
    </w:p>
    <w:p w:rsidR="00A47BDF" w:rsidRDefault="00A47BDF">
      <w:pPr>
        <w:spacing w:line="596" w:lineRule="exact"/>
        <w:jc w:val="center"/>
        <w:rPr>
          <w:rFonts w:eastAsia="方正小标宋_GBK"/>
          <w:sz w:val="44"/>
          <w:szCs w:val="32"/>
        </w:rPr>
      </w:pPr>
    </w:p>
    <w:p w:rsidR="00A47BDF" w:rsidRDefault="00A47BDF">
      <w:pPr>
        <w:spacing w:line="596" w:lineRule="exact"/>
        <w:jc w:val="center"/>
        <w:rPr>
          <w:rFonts w:eastAsia="方正小标宋_GBK"/>
          <w:sz w:val="44"/>
          <w:szCs w:val="32"/>
        </w:rPr>
      </w:pPr>
    </w:p>
    <w:p w:rsidR="00A47BDF" w:rsidRDefault="004F79EF">
      <w:pPr>
        <w:jc w:val="center"/>
        <w:rPr>
          <w:rFonts w:eastAsia="方正小标宋_GBK" w:cs="方正小标宋_GBK"/>
          <w:sz w:val="44"/>
          <w:szCs w:val="44"/>
        </w:rPr>
      </w:pPr>
      <w:bookmarkStart w:id="2" w:name="_Toc9001"/>
      <w:r>
        <w:rPr>
          <w:rFonts w:eastAsia="方正小标宋_GBK" w:cs="方正小标宋_GBK" w:hint="eastAsia"/>
          <w:sz w:val="44"/>
          <w:szCs w:val="44"/>
        </w:rPr>
        <w:t>重庆市璧山区房屋征收中心</w:t>
      </w:r>
      <w:bookmarkEnd w:id="2"/>
    </w:p>
    <w:p w:rsidR="00A47BDF" w:rsidRDefault="004F79EF">
      <w:pPr>
        <w:jc w:val="center"/>
        <w:rPr>
          <w:rFonts w:eastAsia="方正小标宋_GBK"/>
          <w:sz w:val="44"/>
          <w:szCs w:val="44"/>
        </w:rPr>
      </w:pPr>
      <w:r>
        <w:rPr>
          <w:rFonts w:eastAsia="方正小标宋_GBK" w:cs="方正小标宋_GBK" w:hint="eastAsia"/>
          <w:sz w:val="44"/>
          <w:szCs w:val="44"/>
        </w:rPr>
        <w:t>2022</w:t>
      </w:r>
      <w:r>
        <w:rPr>
          <w:rFonts w:eastAsia="方正小标宋_GBK" w:cs="方正小标宋_GBK" w:hint="eastAsia"/>
          <w:sz w:val="44"/>
          <w:szCs w:val="44"/>
        </w:rPr>
        <w:t>年度整体支出绩效自评报告</w:t>
      </w:r>
    </w:p>
    <w:p w:rsidR="00A47BDF" w:rsidRDefault="00A47BDF">
      <w:pPr>
        <w:pStyle w:val="a8"/>
        <w:spacing w:line="596" w:lineRule="exact"/>
        <w:ind w:left="357" w:firstLine="640"/>
        <w:rPr>
          <w:rFonts w:eastAsia="方正仿宋_GBK"/>
          <w:sz w:val="32"/>
          <w:szCs w:val="32"/>
        </w:rPr>
      </w:pPr>
    </w:p>
    <w:p w:rsidR="00A47BDF" w:rsidRDefault="004F79EF">
      <w:pPr>
        <w:rPr>
          <w:rFonts w:eastAsia="方正黑体_GBK"/>
          <w:sz w:val="32"/>
          <w:szCs w:val="32"/>
        </w:rPr>
      </w:pPr>
      <w:r>
        <w:rPr>
          <w:rFonts w:eastAsia="方正黑体_GBK"/>
          <w:sz w:val="32"/>
          <w:szCs w:val="32"/>
        </w:rPr>
        <w:br w:type="page"/>
      </w:r>
    </w:p>
    <w:sdt>
      <w:sdtPr>
        <w:id w:val="147483292"/>
        <w:docPartObj>
          <w:docPartGallery w:val="Table of Contents"/>
          <w:docPartUnique/>
        </w:docPartObj>
      </w:sdtPr>
      <w:sdtEndPr/>
      <w:sdtContent>
        <w:p w:rsidR="00A47BDF" w:rsidRDefault="004F79EF">
          <w:pPr>
            <w:jc w:val="center"/>
          </w:pPr>
          <w:r>
            <w:rPr>
              <w:rFonts w:eastAsia="方正小标宋_GBK" w:cs="方正小标宋_GBK" w:hint="eastAsia"/>
              <w:sz w:val="32"/>
              <w:szCs w:val="32"/>
            </w:rPr>
            <w:t>目</w:t>
          </w:r>
          <w:r>
            <w:rPr>
              <w:rFonts w:eastAsia="方正小标宋_GBK" w:cs="方正小标宋_GBK" w:hint="eastAsia"/>
              <w:sz w:val="32"/>
              <w:szCs w:val="32"/>
            </w:rPr>
            <w:t xml:space="preserve">  </w:t>
          </w:r>
          <w:r>
            <w:rPr>
              <w:rFonts w:eastAsia="方正小标宋_GBK" w:cs="方正小标宋_GBK" w:hint="eastAsia"/>
              <w:sz w:val="32"/>
              <w:szCs w:val="32"/>
            </w:rPr>
            <w:t>录</w:t>
          </w:r>
        </w:p>
        <w:p w:rsidR="00A47BDF" w:rsidRDefault="004F79EF">
          <w:pPr>
            <w:pStyle w:val="1"/>
            <w:tabs>
              <w:tab w:val="right" w:leader="dot" w:pos="8958"/>
            </w:tabs>
            <w:rPr>
              <w:rFonts w:ascii="方正仿宋_GBK" w:eastAsia="方正仿宋_GBK" w:hAnsi="方正仿宋_GBK" w:cs="方正仿宋_GBK"/>
              <w:sz w:val="32"/>
              <w:szCs w:val="40"/>
            </w:rPr>
          </w:pPr>
          <w:r>
            <w:fldChar w:fldCharType="begin"/>
          </w:r>
          <w:r>
            <w:instrText xml:space="preserve">TOC \o "1-3" \h \u </w:instrText>
          </w:r>
          <w:r>
            <w:fldChar w:fldCharType="separate"/>
          </w:r>
          <w:hyperlink w:anchor="_Toc4426" w:history="1">
            <w:r>
              <w:rPr>
                <w:rFonts w:ascii="方正仿宋_GBK" w:eastAsia="方正仿宋_GBK" w:hAnsi="方正仿宋_GBK" w:cs="方正仿宋_GBK" w:hint="eastAsia"/>
                <w:sz w:val="32"/>
                <w:szCs w:val="48"/>
              </w:rPr>
              <w:t>一、基本情况</w:t>
            </w:r>
            <w:r>
              <w:rPr>
                <w:rFonts w:ascii="方正仿宋_GBK" w:eastAsia="方正仿宋_GBK" w:hAnsi="方正仿宋_GBK" w:cs="方正仿宋_GBK" w:hint="eastAsia"/>
                <w:sz w:val="32"/>
                <w:szCs w:val="40"/>
              </w:rPr>
              <w:tab/>
            </w:r>
            <w:r>
              <w:rPr>
                <w:rFonts w:ascii="方正仿宋_GBK" w:eastAsia="方正仿宋_GBK" w:hAnsi="方正仿宋_GBK" w:cs="方正仿宋_GBK" w:hint="eastAsia"/>
                <w:sz w:val="32"/>
                <w:szCs w:val="40"/>
              </w:rPr>
              <w:fldChar w:fldCharType="begin"/>
            </w:r>
            <w:r>
              <w:rPr>
                <w:rFonts w:ascii="方正仿宋_GBK" w:eastAsia="方正仿宋_GBK" w:hAnsi="方正仿宋_GBK" w:cs="方正仿宋_GBK" w:hint="eastAsia"/>
                <w:sz w:val="32"/>
                <w:szCs w:val="40"/>
              </w:rPr>
              <w:instrText xml:space="preserve"> PAGEREF _Toc4426 \h </w:instrText>
            </w:r>
            <w:r>
              <w:rPr>
                <w:rFonts w:ascii="方正仿宋_GBK" w:eastAsia="方正仿宋_GBK" w:hAnsi="方正仿宋_GBK" w:cs="方正仿宋_GBK" w:hint="eastAsia"/>
                <w:sz w:val="32"/>
                <w:szCs w:val="40"/>
              </w:rPr>
            </w:r>
            <w:r>
              <w:rPr>
                <w:rFonts w:ascii="方正仿宋_GBK" w:eastAsia="方正仿宋_GBK" w:hAnsi="方正仿宋_GBK" w:cs="方正仿宋_GBK" w:hint="eastAsia"/>
                <w:sz w:val="32"/>
                <w:szCs w:val="40"/>
              </w:rPr>
              <w:fldChar w:fldCharType="separate"/>
            </w:r>
            <w:r w:rsidR="00AC6237">
              <w:rPr>
                <w:rFonts w:ascii="方正仿宋_GBK" w:eastAsia="方正仿宋_GBK" w:hAnsi="方正仿宋_GBK" w:cs="方正仿宋_GBK"/>
                <w:noProof/>
                <w:sz w:val="32"/>
                <w:szCs w:val="40"/>
              </w:rPr>
              <w:t>1</w:t>
            </w:r>
            <w:r>
              <w:rPr>
                <w:rFonts w:ascii="方正仿宋_GBK" w:eastAsia="方正仿宋_GBK" w:hAnsi="方正仿宋_GBK" w:cs="方正仿宋_GBK" w:hint="eastAsia"/>
                <w:sz w:val="32"/>
                <w:szCs w:val="40"/>
              </w:rPr>
              <w:fldChar w:fldCharType="end"/>
            </w:r>
          </w:hyperlink>
        </w:p>
        <w:p w:rsidR="00A47BDF" w:rsidRDefault="004439A8">
          <w:pPr>
            <w:pStyle w:val="2"/>
            <w:tabs>
              <w:tab w:val="right" w:leader="dot" w:pos="8958"/>
            </w:tabs>
            <w:rPr>
              <w:rFonts w:ascii="方正仿宋_GBK" w:eastAsia="方正仿宋_GBK" w:hAnsi="方正仿宋_GBK" w:cs="方正仿宋_GBK"/>
              <w:sz w:val="32"/>
              <w:szCs w:val="40"/>
            </w:rPr>
          </w:pPr>
          <w:hyperlink w:anchor="_Toc12540" w:history="1">
            <w:r w:rsidR="004F79EF">
              <w:rPr>
                <w:rFonts w:ascii="方正仿宋_GBK" w:eastAsia="方正仿宋_GBK" w:hAnsi="方正仿宋_GBK" w:cs="方正仿宋_GBK" w:hint="eastAsia"/>
                <w:sz w:val="32"/>
                <w:szCs w:val="48"/>
              </w:rPr>
              <w:t>（一）部门（单位）基本情况。</w:t>
            </w:r>
            <w:r w:rsidR="004F79EF">
              <w:rPr>
                <w:rFonts w:ascii="方正仿宋_GBK" w:eastAsia="方正仿宋_GBK" w:hAnsi="方正仿宋_GBK" w:cs="方正仿宋_GBK" w:hint="eastAsia"/>
                <w:sz w:val="32"/>
                <w:szCs w:val="40"/>
              </w:rPr>
              <w:tab/>
            </w:r>
            <w:r w:rsidR="004F79EF">
              <w:rPr>
                <w:rFonts w:ascii="方正仿宋_GBK" w:eastAsia="方正仿宋_GBK" w:hAnsi="方正仿宋_GBK" w:cs="方正仿宋_GBK" w:hint="eastAsia"/>
                <w:sz w:val="32"/>
                <w:szCs w:val="40"/>
              </w:rPr>
              <w:fldChar w:fldCharType="begin"/>
            </w:r>
            <w:r w:rsidR="004F79EF">
              <w:rPr>
                <w:rFonts w:ascii="方正仿宋_GBK" w:eastAsia="方正仿宋_GBK" w:hAnsi="方正仿宋_GBK" w:cs="方正仿宋_GBK" w:hint="eastAsia"/>
                <w:sz w:val="32"/>
                <w:szCs w:val="40"/>
              </w:rPr>
              <w:instrText xml:space="preserve"> PAGEREF _Toc12540 \h </w:instrText>
            </w:r>
            <w:r w:rsidR="004F79EF">
              <w:rPr>
                <w:rFonts w:ascii="方正仿宋_GBK" w:eastAsia="方正仿宋_GBK" w:hAnsi="方正仿宋_GBK" w:cs="方正仿宋_GBK" w:hint="eastAsia"/>
                <w:sz w:val="32"/>
                <w:szCs w:val="40"/>
              </w:rPr>
            </w:r>
            <w:r w:rsidR="004F79EF">
              <w:rPr>
                <w:rFonts w:ascii="方正仿宋_GBK" w:eastAsia="方正仿宋_GBK" w:hAnsi="方正仿宋_GBK" w:cs="方正仿宋_GBK" w:hint="eastAsia"/>
                <w:sz w:val="32"/>
                <w:szCs w:val="40"/>
              </w:rPr>
              <w:fldChar w:fldCharType="separate"/>
            </w:r>
            <w:r w:rsidR="00AC6237">
              <w:rPr>
                <w:rFonts w:ascii="方正仿宋_GBK" w:eastAsia="方正仿宋_GBK" w:hAnsi="方正仿宋_GBK" w:cs="方正仿宋_GBK"/>
                <w:noProof/>
                <w:sz w:val="32"/>
                <w:szCs w:val="40"/>
              </w:rPr>
              <w:t>1</w:t>
            </w:r>
            <w:r w:rsidR="004F79EF">
              <w:rPr>
                <w:rFonts w:ascii="方正仿宋_GBK" w:eastAsia="方正仿宋_GBK" w:hAnsi="方正仿宋_GBK" w:cs="方正仿宋_GBK" w:hint="eastAsia"/>
                <w:sz w:val="32"/>
                <w:szCs w:val="40"/>
              </w:rPr>
              <w:fldChar w:fldCharType="end"/>
            </w:r>
          </w:hyperlink>
        </w:p>
        <w:p w:rsidR="00A47BDF" w:rsidRDefault="004439A8">
          <w:pPr>
            <w:pStyle w:val="2"/>
            <w:tabs>
              <w:tab w:val="right" w:leader="dot" w:pos="8958"/>
            </w:tabs>
            <w:rPr>
              <w:rFonts w:ascii="方正仿宋_GBK" w:eastAsia="方正仿宋_GBK" w:hAnsi="方正仿宋_GBK" w:cs="方正仿宋_GBK"/>
              <w:sz w:val="32"/>
              <w:szCs w:val="40"/>
            </w:rPr>
          </w:pPr>
          <w:hyperlink w:anchor="_Toc4998" w:history="1">
            <w:r w:rsidR="004F79EF">
              <w:rPr>
                <w:rFonts w:ascii="方正仿宋_GBK" w:eastAsia="方正仿宋_GBK" w:hAnsi="方正仿宋_GBK" w:cs="方正仿宋_GBK" w:hint="eastAsia"/>
                <w:sz w:val="32"/>
                <w:szCs w:val="48"/>
              </w:rPr>
              <w:t>1、部门（单位）职级</w:t>
            </w:r>
            <w:r w:rsidR="004F79EF">
              <w:rPr>
                <w:rFonts w:ascii="方正仿宋_GBK" w:eastAsia="方正仿宋_GBK" w:hAnsi="方正仿宋_GBK" w:cs="方正仿宋_GBK" w:hint="eastAsia"/>
                <w:sz w:val="32"/>
                <w:szCs w:val="40"/>
              </w:rPr>
              <w:tab/>
            </w:r>
            <w:r w:rsidR="004F79EF">
              <w:rPr>
                <w:rFonts w:ascii="方正仿宋_GBK" w:eastAsia="方正仿宋_GBK" w:hAnsi="方正仿宋_GBK" w:cs="方正仿宋_GBK" w:hint="eastAsia"/>
                <w:sz w:val="32"/>
                <w:szCs w:val="40"/>
              </w:rPr>
              <w:fldChar w:fldCharType="begin"/>
            </w:r>
            <w:r w:rsidR="004F79EF">
              <w:rPr>
                <w:rFonts w:ascii="方正仿宋_GBK" w:eastAsia="方正仿宋_GBK" w:hAnsi="方正仿宋_GBK" w:cs="方正仿宋_GBK" w:hint="eastAsia"/>
                <w:sz w:val="32"/>
                <w:szCs w:val="40"/>
              </w:rPr>
              <w:instrText xml:space="preserve"> PAGEREF _Toc4998 \h </w:instrText>
            </w:r>
            <w:r w:rsidR="004F79EF">
              <w:rPr>
                <w:rFonts w:ascii="方正仿宋_GBK" w:eastAsia="方正仿宋_GBK" w:hAnsi="方正仿宋_GBK" w:cs="方正仿宋_GBK" w:hint="eastAsia"/>
                <w:sz w:val="32"/>
                <w:szCs w:val="40"/>
              </w:rPr>
            </w:r>
            <w:r w:rsidR="004F79EF">
              <w:rPr>
                <w:rFonts w:ascii="方正仿宋_GBK" w:eastAsia="方正仿宋_GBK" w:hAnsi="方正仿宋_GBK" w:cs="方正仿宋_GBK" w:hint="eastAsia"/>
                <w:sz w:val="32"/>
                <w:szCs w:val="40"/>
              </w:rPr>
              <w:fldChar w:fldCharType="separate"/>
            </w:r>
            <w:r w:rsidR="00AC6237">
              <w:rPr>
                <w:rFonts w:ascii="方正仿宋_GBK" w:eastAsia="方正仿宋_GBK" w:hAnsi="方正仿宋_GBK" w:cs="方正仿宋_GBK"/>
                <w:noProof/>
                <w:sz w:val="32"/>
                <w:szCs w:val="40"/>
              </w:rPr>
              <w:t>1</w:t>
            </w:r>
            <w:r w:rsidR="004F79EF">
              <w:rPr>
                <w:rFonts w:ascii="方正仿宋_GBK" w:eastAsia="方正仿宋_GBK" w:hAnsi="方正仿宋_GBK" w:cs="方正仿宋_GBK" w:hint="eastAsia"/>
                <w:sz w:val="32"/>
                <w:szCs w:val="40"/>
              </w:rPr>
              <w:fldChar w:fldCharType="end"/>
            </w:r>
          </w:hyperlink>
        </w:p>
        <w:p w:rsidR="00A47BDF" w:rsidRDefault="004439A8">
          <w:pPr>
            <w:pStyle w:val="2"/>
            <w:tabs>
              <w:tab w:val="right" w:leader="dot" w:pos="8958"/>
            </w:tabs>
            <w:rPr>
              <w:rFonts w:ascii="方正仿宋_GBK" w:eastAsia="方正仿宋_GBK" w:hAnsi="方正仿宋_GBK" w:cs="方正仿宋_GBK"/>
              <w:sz w:val="32"/>
              <w:szCs w:val="40"/>
            </w:rPr>
          </w:pPr>
          <w:hyperlink w:anchor="_Toc14650" w:history="1">
            <w:r w:rsidR="004F79EF">
              <w:rPr>
                <w:rFonts w:ascii="方正仿宋_GBK" w:eastAsia="方正仿宋_GBK" w:hAnsi="方正仿宋_GBK" w:cs="方正仿宋_GBK" w:hint="eastAsia"/>
                <w:sz w:val="32"/>
                <w:szCs w:val="48"/>
              </w:rPr>
              <w:t>2、内设机构及编制</w:t>
            </w:r>
            <w:r w:rsidR="004F79EF">
              <w:rPr>
                <w:rFonts w:ascii="方正仿宋_GBK" w:eastAsia="方正仿宋_GBK" w:hAnsi="方正仿宋_GBK" w:cs="方正仿宋_GBK" w:hint="eastAsia"/>
                <w:sz w:val="32"/>
                <w:szCs w:val="40"/>
              </w:rPr>
              <w:tab/>
            </w:r>
            <w:r w:rsidR="004F79EF">
              <w:rPr>
                <w:rFonts w:ascii="方正仿宋_GBK" w:eastAsia="方正仿宋_GBK" w:hAnsi="方正仿宋_GBK" w:cs="方正仿宋_GBK" w:hint="eastAsia"/>
                <w:sz w:val="32"/>
                <w:szCs w:val="40"/>
              </w:rPr>
              <w:fldChar w:fldCharType="begin"/>
            </w:r>
            <w:r w:rsidR="004F79EF">
              <w:rPr>
                <w:rFonts w:ascii="方正仿宋_GBK" w:eastAsia="方正仿宋_GBK" w:hAnsi="方正仿宋_GBK" w:cs="方正仿宋_GBK" w:hint="eastAsia"/>
                <w:sz w:val="32"/>
                <w:szCs w:val="40"/>
              </w:rPr>
              <w:instrText xml:space="preserve"> PAGEREF _Toc14650 \h </w:instrText>
            </w:r>
            <w:r w:rsidR="004F79EF">
              <w:rPr>
                <w:rFonts w:ascii="方正仿宋_GBK" w:eastAsia="方正仿宋_GBK" w:hAnsi="方正仿宋_GBK" w:cs="方正仿宋_GBK" w:hint="eastAsia"/>
                <w:sz w:val="32"/>
                <w:szCs w:val="40"/>
              </w:rPr>
            </w:r>
            <w:r w:rsidR="004F79EF">
              <w:rPr>
                <w:rFonts w:ascii="方正仿宋_GBK" w:eastAsia="方正仿宋_GBK" w:hAnsi="方正仿宋_GBK" w:cs="方正仿宋_GBK" w:hint="eastAsia"/>
                <w:sz w:val="32"/>
                <w:szCs w:val="40"/>
              </w:rPr>
              <w:fldChar w:fldCharType="separate"/>
            </w:r>
            <w:r w:rsidR="00AC6237">
              <w:rPr>
                <w:rFonts w:ascii="方正仿宋_GBK" w:eastAsia="方正仿宋_GBK" w:hAnsi="方正仿宋_GBK" w:cs="方正仿宋_GBK"/>
                <w:noProof/>
                <w:sz w:val="32"/>
                <w:szCs w:val="40"/>
              </w:rPr>
              <w:t>1</w:t>
            </w:r>
            <w:r w:rsidR="004F79EF">
              <w:rPr>
                <w:rFonts w:ascii="方正仿宋_GBK" w:eastAsia="方正仿宋_GBK" w:hAnsi="方正仿宋_GBK" w:cs="方正仿宋_GBK" w:hint="eastAsia"/>
                <w:sz w:val="32"/>
                <w:szCs w:val="40"/>
              </w:rPr>
              <w:fldChar w:fldCharType="end"/>
            </w:r>
          </w:hyperlink>
        </w:p>
        <w:p w:rsidR="00A47BDF" w:rsidRDefault="004439A8">
          <w:pPr>
            <w:pStyle w:val="2"/>
            <w:tabs>
              <w:tab w:val="right" w:leader="dot" w:pos="8958"/>
            </w:tabs>
            <w:rPr>
              <w:rFonts w:ascii="方正仿宋_GBK" w:eastAsia="方正仿宋_GBK" w:hAnsi="方正仿宋_GBK" w:cs="方正仿宋_GBK"/>
              <w:sz w:val="32"/>
              <w:szCs w:val="40"/>
            </w:rPr>
          </w:pPr>
          <w:hyperlink w:anchor="_Toc27028" w:history="1">
            <w:r w:rsidR="004F79EF">
              <w:rPr>
                <w:rFonts w:ascii="方正仿宋_GBK" w:eastAsia="方正仿宋_GBK" w:hAnsi="方正仿宋_GBK" w:cs="方正仿宋_GBK" w:hint="eastAsia"/>
                <w:sz w:val="32"/>
                <w:szCs w:val="48"/>
              </w:rPr>
              <w:t>3、部门（单位）职能职责</w:t>
            </w:r>
            <w:r w:rsidR="004F79EF">
              <w:rPr>
                <w:rFonts w:ascii="方正仿宋_GBK" w:eastAsia="方正仿宋_GBK" w:hAnsi="方正仿宋_GBK" w:cs="方正仿宋_GBK" w:hint="eastAsia"/>
                <w:sz w:val="32"/>
                <w:szCs w:val="40"/>
              </w:rPr>
              <w:tab/>
            </w:r>
            <w:r w:rsidR="004F79EF">
              <w:rPr>
                <w:rFonts w:ascii="方正仿宋_GBK" w:eastAsia="方正仿宋_GBK" w:hAnsi="方正仿宋_GBK" w:cs="方正仿宋_GBK" w:hint="eastAsia"/>
                <w:sz w:val="32"/>
                <w:szCs w:val="40"/>
              </w:rPr>
              <w:fldChar w:fldCharType="begin"/>
            </w:r>
            <w:r w:rsidR="004F79EF">
              <w:rPr>
                <w:rFonts w:ascii="方正仿宋_GBK" w:eastAsia="方正仿宋_GBK" w:hAnsi="方正仿宋_GBK" w:cs="方正仿宋_GBK" w:hint="eastAsia"/>
                <w:sz w:val="32"/>
                <w:szCs w:val="40"/>
              </w:rPr>
              <w:instrText xml:space="preserve"> PAGEREF _Toc27028 \h </w:instrText>
            </w:r>
            <w:r w:rsidR="004F79EF">
              <w:rPr>
                <w:rFonts w:ascii="方正仿宋_GBK" w:eastAsia="方正仿宋_GBK" w:hAnsi="方正仿宋_GBK" w:cs="方正仿宋_GBK" w:hint="eastAsia"/>
                <w:sz w:val="32"/>
                <w:szCs w:val="40"/>
              </w:rPr>
            </w:r>
            <w:r w:rsidR="004F79EF">
              <w:rPr>
                <w:rFonts w:ascii="方正仿宋_GBK" w:eastAsia="方正仿宋_GBK" w:hAnsi="方正仿宋_GBK" w:cs="方正仿宋_GBK" w:hint="eastAsia"/>
                <w:sz w:val="32"/>
                <w:szCs w:val="40"/>
              </w:rPr>
              <w:fldChar w:fldCharType="separate"/>
            </w:r>
            <w:r w:rsidR="00AC6237">
              <w:rPr>
                <w:rFonts w:ascii="方正仿宋_GBK" w:eastAsia="方正仿宋_GBK" w:hAnsi="方正仿宋_GBK" w:cs="方正仿宋_GBK"/>
                <w:noProof/>
                <w:sz w:val="32"/>
                <w:szCs w:val="40"/>
              </w:rPr>
              <w:t>1</w:t>
            </w:r>
            <w:r w:rsidR="004F79EF">
              <w:rPr>
                <w:rFonts w:ascii="方正仿宋_GBK" w:eastAsia="方正仿宋_GBK" w:hAnsi="方正仿宋_GBK" w:cs="方正仿宋_GBK" w:hint="eastAsia"/>
                <w:sz w:val="32"/>
                <w:szCs w:val="40"/>
              </w:rPr>
              <w:fldChar w:fldCharType="end"/>
            </w:r>
          </w:hyperlink>
        </w:p>
        <w:p w:rsidR="00A47BDF" w:rsidRDefault="004439A8">
          <w:pPr>
            <w:pStyle w:val="2"/>
            <w:tabs>
              <w:tab w:val="right" w:leader="dot" w:pos="8958"/>
            </w:tabs>
            <w:rPr>
              <w:rFonts w:ascii="方正仿宋_GBK" w:eastAsia="方正仿宋_GBK" w:hAnsi="方正仿宋_GBK" w:cs="方正仿宋_GBK"/>
              <w:sz w:val="32"/>
              <w:szCs w:val="40"/>
            </w:rPr>
          </w:pPr>
          <w:hyperlink w:anchor="_Toc6102" w:history="1">
            <w:r w:rsidR="004F79EF">
              <w:rPr>
                <w:rFonts w:ascii="方正仿宋_GBK" w:eastAsia="方正仿宋_GBK" w:hAnsi="方正仿宋_GBK" w:cs="方正仿宋_GBK" w:hint="eastAsia"/>
                <w:sz w:val="32"/>
                <w:szCs w:val="48"/>
              </w:rPr>
              <w:t>（二）预算及支出情况。</w:t>
            </w:r>
            <w:r w:rsidR="004F79EF">
              <w:rPr>
                <w:rFonts w:ascii="方正仿宋_GBK" w:eastAsia="方正仿宋_GBK" w:hAnsi="方正仿宋_GBK" w:cs="方正仿宋_GBK" w:hint="eastAsia"/>
                <w:sz w:val="32"/>
                <w:szCs w:val="40"/>
              </w:rPr>
              <w:tab/>
            </w:r>
            <w:r w:rsidR="004F79EF">
              <w:rPr>
                <w:rFonts w:ascii="方正仿宋_GBK" w:eastAsia="方正仿宋_GBK" w:hAnsi="方正仿宋_GBK" w:cs="方正仿宋_GBK" w:hint="eastAsia"/>
                <w:sz w:val="32"/>
                <w:szCs w:val="40"/>
              </w:rPr>
              <w:fldChar w:fldCharType="begin"/>
            </w:r>
            <w:r w:rsidR="004F79EF">
              <w:rPr>
                <w:rFonts w:ascii="方正仿宋_GBK" w:eastAsia="方正仿宋_GBK" w:hAnsi="方正仿宋_GBK" w:cs="方正仿宋_GBK" w:hint="eastAsia"/>
                <w:sz w:val="32"/>
                <w:szCs w:val="40"/>
              </w:rPr>
              <w:instrText xml:space="preserve"> PAGEREF _Toc6102 \h </w:instrText>
            </w:r>
            <w:r w:rsidR="004F79EF">
              <w:rPr>
                <w:rFonts w:ascii="方正仿宋_GBK" w:eastAsia="方正仿宋_GBK" w:hAnsi="方正仿宋_GBK" w:cs="方正仿宋_GBK" w:hint="eastAsia"/>
                <w:sz w:val="32"/>
                <w:szCs w:val="40"/>
              </w:rPr>
            </w:r>
            <w:r w:rsidR="004F79EF">
              <w:rPr>
                <w:rFonts w:ascii="方正仿宋_GBK" w:eastAsia="方正仿宋_GBK" w:hAnsi="方正仿宋_GBK" w:cs="方正仿宋_GBK" w:hint="eastAsia"/>
                <w:sz w:val="32"/>
                <w:szCs w:val="40"/>
              </w:rPr>
              <w:fldChar w:fldCharType="separate"/>
            </w:r>
            <w:r w:rsidR="00AC6237">
              <w:rPr>
                <w:rFonts w:ascii="方正仿宋_GBK" w:eastAsia="方正仿宋_GBK" w:hAnsi="方正仿宋_GBK" w:cs="方正仿宋_GBK"/>
                <w:noProof/>
                <w:sz w:val="32"/>
                <w:szCs w:val="40"/>
              </w:rPr>
              <w:t>1</w:t>
            </w:r>
            <w:r w:rsidR="004F79EF">
              <w:rPr>
                <w:rFonts w:ascii="方正仿宋_GBK" w:eastAsia="方正仿宋_GBK" w:hAnsi="方正仿宋_GBK" w:cs="方正仿宋_GBK" w:hint="eastAsia"/>
                <w:sz w:val="32"/>
                <w:szCs w:val="40"/>
              </w:rPr>
              <w:fldChar w:fldCharType="end"/>
            </w:r>
          </w:hyperlink>
        </w:p>
        <w:p w:rsidR="00A47BDF" w:rsidRDefault="004439A8">
          <w:pPr>
            <w:pStyle w:val="1"/>
            <w:tabs>
              <w:tab w:val="right" w:leader="dot" w:pos="8958"/>
            </w:tabs>
            <w:rPr>
              <w:rFonts w:ascii="方正仿宋_GBK" w:eastAsia="方正仿宋_GBK" w:hAnsi="方正仿宋_GBK" w:cs="方正仿宋_GBK"/>
              <w:sz w:val="32"/>
              <w:szCs w:val="40"/>
            </w:rPr>
          </w:pPr>
          <w:hyperlink w:anchor="_Toc9231" w:history="1">
            <w:r w:rsidR="004F79EF">
              <w:rPr>
                <w:rFonts w:ascii="方正仿宋_GBK" w:eastAsia="方正仿宋_GBK" w:hAnsi="方正仿宋_GBK" w:cs="方正仿宋_GBK" w:hint="eastAsia"/>
                <w:sz w:val="32"/>
                <w:szCs w:val="48"/>
              </w:rPr>
              <w:t>二、主要成效</w:t>
            </w:r>
            <w:r w:rsidR="004F79EF">
              <w:rPr>
                <w:rFonts w:ascii="方正仿宋_GBK" w:eastAsia="方正仿宋_GBK" w:hAnsi="方正仿宋_GBK" w:cs="方正仿宋_GBK" w:hint="eastAsia"/>
                <w:sz w:val="32"/>
                <w:szCs w:val="40"/>
              </w:rPr>
              <w:tab/>
            </w:r>
            <w:r w:rsidR="004F79EF">
              <w:rPr>
                <w:rFonts w:ascii="方正仿宋_GBK" w:eastAsia="方正仿宋_GBK" w:hAnsi="方正仿宋_GBK" w:cs="方正仿宋_GBK" w:hint="eastAsia"/>
                <w:sz w:val="32"/>
                <w:szCs w:val="40"/>
              </w:rPr>
              <w:fldChar w:fldCharType="begin"/>
            </w:r>
            <w:r w:rsidR="004F79EF">
              <w:rPr>
                <w:rFonts w:ascii="方正仿宋_GBK" w:eastAsia="方正仿宋_GBK" w:hAnsi="方正仿宋_GBK" w:cs="方正仿宋_GBK" w:hint="eastAsia"/>
                <w:sz w:val="32"/>
                <w:szCs w:val="40"/>
              </w:rPr>
              <w:instrText xml:space="preserve"> PAGEREF _Toc9231 \h </w:instrText>
            </w:r>
            <w:r w:rsidR="004F79EF">
              <w:rPr>
                <w:rFonts w:ascii="方正仿宋_GBK" w:eastAsia="方正仿宋_GBK" w:hAnsi="方正仿宋_GBK" w:cs="方正仿宋_GBK" w:hint="eastAsia"/>
                <w:sz w:val="32"/>
                <w:szCs w:val="40"/>
              </w:rPr>
            </w:r>
            <w:r w:rsidR="004F79EF">
              <w:rPr>
                <w:rFonts w:ascii="方正仿宋_GBK" w:eastAsia="方正仿宋_GBK" w:hAnsi="方正仿宋_GBK" w:cs="方正仿宋_GBK" w:hint="eastAsia"/>
                <w:sz w:val="32"/>
                <w:szCs w:val="40"/>
              </w:rPr>
              <w:fldChar w:fldCharType="separate"/>
            </w:r>
            <w:r w:rsidR="00AC6237">
              <w:rPr>
                <w:rFonts w:ascii="方正仿宋_GBK" w:eastAsia="方正仿宋_GBK" w:hAnsi="方正仿宋_GBK" w:cs="方正仿宋_GBK"/>
                <w:noProof/>
                <w:sz w:val="32"/>
                <w:szCs w:val="40"/>
              </w:rPr>
              <w:t>2</w:t>
            </w:r>
            <w:r w:rsidR="004F79EF">
              <w:rPr>
                <w:rFonts w:ascii="方正仿宋_GBK" w:eastAsia="方正仿宋_GBK" w:hAnsi="方正仿宋_GBK" w:cs="方正仿宋_GBK" w:hint="eastAsia"/>
                <w:sz w:val="32"/>
                <w:szCs w:val="40"/>
              </w:rPr>
              <w:fldChar w:fldCharType="end"/>
            </w:r>
          </w:hyperlink>
        </w:p>
        <w:p w:rsidR="00A47BDF" w:rsidRDefault="004439A8">
          <w:pPr>
            <w:pStyle w:val="1"/>
            <w:tabs>
              <w:tab w:val="right" w:leader="dot" w:pos="8958"/>
            </w:tabs>
            <w:rPr>
              <w:rFonts w:ascii="方正仿宋_GBK" w:eastAsia="方正仿宋_GBK" w:hAnsi="方正仿宋_GBK" w:cs="方正仿宋_GBK"/>
              <w:sz w:val="32"/>
              <w:szCs w:val="40"/>
            </w:rPr>
          </w:pPr>
          <w:hyperlink w:anchor="_Toc31639" w:history="1">
            <w:r w:rsidR="004F79EF">
              <w:rPr>
                <w:rFonts w:ascii="方正仿宋_GBK" w:eastAsia="方正仿宋_GBK" w:hAnsi="方正仿宋_GBK" w:cs="方正仿宋_GBK" w:hint="eastAsia"/>
                <w:sz w:val="32"/>
                <w:szCs w:val="48"/>
              </w:rPr>
              <w:t>三、绩效评价情况及结论</w:t>
            </w:r>
            <w:r w:rsidR="004F79EF">
              <w:rPr>
                <w:rFonts w:ascii="方正仿宋_GBK" w:eastAsia="方正仿宋_GBK" w:hAnsi="方正仿宋_GBK" w:cs="方正仿宋_GBK" w:hint="eastAsia"/>
                <w:sz w:val="32"/>
                <w:szCs w:val="40"/>
              </w:rPr>
              <w:tab/>
            </w:r>
            <w:r w:rsidR="004F79EF">
              <w:rPr>
                <w:rFonts w:ascii="方正仿宋_GBK" w:eastAsia="方正仿宋_GBK" w:hAnsi="方正仿宋_GBK" w:cs="方正仿宋_GBK" w:hint="eastAsia"/>
                <w:sz w:val="32"/>
                <w:szCs w:val="40"/>
              </w:rPr>
              <w:fldChar w:fldCharType="begin"/>
            </w:r>
            <w:r w:rsidR="004F79EF">
              <w:rPr>
                <w:rFonts w:ascii="方正仿宋_GBK" w:eastAsia="方正仿宋_GBK" w:hAnsi="方正仿宋_GBK" w:cs="方正仿宋_GBK" w:hint="eastAsia"/>
                <w:sz w:val="32"/>
                <w:szCs w:val="40"/>
              </w:rPr>
              <w:instrText xml:space="preserve"> PAGEREF _Toc31639 \h </w:instrText>
            </w:r>
            <w:r w:rsidR="004F79EF">
              <w:rPr>
                <w:rFonts w:ascii="方正仿宋_GBK" w:eastAsia="方正仿宋_GBK" w:hAnsi="方正仿宋_GBK" w:cs="方正仿宋_GBK" w:hint="eastAsia"/>
                <w:sz w:val="32"/>
                <w:szCs w:val="40"/>
              </w:rPr>
            </w:r>
            <w:r w:rsidR="004F79EF">
              <w:rPr>
                <w:rFonts w:ascii="方正仿宋_GBK" w:eastAsia="方正仿宋_GBK" w:hAnsi="方正仿宋_GBK" w:cs="方正仿宋_GBK" w:hint="eastAsia"/>
                <w:sz w:val="32"/>
                <w:szCs w:val="40"/>
              </w:rPr>
              <w:fldChar w:fldCharType="separate"/>
            </w:r>
            <w:r w:rsidR="00AC6237">
              <w:rPr>
                <w:rFonts w:ascii="方正仿宋_GBK" w:eastAsia="方正仿宋_GBK" w:hAnsi="方正仿宋_GBK" w:cs="方正仿宋_GBK"/>
                <w:noProof/>
                <w:sz w:val="32"/>
                <w:szCs w:val="40"/>
              </w:rPr>
              <w:t>2</w:t>
            </w:r>
            <w:r w:rsidR="004F79EF">
              <w:rPr>
                <w:rFonts w:ascii="方正仿宋_GBK" w:eastAsia="方正仿宋_GBK" w:hAnsi="方正仿宋_GBK" w:cs="方正仿宋_GBK" w:hint="eastAsia"/>
                <w:sz w:val="32"/>
                <w:szCs w:val="40"/>
              </w:rPr>
              <w:fldChar w:fldCharType="end"/>
            </w:r>
          </w:hyperlink>
        </w:p>
        <w:p w:rsidR="00A47BDF" w:rsidRDefault="004439A8">
          <w:pPr>
            <w:pStyle w:val="1"/>
            <w:tabs>
              <w:tab w:val="right" w:leader="dot" w:pos="8958"/>
            </w:tabs>
            <w:rPr>
              <w:rFonts w:ascii="方正仿宋_GBK" w:eastAsia="方正仿宋_GBK" w:hAnsi="方正仿宋_GBK" w:cs="方正仿宋_GBK"/>
              <w:sz w:val="32"/>
              <w:szCs w:val="40"/>
            </w:rPr>
          </w:pPr>
          <w:hyperlink w:anchor="_Toc31954" w:history="1">
            <w:r w:rsidR="004F79EF">
              <w:rPr>
                <w:rFonts w:ascii="方正仿宋_GBK" w:eastAsia="方正仿宋_GBK" w:hAnsi="方正仿宋_GBK" w:cs="方正仿宋_GBK" w:hint="eastAsia"/>
                <w:sz w:val="32"/>
                <w:szCs w:val="48"/>
              </w:rPr>
              <w:t>四、需重点关注的问题</w:t>
            </w:r>
            <w:r w:rsidR="004F79EF">
              <w:rPr>
                <w:rFonts w:ascii="方正仿宋_GBK" w:eastAsia="方正仿宋_GBK" w:hAnsi="方正仿宋_GBK" w:cs="方正仿宋_GBK" w:hint="eastAsia"/>
                <w:sz w:val="32"/>
                <w:szCs w:val="40"/>
              </w:rPr>
              <w:tab/>
            </w:r>
            <w:r w:rsidR="004F79EF">
              <w:rPr>
                <w:rFonts w:ascii="方正仿宋_GBK" w:eastAsia="方正仿宋_GBK" w:hAnsi="方正仿宋_GBK" w:cs="方正仿宋_GBK" w:hint="eastAsia"/>
                <w:sz w:val="32"/>
                <w:szCs w:val="40"/>
              </w:rPr>
              <w:fldChar w:fldCharType="begin"/>
            </w:r>
            <w:r w:rsidR="004F79EF">
              <w:rPr>
                <w:rFonts w:ascii="方正仿宋_GBK" w:eastAsia="方正仿宋_GBK" w:hAnsi="方正仿宋_GBK" w:cs="方正仿宋_GBK" w:hint="eastAsia"/>
                <w:sz w:val="32"/>
                <w:szCs w:val="40"/>
              </w:rPr>
              <w:instrText xml:space="preserve"> PAGEREF _Toc31954 \h </w:instrText>
            </w:r>
            <w:r w:rsidR="004F79EF">
              <w:rPr>
                <w:rFonts w:ascii="方正仿宋_GBK" w:eastAsia="方正仿宋_GBK" w:hAnsi="方正仿宋_GBK" w:cs="方正仿宋_GBK" w:hint="eastAsia"/>
                <w:sz w:val="32"/>
                <w:szCs w:val="40"/>
              </w:rPr>
            </w:r>
            <w:r w:rsidR="004F79EF">
              <w:rPr>
                <w:rFonts w:ascii="方正仿宋_GBK" w:eastAsia="方正仿宋_GBK" w:hAnsi="方正仿宋_GBK" w:cs="方正仿宋_GBK" w:hint="eastAsia"/>
                <w:sz w:val="32"/>
                <w:szCs w:val="40"/>
              </w:rPr>
              <w:fldChar w:fldCharType="separate"/>
            </w:r>
            <w:r w:rsidR="00AC6237">
              <w:rPr>
                <w:rFonts w:ascii="方正仿宋_GBK" w:eastAsia="方正仿宋_GBK" w:hAnsi="方正仿宋_GBK" w:cs="方正仿宋_GBK"/>
                <w:noProof/>
                <w:sz w:val="32"/>
                <w:szCs w:val="40"/>
              </w:rPr>
              <w:t>4</w:t>
            </w:r>
            <w:r w:rsidR="004F79EF">
              <w:rPr>
                <w:rFonts w:ascii="方正仿宋_GBK" w:eastAsia="方正仿宋_GBK" w:hAnsi="方正仿宋_GBK" w:cs="方正仿宋_GBK" w:hint="eastAsia"/>
                <w:sz w:val="32"/>
                <w:szCs w:val="40"/>
              </w:rPr>
              <w:fldChar w:fldCharType="end"/>
            </w:r>
          </w:hyperlink>
        </w:p>
        <w:p w:rsidR="00A47BDF" w:rsidRDefault="004439A8">
          <w:pPr>
            <w:pStyle w:val="1"/>
            <w:tabs>
              <w:tab w:val="right" w:leader="dot" w:pos="8958"/>
            </w:tabs>
          </w:pPr>
          <w:hyperlink w:anchor="_Toc11354" w:history="1">
            <w:r w:rsidR="004F79EF">
              <w:rPr>
                <w:rFonts w:ascii="方正仿宋_GBK" w:eastAsia="方正仿宋_GBK" w:hAnsi="方正仿宋_GBK" w:cs="方正仿宋_GBK" w:hint="eastAsia"/>
                <w:sz w:val="32"/>
                <w:szCs w:val="48"/>
              </w:rPr>
              <w:t>五、有关建议</w:t>
            </w:r>
            <w:r w:rsidR="004F79EF">
              <w:rPr>
                <w:rFonts w:ascii="方正仿宋_GBK" w:eastAsia="方正仿宋_GBK" w:hAnsi="方正仿宋_GBK" w:cs="方正仿宋_GBK" w:hint="eastAsia"/>
                <w:sz w:val="32"/>
                <w:szCs w:val="40"/>
              </w:rPr>
              <w:tab/>
            </w:r>
            <w:r w:rsidR="004F79EF">
              <w:rPr>
                <w:rFonts w:ascii="方正仿宋_GBK" w:eastAsia="方正仿宋_GBK" w:hAnsi="方正仿宋_GBK" w:cs="方正仿宋_GBK" w:hint="eastAsia"/>
                <w:sz w:val="32"/>
                <w:szCs w:val="40"/>
              </w:rPr>
              <w:fldChar w:fldCharType="begin"/>
            </w:r>
            <w:r w:rsidR="004F79EF">
              <w:rPr>
                <w:rFonts w:ascii="方正仿宋_GBK" w:eastAsia="方正仿宋_GBK" w:hAnsi="方正仿宋_GBK" w:cs="方正仿宋_GBK" w:hint="eastAsia"/>
                <w:sz w:val="32"/>
                <w:szCs w:val="40"/>
              </w:rPr>
              <w:instrText xml:space="preserve"> PAGEREF _Toc11354 \h </w:instrText>
            </w:r>
            <w:r w:rsidR="004F79EF">
              <w:rPr>
                <w:rFonts w:ascii="方正仿宋_GBK" w:eastAsia="方正仿宋_GBK" w:hAnsi="方正仿宋_GBK" w:cs="方正仿宋_GBK" w:hint="eastAsia"/>
                <w:sz w:val="32"/>
                <w:szCs w:val="40"/>
              </w:rPr>
            </w:r>
            <w:r w:rsidR="004F79EF">
              <w:rPr>
                <w:rFonts w:ascii="方正仿宋_GBK" w:eastAsia="方正仿宋_GBK" w:hAnsi="方正仿宋_GBK" w:cs="方正仿宋_GBK" w:hint="eastAsia"/>
                <w:sz w:val="32"/>
                <w:szCs w:val="40"/>
              </w:rPr>
              <w:fldChar w:fldCharType="separate"/>
            </w:r>
            <w:r w:rsidR="00AC6237">
              <w:rPr>
                <w:rFonts w:ascii="方正仿宋_GBK" w:eastAsia="方正仿宋_GBK" w:hAnsi="方正仿宋_GBK" w:cs="方正仿宋_GBK"/>
                <w:noProof/>
                <w:sz w:val="32"/>
                <w:szCs w:val="40"/>
              </w:rPr>
              <w:t>5</w:t>
            </w:r>
            <w:r w:rsidR="004F79EF">
              <w:rPr>
                <w:rFonts w:ascii="方正仿宋_GBK" w:eastAsia="方正仿宋_GBK" w:hAnsi="方正仿宋_GBK" w:cs="方正仿宋_GBK" w:hint="eastAsia"/>
                <w:sz w:val="32"/>
                <w:szCs w:val="40"/>
              </w:rPr>
              <w:fldChar w:fldCharType="end"/>
            </w:r>
          </w:hyperlink>
        </w:p>
        <w:p w:rsidR="00A47BDF" w:rsidRDefault="004F79EF">
          <w:r>
            <w:fldChar w:fldCharType="end"/>
          </w:r>
        </w:p>
      </w:sdtContent>
    </w:sdt>
    <w:p w:rsidR="00A47BDF" w:rsidRDefault="00A47BDF">
      <w:pPr>
        <w:spacing w:line="596" w:lineRule="exact"/>
        <w:ind w:firstLineChars="200" w:firstLine="640"/>
        <w:outlineLvl w:val="0"/>
        <w:rPr>
          <w:rFonts w:eastAsia="方正黑体_GBK"/>
          <w:sz w:val="32"/>
          <w:szCs w:val="32"/>
        </w:rPr>
        <w:sectPr w:rsidR="00A47BDF">
          <w:pgSz w:w="11906" w:h="16838"/>
          <w:pgMar w:top="1588" w:right="1474" w:bottom="1588" w:left="1474" w:header="851" w:footer="992" w:gutter="0"/>
          <w:cols w:space="425"/>
          <w:docGrid w:type="lines" w:linePitch="312"/>
        </w:sectPr>
      </w:pPr>
      <w:bookmarkStart w:id="3" w:name="_Toc14759"/>
    </w:p>
    <w:p w:rsidR="00A47BDF" w:rsidRDefault="004F79EF">
      <w:pPr>
        <w:spacing w:line="596" w:lineRule="exact"/>
        <w:ind w:firstLineChars="200" w:firstLine="640"/>
        <w:outlineLvl w:val="0"/>
        <w:rPr>
          <w:rFonts w:eastAsia="方正黑体_GBK"/>
          <w:sz w:val="32"/>
          <w:szCs w:val="32"/>
        </w:rPr>
      </w:pPr>
      <w:bookmarkStart w:id="4" w:name="_Toc4426"/>
      <w:r>
        <w:rPr>
          <w:rFonts w:eastAsia="方正黑体_GBK"/>
          <w:sz w:val="32"/>
          <w:szCs w:val="32"/>
        </w:rPr>
        <w:lastRenderedPageBreak/>
        <w:t>一、基本</w:t>
      </w:r>
      <w:r>
        <w:rPr>
          <w:rFonts w:eastAsia="方正黑体_GBK" w:hint="eastAsia"/>
          <w:sz w:val="32"/>
          <w:szCs w:val="32"/>
        </w:rPr>
        <w:t>情况</w:t>
      </w:r>
      <w:bookmarkEnd w:id="3"/>
      <w:bookmarkEnd w:id="4"/>
    </w:p>
    <w:p w:rsidR="00A47BDF" w:rsidRDefault="004F79EF">
      <w:pPr>
        <w:spacing w:line="596" w:lineRule="exact"/>
        <w:ind w:firstLineChars="200" w:firstLine="640"/>
        <w:outlineLvl w:val="1"/>
        <w:rPr>
          <w:rFonts w:eastAsia="方正仿宋_GBK"/>
          <w:color w:val="000000" w:themeColor="text1"/>
          <w:sz w:val="32"/>
          <w:szCs w:val="32"/>
        </w:rPr>
      </w:pPr>
      <w:bookmarkStart w:id="5" w:name="_Toc12540"/>
      <w:r>
        <w:rPr>
          <w:rFonts w:eastAsia="方正仿宋_GBK"/>
          <w:color w:val="000000" w:themeColor="text1"/>
          <w:sz w:val="32"/>
          <w:szCs w:val="32"/>
        </w:rPr>
        <w:t>（一）</w:t>
      </w:r>
      <w:r>
        <w:rPr>
          <w:rFonts w:eastAsia="方正仿宋_GBK" w:hint="eastAsia"/>
          <w:color w:val="000000" w:themeColor="text1"/>
          <w:sz w:val="32"/>
          <w:szCs w:val="32"/>
        </w:rPr>
        <w:t>部门（单位）基本情况</w:t>
      </w:r>
      <w:r>
        <w:rPr>
          <w:rFonts w:eastAsia="方正仿宋_GBK"/>
          <w:color w:val="000000" w:themeColor="text1"/>
          <w:sz w:val="32"/>
          <w:szCs w:val="32"/>
        </w:rPr>
        <w:t>。</w:t>
      </w:r>
      <w:bookmarkEnd w:id="5"/>
    </w:p>
    <w:p w:rsidR="00A47BDF" w:rsidRDefault="004F79EF">
      <w:pPr>
        <w:spacing w:line="596" w:lineRule="exact"/>
        <w:ind w:firstLineChars="200" w:firstLine="640"/>
        <w:outlineLvl w:val="1"/>
        <w:rPr>
          <w:rFonts w:eastAsia="方正仿宋_GBK"/>
          <w:sz w:val="32"/>
          <w:szCs w:val="32"/>
        </w:rPr>
      </w:pPr>
      <w:bookmarkStart w:id="6" w:name="_Toc2156"/>
      <w:bookmarkStart w:id="7" w:name="_Toc4998"/>
      <w:r>
        <w:rPr>
          <w:rFonts w:eastAsia="方正仿宋_GBK" w:hint="eastAsia"/>
          <w:sz w:val="32"/>
          <w:szCs w:val="32"/>
        </w:rPr>
        <w:t>1</w:t>
      </w:r>
      <w:r>
        <w:rPr>
          <w:rFonts w:eastAsia="方正仿宋_GBK" w:hint="eastAsia"/>
          <w:sz w:val="32"/>
          <w:szCs w:val="32"/>
        </w:rPr>
        <w:t>、部门</w:t>
      </w:r>
      <w:r>
        <w:rPr>
          <w:rFonts w:eastAsia="方正仿宋_GBK" w:hint="eastAsia"/>
          <w:color w:val="000000" w:themeColor="text1"/>
          <w:sz w:val="32"/>
          <w:szCs w:val="32"/>
        </w:rPr>
        <w:t>（单位）</w:t>
      </w:r>
      <w:r>
        <w:rPr>
          <w:rFonts w:eastAsia="方正仿宋_GBK" w:hint="eastAsia"/>
          <w:sz w:val="32"/>
          <w:szCs w:val="32"/>
        </w:rPr>
        <w:t>职级</w:t>
      </w:r>
      <w:bookmarkEnd w:id="6"/>
      <w:bookmarkEnd w:id="7"/>
    </w:p>
    <w:p w:rsidR="00A47BDF" w:rsidRDefault="004F79EF">
      <w:pPr>
        <w:spacing w:line="596" w:lineRule="exact"/>
        <w:ind w:firstLineChars="200" w:firstLine="640"/>
        <w:rPr>
          <w:rFonts w:eastAsia="方正仿宋_GBK"/>
          <w:sz w:val="32"/>
          <w:szCs w:val="32"/>
        </w:rPr>
      </w:pPr>
      <w:bookmarkStart w:id="8" w:name="_Toc20618"/>
      <w:r>
        <w:rPr>
          <w:rFonts w:eastAsia="方正仿宋_GBK" w:hint="eastAsia"/>
          <w:sz w:val="32"/>
          <w:szCs w:val="32"/>
        </w:rPr>
        <w:t>重庆市璧山区房屋征收中心为全额拨款的正科级事业单位，属公益一类事业单位，主管部门为重庆市璧山区住房和城乡建设委员会。</w:t>
      </w:r>
    </w:p>
    <w:p w:rsidR="00A47BDF" w:rsidRDefault="004F79EF">
      <w:pPr>
        <w:spacing w:line="596" w:lineRule="exact"/>
        <w:ind w:firstLineChars="200" w:firstLine="640"/>
        <w:outlineLvl w:val="1"/>
        <w:rPr>
          <w:rFonts w:eastAsia="方正仿宋_GBK"/>
          <w:sz w:val="32"/>
          <w:szCs w:val="32"/>
        </w:rPr>
      </w:pPr>
      <w:bookmarkStart w:id="9" w:name="_Toc14650"/>
      <w:r>
        <w:rPr>
          <w:rFonts w:eastAsia="方正仿宋_GBK" w:hint="eastAsia"/>
          <w:sz w:val="32"/>
          <w:szCs w:val="32"/>
        </w:rPr>
        <w:t>2</w:t>
      </w:r>
      <w:r>
        <w:rPr>
          <w:rFonts w:eastAsia="方正仿宋_GBK" w:hint="eastAsia"/>
          <w:sz w:val="32"/>
          <w:szCs w:val="32"/>
        </w:rPr>
        <w:t>、内设机构及编制</w:t>
      </w:r>
      <w:bookmarkEnd w:id="8"/>
      <w:bookmarkEnd w:id="9"/>
    </w:p>
    <w:p w:rsidR="00A47BDF" w:rsidRDefault="004F79EF">
      <w:pPr>
        <w:spacing w:line="596" w:lineRule="exact"/>
        <w:ind w:firstLineChars="200" w:firstLine="640"/>
        <w:rPr>
          <w:rFonts w:eastAsia="方正仿宋_GBK"/>
          <w:color w:val="FF0000"/>
          <w:sz w:val="32"/>
          <w:szCs w:val="32"/>
        </w:rPr>
      </w:pPr>
      <w:r>
        <w:rPr>
          <w:rFonts w:eastAsia="方正仿宋_GBK" w:hint="eastAsia"/>
          <w:sz w:val="32"/>
          <w:szCs w:val="32"/>
        </w:rPr>
        <w:t>重庆市璧山区房屋征收中心无内设机构，且</w:t>
      </w:r>
      <w:r>
        <w:rPr>
          <w:rFonts w:eastAsia="方正仿宋_GBK" w:hint="eastAsia"/>
          <w:color w:val="000000" w:themeColor="text1"/>
          <w:sz w:val="32"/>
          <w:szCs w:val="32"/>
        </w:rPr>
        <w:t>事业编制为</w:t>
      </w:r>
      <w:r>
        <w:rPr>
          <w:rFonts w:eastAsia="方正仿宋_GBK" w:hint="eastAsia"/>
          <w:color w:val="000000" w:themeColor="text1"/>
          <w:sz w:val="32"/>
          <w:szCs w:val="32"/>
        </w:rPr>
        <w:t>7</w:t>
      </w:r>
      <w:r>
        <w:rPr>
          <w:rFonts w:eastAsia="方正仿宋_GBK" w:hint="eastAsia"/>
          <w:color w:val="000000" w:themeColor="text1"/>
          <w:sz w:val="32"/>
          <w:szCs w:val="32"/>
        </w:rPr>
        <w:t>名（干部）。</w:t>
      </w:r>
    </w:p>
    <w:p w:rsidR="00A47BDF" w:rsidRDefault="004F79EF">
      <w:pPr>
        <w:spacing w:line="596" w:lineRule="exact"/>
        <w:ind w:firstLineChars="200" w:firstLine="640"/>
        <w:outlineLvl w:val="1"/>
        <w:rPr>
          <w:rFonts w:eastAsia="方正仿宋_GBK"/>
          <w:sz w:val="32"/>
          <w:szCs w:val="32"/>
        </w:rPr>
      </w:pPr>
      <w:bookmarkStart w:id="10" w:name="_Toc22875"/>
      <w:bookmarkStart w:id="11" w:name="_Toc27028"/>
      <w:r>
        <w:rPr>
          <w:rFonts w:eastAsia="方正仿宋_GBK" w:hint="eastAsia"/>
          <w:sz w:val="32"/>
          <w:szCs w:val="32"/>
        </w:rPr>
        <w:t>3</w:t>
      </w:r>
      <w:r>
        <w:rPr>
          <w:rFonts w:eastAsia="方正仿宋_GBK" w:hint="eastAsia"/>
          <w:sz w:val="32"/>
          <w:szCs w:val="32"/>
        </w:rPr>
        <w:t>、部门</w:t>
      </w:r>
      <w:r>
        <w:rPr>
          <w:rFonts w:eastAsia="方正仿宋_GBK" w:hint="eastAsia"/>
          <w:color w:val="000000" w:themeColor="text1"/>
          <w:sz w:val="32"/>
          <w:szCs w:val="32"/>
        </w:rPr>
        <w:t>（单位）</w:t>
      </w:r>
      <w:r>
        <w:rPr>
          <w:rFonts w:eastAsia="方正仿宋_GBK" w:hint="eastAsia"/>
          <w:sz w:val="32"/>
          <w:szCs w:val="32"/>
        </w:rPr>
        <w:t>职能职责</w:t>
      </w:r>
      <w:bookmarkEnd w:id="10"/>
      <w:bookmarkEnd w:id="11"/>
    </w:p>
    <w:p w:rsidR="00A47BDF" w:rsidRDefault="004F79EF">
      <w:pPr>
        <w:spacing w:line="596"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w:t>
      </w:r>
      <w:r>
        <w:rPr>
          <w:rFonts w:eastAsia="方正仿宋_GBK" w:hint="eastAsia"/>
          <w:color w:val="000000" w:themeColor="text1"/>
          <w:sz w:val="32"/>
          <w:szCs w:val="32"/>
        </w:rPr>
        <w:t>1</w:t>
      </w:r>
      <w:r>
        <w:rPr>
          <w:rFonts w:eastAsia="方正仿宋_GBK" w:hint="eastAsia"/>
          <w:color w:val="000000" w:themeColor="text1"/>
          <w:sz w:val="32"/>
          <w:szCs w:val="32"/>
        </w:rPr>
        <w:t>）受区住房城乡建委的委托进行全区国有土地上房屋征收补偿政策的宣传。</w:t>
      </w:r>
    </w:p>
    <w:p w:rsidR="00A47BDF" w:rsidRDefault="004F79EF">
      <w:pPr>
        <w:spacing w:line="596"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w:t>
      </w:r>
      <w:r>
        <w:rPr>
          <w:rFonts w:eastAsia="方正仿宋_GBK" w:hint="eastAsia"/>
          <w:color w:val="000000" w:themeColor="text1"/>
          <w:sz w:val="32"/>
          <w:szCs w:val="32"/>
        </w:rPr>
        <w:t>2</w:t>
      </w:r>
      <w:r>
        <w:rPr>
          <w:rFonts w:eastAsia="方正仿宋_GBK" w:hint="eastAsia"/>
          <w:color w:val="000000" w:themeColor="text1"/>
          <w:sz w:val="32"/>
          <w:szCs w:val="32"/>
        </w:rPr>
        <w:t>）对征收范围内房屋的基本情况进行调查登记，对补偿资金进行统一测算。</w:t>
      </w:r>
    </w:p>
    <w:p w:rsidR="00A47BDF" w:rsidRDefault="004F79EF">
      <w:pPr>
        <w:spacing w:line="596"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w:t>
      </w:r>
      <w:r>
        <w:rPr>
          <w:rFonts w:eastAsia="方正仿宋_GBK" w:hint="eastAsia"/>
          <w:color w:val="000000" w:themeColor="text1"/>
          <w:sz w:val="32"/>
          <w:szCs w:val="32"/>
        </w:rPr>
        <w:t>3</w:t>
      </w:r>
      <w:r>
        <w:rPr>
          <w:rFonts w:eastAsia="方正仿宋_GBK" w:hint="eastAsia"/>
          <w:color w:val="000000" w:themeColor="text1"/>
          <w:sz w:val="32"/>
          <w:szCs w:val="32"/>
        </w:rPr>
        <w:t>）编制房屋征收补偿方案。</w:t>
      </w:r>
    </w:p>
    <w:p w:rsidR="00A47BDF" w:rsidRDefault="004F79EF">
      <w:pPr>
        <w:spacing w:line="596"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w:t>
      </w:r>
      <w:r>
        <w:rPr>
          <w:rFonts w:eastAsia="方正仿宋_GBK" w:hint="eastAsia"/>
          <w:color w:val="000000" w:themeColor="text1"/>
          <w:sz w:val="32"/>
          <w:szCs w:val="32"/>
        </w:rPr>
        <w:t>4</w:t>
      </w:r>
      <w:r>
        <w:rPr>
          <w:rFonts w:eastAsia="方正仿宋_GBK" w:hint="eastAsia"/>
          <w:color w:val="000000" w:themeColor="text1"/>
          <w:sz w:val="32"/>
          <w:szCs w:val="32"/>
        </w:rPr>
        <w:t>）组织征求意见听证、公示等工作。</w:t>
      </w:r>
    </w:p>
    <w:p w:rsidR="00A47BDF" w:rsidRDefault="004F79EF">
      <w:pPr>
        <w:spacing w:line="596"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w:t>
      </w:r>
      <w:r>
        <w:rPr>
          <w:rFonts w:eastAsia="方正仿宋_GBK" w:hint="eastAsia"/>
          <w:color w:val="000000" w:themeColor="text1"/>
          <w:sz w:val="32"/>
          <w:szCs w:val="32"/>
        </w:rPr>
        <w:t>5</w:t>
      </w:r>
      <w:r>
        <w:rPr>
          <w:rFonts w:eastAsia="方正仿宋_GBK" w:hint="eastAsia"/>
          <w:color w:val="000000" w:themeColor="text1"/>
          <w:sz w:val="32"/>
          <w:szCs w:val="32"/>
        </w:rPr>
        <w:t>）就房屋征收补偿的具体问题与被征收人进行协商。</w:t>
      </w:r>
    </w:p>
    <w:p w:rsidR="00A47BDF" w:rsidRDefault="004F79EF">
      <w:pPr>
        <w:spacing w:line="596"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w:t>
      </w:r>
      <w:r>
        <w:rPr>
          <w:rFonts w:eastAsia="方正仿宋_GBK" w:hint="eastAsia"/>
          <w:color w:val="000000" w:themeColor="text1"/>
          <w:sz w:val="32"/>
          <w:szCs w:val="32"/>
        </w:rPr>
        <w:t>6</w:t>
      </w:r>
      <w:r>
        <w:rPr>
          <w:rFonts w:eastAsia="方正仿宋_GBK" w:hint="eastAsia"/>
          <w:color w:val="000000" w:themeColor="text1"/>
          <w:sz w:val="32"/>
          <w:szCs w:val="32"/>
        </w:rPr>
        <w:t>）处理房屋征收、补偿和搬迁纠纷。</w:t>
      </w:r>
    </w:p>
    <w:p w:rsidR="00A47BDF" w:rsidRDefault="004F79EF">
      <w:pPr>
        <w:spacing w:line="596"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w:t>
      </w:r>
      <w:r>
        <w:rPr>
          <w:rFonts w:eastAsia="方正仿宋_GBK" w:hint="eastAsia"/>
          <w:color w:val="000000" w:themeColor="text1"/>
          <w:sz w:val="32"/>
          <w:szCs w:val="32"/>
        </w:rPr>
        <w:t>7</w:t>
      </w:r>
      <w:r>
        <w:rPr>
          <w:rFonts w:eastAsia="方正仿宋_GBK" w:hint="eastAsia"/>
          <w:color w:val="000000" w:themeColor="text1"/>
          <w:sz w:val="32"/>
          <w:szCs w:val="32"/>
        </w:rPr>
        <w:t>）负责组织对被征收部门房屋的拆除工作。</w:t>
      </w:r>
    </w:p>
    <w:p w:rsidR="00A47BDF" w:rsidRDefault="004F79EF">
      <w:pPr>
        <w:spacing w:line="596"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w:t>
      </w:r>
      <w:r>
        <w:rPr>
          <w:rFonts w:eastAsia="方正仿宋_GBK" w:hint="eastAsia"/>
          <w:color w:val="000000" w:themeColor="text1"/>
          <w:sz w:val="32"/>
          <w:szCs w:val="32"/>
        </w:rPr>
        <w:t>8</w:t>
      </w:r>
      <w:r>
        <w:rPr>
          <w:rFonts w:eastAsia="方正仿宋_GBK" w:hint="eastAsia"/>
          <w:color w:val="000000" w:themeColor="text1"/>
          <w:sz w:val="32"/>
          <w:szCs w:val="32"/>
        </w:rPr>
        <w:t>）承办上级部门交办的其它事项。</w:t>
      </w:r>
    </w:p>
    <w:p w:rsidR="00A47BDF" w:rsidRDefault="004F79EF">
      <w:pPr>
        <w:spacing w:line="596" w:lineRule="exact"/>
        <w:ind w:firstLineChars="200" w:firstLine="640"/>
        <w:outlineLvl w:val="1"/>
        <w:rPr>
          <w:rFonts w:eastAsia="方正仿宋_GBK"/>
          <w:color w:val="000000" w:themeColor="text1"/>
          <w:sz w:val="32"/>
          <w:szCs w:val="32"/>
        </w:rPr>
      </w:pPr>
      <w:bookmarkStart w:id="12" w:name="_Toc6102"/>
      <w:r>
        <w:rPr>
          <w:rFonts w:eastAsia="方正仿宋_GBK"/>
          <w:color w:val="000000" w:themeColor="text1"/>
          <w:sz w:val="32"/>
          <w:szCs w:val="32"/>
        </w:rPr>
        <w:t>（</w:t>
      </w:r>
      <w:r>
        <w:rPr>
          <w:rFonts w:eastAsia="方正仿宋_GBK" w:hint="eastAsia"/>
          <w:color w:val="000000" w:themeColor="text1"/>
          <w:sz w:val="32"/>
          <w:szCs w:val="32"/>
        </w:rPr>
        <w:t>二</w:t>
      </w:r>
      <w:r>
        <w:rPr>
          <w:rFonts w:eastAsia="方正仿宋_GBK"/>
          <w:color w:val="000000" w:themeColor="text1"/>
          <w:sz w:val="32"/>
          <w:szCs w:val="32"/>
        </w:rPr>
        <w:t>）</w:t>
      </w:r>
      <w:r>
        <w:rPr>
          <w:rFonts w:eastAsia="方正仿宋_GBK" w:hint="eastAsia"/>
          <w:color w:val="000000" w:themeColor="text1"/>
          <w:sz w:val="32"/>
          <w:szCs w:val="32"/>
        </w:rPr>
        <w:t>预算及支出情况</w:t>
      </w:r>
      <w:r>
        <w:rPr>
          <w:rFonts w:eastAsia="方正仿宋_GBK"/>
          <w:color w:val="000000" w:themeColor="text1"/>
          <w:sz w:val="32"/>
          <w:szCs w:val="32"/>
        </w:rPr>
        <w:t>。</w:t>
      </w:r>
      <w:bookmarkEnd w:id="12"/>
    </w:p>
    <w:p w:rsidR="00A47BDF" w:rsidRDefault="004F79EF">
      <w:pPr>
        <w:spacing w:line="600" w:lineRule="exact"/>
        <w:ind w:firstLineChars="200" w:firstLine="640"/>
        <w:rPr>
          <w:rFonts w:eastAsia="方正仿宋_GBK" w:cs="方正仿宋_GBK"/>
          <w:color w:val="000000" w:themeColor="text1"/>
          <w:sz w:val="32"/>
          <w:szCs w:val="32"/>
        </w:rPr>
      </w:pPr>
      <w:r>
        <w:rPr>
          <w:rFonts w:eastAsia="方正仿宋_GBK" w:cs="方正仿宋_GBK" w:hint="eastAsia"/>
          <w:color w:val="000000" w:themeColor="text1"/>
          <w:sz w:val="32"/>
          <w:szCs w:val="32"/>
        </w:rPr>
        <w:t>2022</w:t>
      </w:r>
      <w:r>
        <w:rPr>
          <w:rFonts w:eastAsia="方正仿宋_GBK" w:cs="方正仿宋_GBK" w:hint="eastAsia"/>
          <w:color w:val="000000" w:themeColor="text1"/>
          <w:sz w:val="32"/>
          <w:szCs w:val="32"/>
        </w:rPr>
        <w:t>年财政资金年初支出预算为</w:t>
      </w:r>
      <w:r>
        <w:rPr>
          <w:rFonts w:eastAsia="方正仿宋_GBK" w:cs="方正仿宋_GBK" w:hint="eastAsia"/>
          <w:color w:val="000000" w:themeColor="text1"/>
          <w:sz w:val="32"/>
          <w:szCs w:val="32"/>
        </w:rPr>
        <w:t>1844587.16</w:t>
      </w:r>
      <w:r>
        <w:rPr>
          <w:rFonts w:eastAsia="方正仿宋_GBK" w:cs="方正仿宋_GBK" w:hint="eastAsia"/>
          <w:color w:val="000000" w:themeColor="text1"/>
          <w:sz w:val="32"/>
          <w:szCs w:val="32"/>
        </w:rPr>
        <w:t>元，年中调整</w:t>
      </w:r>
      <w:r>
        <w:rPr>
          <w:rFonts w:eastAsia="方正仿宋_GBK" w:cs="方正仿宋_GBK" w:hint="eastAsia"/>
          <w:color w:val="000000" w:themeColor="text1"/>
          <w:sz w:val="32"/>
          <w:szCs w:val="32"/>
        </w:rPr>
        <w:lastRenderedPageBreak/>
        <w:t>预算为</w:t>
      </w:r>
      <w:r>
        <w:rPr>
          <w:rFonts w:eastAsia="方正仿宋_GBK" w:cs="方正仿宋_GBK" w:hint="eastAsia"/>
          <w:color w:val="000000" w:themeColor="text1"/>
          <w:kern w:val="0"/>
          <w:sz w:val="32"/>
          <w:szCs w:val="32"/>
          <w:shd w:val="clear" w:color="auto" w:fill="FFFFFF"/>
        </w:rPr>
        <w:t>1934067.01</w:t>
      </w:r>
      <w:r>
        <w:rPr>
          <w:rFonts w:eastAsia="方正仿宋_GBK" w:cs="方正仿宋_GBK" w:hint="eastAsia"/>
          <w:color w:val="000000" w:themeColor="text1"/>
          <w:sz w:val="32"/>
          <w:szCs w:val="32"/>
        </w:rPr>
        <w:t>元，</w:t>
      </w:r>
      <w:r>
        <w:rPr>
          <w:rFonts w:eastAsia="方正仿宋_GBK" w:cs="方正仿宋_GBK" w:hint="eastAsia"/>
          <w:color w:val="000000" w:themeColor="text1"/>
          <w:kern w:val="0"/>
          <w:sz w:val="32"/>
          <w:szCs w:val="32"/>
          <w:shd w:val="clear" w:color="auto" w:fill="FFFFFF"/>
        </w:rPr>
        <w:t>上年结转和结余为</w:t>
      </w:r>
      <w:r>
        <w:rPr>
          <w:rFonts w:eastAsia="方正仿宋_GBK" w:cs="方正仿宋_GBK" w:hint="eastAsia"/>
          <w:color w:val="000000" w:themeColor="text1"/>
          <w:kern w:val="0"/>
          <w:sz w:val="32"/>
          <w:szCs w:val="32"/>
          <w:shd w:val="clear" w:color="auto" w:fill="FFFFFF"/>
        </w:rPr>
        <w:t>18328.07</w:t>
      </w:r>
      <w:r>
        <w:rPr>
          <w:rFonts w:eastAsia="方正仿宋_GBK" w:cs="方正仿宋_GBK" w:hint="eastAsia"/>
          <w:color w:val="000000" w:themeColor="text1"/>
          <w:kern w:val="0"/>
          <w:sz w:val="32"/>
          <w:szCs w:val="32"/>
          <w:shd w:val="clear" w:color="auto" w:fill="FFFFFF"/>
        </w:rPr>
        <w:t>元</w:t>
      </w:r>
      <w:r>
        <w:rPr>
          <w:rFonts w:eastAsia="方正仿宋_GBK" w:cs="方正仿宋_GBK" w:hint="eastAsia"/>
          <w:color w:val="000000" w:themeColor="text1"/>
          <w:sz w:val="32"/>
          <w:szCs w:val="32"/>
        </w:rPr>
        <w:t>，调整后支出预算为</w:t>
      </w:r>
      <w:r>
        <w:rPr>
          <w:rFonts w:eastAsia="方正仿宋_GBK" w:cs="方正仿宋_GBK" w:hint="eastAsia"/>
          <w:color w:val="000000" w:themeColor="text1"/>
          <w:sz w:val="32"/>
          <w:szCs w:val="32"/>
        </w:rPr>
        <w:t>1952395.08</w:t>
      </w:r>
      <w:r>
        <w:rPr>
          <w:rFonts w:eastAsia="方正仿宋_GBK" w:cs="方正仿宋_GBK" w:hint="eastAsia"/>
          <w:color w:val="000000" w:themeColor="text1"/>
          <w:sz w:val="32"/>
          <w:szCs w:val="32"/>
        </w:rPr>
        <w:t>元；年末支出决算为</w:t>
      </w:r>
      <w:r>
        <w:rPr>
          <w:rFonts w:eastAsia="方正仿宋_GBK" w:cs="方正仿宋_GBK" w:hint="eastAsia"/>
          <w:color w:val="000000" w:themeColor="text1"/>
          <w:sz w:val="32"/>
          <w:szCs w:val="32"/>
        </w:rPr>
        <w:t>1928170.51</w:t>
      </w:r>
      <w:r>
        <w:rPr>
          <w:rFonts w:eastAsia="方正仿宋_GBK" w:cs="方正仿宋_GBK" w:hint="eastAsia"/>
          <w:color w:val="000000" w:themeColor="text1"/>
          <w:sz w:val="32"/>
          <w:szCs w:val="32"/>
        </w:rPr>
        <w:t>元，年末结转和结余为</w:t>
      </w:r>
      <w:r>
        <w:rPr>
          <w:rFonts w:eastAsia="方正仿宋_GBK" w:cs="方正仿宋_GBK" w:hint="eastAsia"/>
          <w:color w:val="000000" w:themeColor="text1"/>
          <w:sz w:val="32"/>
          <w:szCs w:val="32"/>
        </w:rPr>
        <w:t>24224.57</w:t>
      </w:r>
      <w:r>
        <w:rPr>
          <w:rFonts w:eastAsia="方正仿宋_GBK" w:cs="方正仿宋_GBK" w:hint="eastAsia"/>
          <w:color w:val="000000" w:themeColor="text1"/>
          <w:sz w:val="32"/>
          <w:szCs w:val="32"/>
        </w:rPr>
        <w:t>元。</w:t>
      </w:r>
    </w:p>
    <w:p w:rsidR="00A47BDF" w:rsidRDefault="004F79EF">
      <w:pPr>
        <w:spacing w:line="596" w:lineRule="exact"/>
        <w:ind w:firstLineChars="200" w:firstLine="640"/>
        <w:outlineLvl w:val="0"/>
        <w:rPr>
          <w:rFonts w:eastAsia="方正黑体_GBK"/>
          <w:sz w:val="32"/>
          <w:szCs w:val="32"/>
        </w:rPr>
      </w:pPr>
      <w:bookmarkStart w:id="13" w:name="_Toc24604"/>
      <w:bookmarkStart w:id="14" w:name="_Toc9231"/>
      <w:r>
        <w:rPr>
          <w:rFonts w:eastAsia="方正黑体_GBK" w:hint="eastAsia"/>
          <w:sz w:val="32"/>
          <w:szCs w:val="32"/>
        </w:rPr>
        <w:t>二</w:t>
      </w:r>
      <w:r>
        <w:rPr>
          <w:rFonts w:eastAsia="方正黑体_GBK"/>
          <w:sz w:val="32"/>
          <w:szCs w:val="32"/>
        </w:rPr>
        <w:t>、</w:t>
      </w:r>
      <w:r>
        <w:rPr>
          <w:rFonts w:eastAsia="方正黑体_GBK" w:hint="eastAsia"/>
          <w:sz w:val="32"/>
          <w:szCs w:val="32"/>
        </w:rPr>
        <w:t>主要成效</w:t>
      </w:r>
      <w:bookmarkEnd w:id="13"/>
      <w:bookmarkEnd w:id="14"/>
    </w:p>
    <w:p w:rsidR="00A47BDF" w:rsidRDefault="004F79EF">
      <w:pPr>
        <w:spacing w:line="594" w:lineRule="exact"/>
        <w:ind w:firstLineChars="200" w:firstLine="640"/>
        <w:rPr>
          <w:rFonts w:eastAsia="方正仿宋_GBK" w:cs="方正仿宋_GBK"/>
          <w:sz w:val="32"/>
          <w:szCs w:val="32"/>
        </w:rPr>
      </w:pPr>
      <w:r>
        <w:rPr>
          <w:rFonts w:eastAsia="方正仿宋_GBK" w:cs="方正仿宋_GBK" w:hint="eastAsia"/>
          <w:sz w:val="32"/>
          <w:szCs w:val="32"/>
        </w:rPr>
        <w:t>1</w:t>
      </w:r>
      <w:r>
        <w:rPr>
          <w:rFonts w:eastAsia="方正仿宋_GBK" w:cs="方正仿宋_GBK" w:hint="eastAsia"/>
          <w:sz w:val="32"/>
          <w:szCs w:val="32"/>
        </w:rPr>
        <w:t>、璧山区房屋征收中心在《重庆市国有土地上房屋征收与补偿条例》及其《实施细则》颁布施行后，拟定璧山区的相应配套文件，初稿通过办公会研究决定后，已完成部门、街镇以及向社会公开征求意见工作，且已通过司法局的审查。</w:t>
      </w:r>
    </w:p>
    <w:p w:rsidR="00A47BDF" w:rsidRDefault="004F79EF">
      <w:pPr>
        <w:spacing w:line="594" w:lineRule="exact"/>
        <w:ind w:firstLineChars="200" w:firstLine="640"/>
        <w:rPr>
          <w:rFonts w:eastAsia="方正仿宋_GBK" w:cs="方正仿宋_GBK"/>
          <w:color w:val="000000" w:themeColor="text1"/>
          <w:sz w:val="32"/>
          <w:szCs w:val="32"/>
        </w:rPr>
      </w:pPr>
      <w:r>
        <w:rPr>
          <w:rFonts w:eastAsia="方正仿宋_GBK" w:cs="方正仿宋_GBK" w:hint="eastAsia"/>
          <w:color w:val="000000" w:themeColor="text1"/>
          <w:sz w:val="32"/>
          <w:szCs w:val="32"/>
        </w:rPr>
        <w:t>2</w:t>
      </w:r>
      <w:r>
        <w:rPr>
          <w:rFonts w:eastAsia="方正仿宋_GBK" w:cs="方正仿宋_GBK" w:hint="eastAsia"/>
          <w:color w:val="000000" w:themeColor="text1"/>
          <w:sz w:val="32"/>
          <w:szCs w:val="32"/>
        </w:rPr>
        <w:t>、参与完成国有土地上房屋搬迁项目</w:t>
      </w:r>
      <w:r>
        <w:rPr>
          <w:rFonts w:eastAsia="方正仿宋_GBK" w:cs="方正仿宋_GBK" w:hint="eastAsia"/>
          <w:color w:val="000000" w:themeColor="text1"/>
          <w:sz w:val="32"/>
          <w:szCs w:val="32"/>
        </w:rPr>
        <w:t>4</w:t>
      </w:r>
      <w:r>
        <w:rPr>
          <w:rFonts w:eastAsia="方正仿宋_GBK" w:cs="方正仿宋_GBK" w:hint="eastAsia"/>
          <w:color w:val="000000" w:themeColor="text1"/>
          <w:sz w:val="32"/>
          <w:szCs w:val="32"/>
        </w:rPr>
        <w:t>个，以协商收购方式完成重点建设项目范围内的</w:t>
      </w:r>
      <w:r>
        <w:rPr>
          <w:rFonts w:eastAsia="方正仿宋_GBK" w:cs="方正仿宋_GBK" w:hint="eastAsia"/>
          <w:color w:val="000000" w:themeColor="text1"/>
          <w:sz w:val="32"/>
          <w:szCs w:val="32"/>
        </w:rPr>
        <w:t>4</w:t>
      </w:r>
      <w:r>
        <w:rPr>
          <w:rFonts w:eastAsia="方正仿宋_GBK" w:cs="方正仿宋_GBK" w:hint="eastAsia"/>
          <w:color w:val="000000" w:themeColor="text1"/>
          <w:sz w:val="32"/>
          <w:szCs w:val="32"/>
        </w:rPr>
        <w:t>家企业房屋的搬迁拆除，收回土地使用权面积</w:t>
      </w:r>
      <w:r>
        <w:rPr>
          <w:rFonts w:eastAsia="方正仿宋_GBK" w:cs="方正仿宋_GBK" w:hint="eastAsia"/>
          <w:color w:val="000000" w:themeColor="text1"/>
          <w:sz w:val="32"/>
          <w:szCs w:val="32"/>
        </w:rPr>
        <w:t>5922</w:t>
      </w:r>
      <w:r>
        <w:rPr>
          <w:rFonts w:eastAsia="方正仿宋_GBK" w:cs="方正仿宋_GBK" w:hint="eastAsia"/>
          <w:color w:val="000000" w:themeColor="text1"/>
          <w:sz w:val="32"/>
          <w:szCs w:val="32"/>
        </w:rPr>
        <w:t>平方米，拆除房屋建筑面积</w:t>
      </w:r>
      <w:r>
        <w:rPr>
          <w:rFonts w:eastAsia="方正仿宋_GBK" w:cs="方正仿宋_GBK" w:hint="eastAsia"/>
          <w:color w:val="000000" w:themeColor="text1"/>
          <w:sz w:val="32"/>
          <w:szCs w:val="32"/>
        </w:rPr>
        <w:t>5119</w:t>
      </w:r>
      <w:r>
        <w:rPr>
          <w:rFonts w:eastAsia="方正仿宋_GBK" w:cs="方正仿宋_GBK" w:hint="eastAsia"/>
          <w:color w:val="000000" w:themeColor="text1"/>
          <w:sz w:val="32"/>
          <w:szCs w:val="32"/>
        </w:rPr>
        <w:t>平方米。</w:t>
      </w:r>
    </w:p>
    <w:p w:rsidR="00A47BDF" w:rsidRDefault="004F79EF">
      <w:pPr>
        <w:spacing w:line="594" w:lineRule="exact"/>
        <w:ind w:firstLineChars="200" w:firstLine="640"/>
        <w:rPr>
          <w:rFonts w:eastAsia="方正仿宋_GBK" w:cs="方正仿宋_GBK"/>
          <w:color w:val="000000" w:themeColor="text1"/>
          <w:sz w:val="32"/>
          <w:szCs w:val="32"/>
        </w:rPr>
      </w:pPr>
      <w:r>
        <w:rPr>
          <w:rFonts w:eastAsia="方正仿宋_GBK" w:cs="方正仿宋_GBK" w:hint="eastAsia"/>
          <w:sz w:val="32"/>
          <w:szCs w:val="32"/>
        </w:rPr>
        <w:t>3</w:t>
      </w:r>
      <w:r>
        <w:rPr>
          <w:rFonts w:eastAsia="方正仿宋_GBK" w:cs="方正仿宋_GBK" w:hint="eastAsia"/>
          <w:sz w:val="32"/>
          <w:szCs w:val="32"/>
        </w:rPr>
        <w:t>、</w:t>
      </w:r>
      <w:r>
        <w:rPr>
          <w:rFonts w:eastAsia="方正仿宋_GBK" w:cs="方正仿宋_GBK" w:hint="eastAsia"/>
          <w:sz w:val="32"/>
          <w:szCs w:val="32"/>
        </w:rPr>
        <w:t>2022</w:t>
      </w:r>
      <w:r>
        <w:rPr>
          <w:rFonts w:eastAsia="方正仿宋_GBK" w:cs="方正仿宋_GBK" w:hint="eastAsia"/>
          <w:sz w:val="32"/>
          <w:szCs w:val="32"/>
        </w:rPr>
        <w:t>年前三季度开展了青杠成渝高速下道口、盐井河水库水源保护区、奥贝机械厂房屋收购等项目的调查摸底、评估测算、协商谈判等工作。</w:t>
      </w:r>
    </w:p>
    <w:p w:rsidR="00A47BDF" w:rsidRDefault="004F79EF">
      <w:pPr>
        <w:spacing w:line="594" w:lineRule="exact"/>
        <w:ind w:firstLineChars="200" w:firstLine="640"/>
        <w:rPr>
          <w:rFonts w:eastAsia="方正仿宋_GBK" w:cs="方正仿宋_GBK"/>
          <w:color w:val="000000" w:themeColor="text1"/>
          <w:sz w:val="32"/>
          <w:szCs w:val="32"/>
        </w:rPr>
      </w:pPr>
      <w:r>
        <w:rPr>
          <w:rFonts w:eastAsia="方正仿宋_GBK" w:cs="方正仿宋_GBK" w:hint="eastAsia"/>
          <w:color w:val="000000" w:themeColor="text1"/>
          <w:sz w:val="32"/>
          <w:szCs w:val="32"/>
        </w:rPr>
        <w:t>4</w:t>
      </w:r>
      <w:r>
        <w:rPr>
          <w:rFonts w:eastAsia="方正仿宋_GBK" w:cs="方正仿宋_GBK" w:hint="eastAsia"/>
          <w:color w:val="000000" w:themeColor="text1"/>
          <w:sz w:val="32"/>
          <w:szCs w:val="32"/>
        </w:rPr>
        <w:t>、为应对山火、疫情等突发事件，璧山区房屋征收中心组织安排中心全体干部职工开展交通卡点值守、山火扑救、核酸信息采集、建筑工地疫情防控等工作。</w:t>
      </w:r>
    </w:p>
    <w:p w:rsidR="00A47BDF" w:rsidRDefault="004F79EF">
      <w:pPr>
        <w:spacing w:line="560" w:lineRule="exact"/>
        <w:ind w:firstLineChars="200" w:firstLine="640"/>
        <w:rPr>
          <w:rFonts w:eastAsia="仿宋"/>
          <w:sz w:val="32"/>
          <w:szCs w:val="32"/>
        </w:rPr>
      </w:pPr>
      <w:r>
        <w:rPr>
          <w:rFonts w:eastAsia="方正仿宋_GBK" w:cs="方正仿宋_GBK" w:hint="eastAsia"/>
          <w:color w:val="000000"/>
          <w:sz w:val="32"/>
          <w:szCs w:val="32"/>
        </w:rPr>
        <w:t>5</w:t>
      </w:r>
      <w:r>
        <w:rPr>
          <w:rFonts w:eastAsia="方正仿宋_GBK" w:cs="方正仿宋_GBK" w:hint="eastAsia"/>
          <w:color w:val="000000"/>
          <w:sz w:val="32"/>
          <w:szCs w:val="32"/>
        </w:rPr>
        <w:t>、按规定处理</w:t>
      </w:r>
      <w:r>
        <w:rPr>
          <w:rFonts w:eastAsia="方正仿宋_GBK" w:cs="方正仿宋_GBK" w:hint="eastAsia"/>
          <w:color w:val="000000"/>
          <w:sz w:val="32"/>
          <w:szCs w:val="32"/>
        </w:rPr>
        <w:t>4</w:t>
      </w:r>
      <w:r>
        <w:rPr>
          <w:rFonts w:eastAsia="方正仿宋_GBK" w:cs="方正仿宋_GBK" w:hint="eastAsia"/>
          <w:color w:val="000000"/>
          <w:sz w:val="32"/>
          <w:szCs w:val="32"/>
        </w:rPr>
        <w:t>件投诉信访案件。积极主动处理湖山印象三期信访事项，目前对信访人提出的诉求正在实施完成中。处理</w:t>
      </w:r>
      <w:r>
        <w:rPr>
          <w:rFonts w:eastAsia="方正仿宋_GBK" w:cs="方正仿宋_GBK" w:hint="eastAsia"/>
          <w:color w:val="000000"/>
          <w:sz w:val="32"/>
          <w:szCs w:val="32"/>
        </w:rPr>
        <w:t>1</w:t>
      </w:r>
      <w:r>
        <w:rPr>
          <w:rFonts w:eastAsia="方正仿宋_GBK" w:cs="方正仿宋_GBK" w:hint="eastAsia"/>
          <w:color w:val="000000"/>
          <w:sz w:val="32"/>
          <w:szCs w:val="32"/>
        </w:rPr>
        <w:t>项人大提案，处理结果得到提案代表的认可。开展</w:t>
      </w:r>
      <w:r>
        <w:rPr>
          <w:rFonts w:eastAsia="方正仿宋_GBK" w:cs="方正仿宋_GBK" w:hint="eastAsia"/>
          <w:color w:val="000000"/>
          <w:sz w:val="32"/>
          <w:szCs w:val="32"/>
        </w:rPr>
        <w:t>5</w:t>
      </w:r>
      <w:r>
        <w:rPr>
          <w:rFonts w:eastAsia="方正仿宋_GBK" w:cs="方正仿宋_GBK" w:hint="eastAsia"/>
          <w:color w:val="000000"/>
          <w:sz w:val="32"/>
          <w:szCs w:val="32"/>
        </w:rPr>
        <w:t>次房屋拆除安全和扬尘控制工作，全年未发生房屋拆除安全生产事故和扬尘污染事件。</w:t>
      </w:r>
    </w:p>
    <w:p w:rsidR="00A47BDF" w:rsidRDefault="004F79EF">
      <w:pPr>
        <w:spacing w:line="596" w:lineRule="exact"/>
        <w:ind w:firstLineChars="200" w:firstLine="640"/>
        <w:outlineLvl w:val="0"/>
        <w:rPr>
          <w:rFonts w:eastAsia="方正黑体_GBK"/>
          <w:sz w:val="32"/>
          <w:szCs w:val="32"/>
        </w:rPr>
      </w:pPr>
      <w:bookmarkStart w:id="15" w:name="_Toc23086"/>
      <w:bookmarkStart w:id="16" w:name="_Toc31639"/>
      <w:r>
        <w:rPr>
          <w:rFonts w:eastAsia="方正黑体_GBK" w:hint="eastAsia"/>
          <w:sz w:val="32"/>
          <w:szCs w:val="32"/>
        </w:rPr>
        <w:t>三、绩效</w:t>
      </w:r>
      <w:r>
        <w:rPr>
          <w:rFonts w:eastAsia="方正黑体_GBK"/>
          <w:sz w:val="32"/>
          <w:szCs w:val="32"/>
        </w:rPr>
        <w:t>评价情况及结论</w:t>
      </w:r>
      <w:bookmarkEnd w:id="15"/>
      <w:bookmarkEnd w:id="16"/>
    </w:p>
    <w:p w:rsidR="00A47BDF" w:rsidRDefault="004F79EF">
      <w:pPr>
        <w:spacing w:line="596" w:lineRule="exact"/>
        <w:ind w:firstLineChars="200" w:firstLine="640"/>
        <w:rPr>
          <w:rFonts w:eastAsia="方正仿宋_GBK"/>
          <w:sz w:val="32"/>
          <w:szCs w:val="32"/>
        </w:rPr>
      </w:pPr>
      <w:r>
        <w:rPr>
          <w:rFonts w:eastAsia="方正仿宋_GBK" w:hint="eastAsia"/>
          <w:sz w:val="32"/>
          <w:szCs w:val="32"/>
        </w:rPr>
        <w:lastRenderedPageBreak/>
        <w:t>根据《重庆市</w:t>
      </w:r>
      <w:r>
        <w:rPr>
          <w:rFonts w:eastAsia="方正仿宋_GBK" w:cs="Arial" w:hint="eastAsia"/>
          <w:color w:val="000000" w:themeColor="text1"/>
          <w:sz w:val="32"/>
          <w:szCs w:val="32"/>
        </w:rPr>
        <w:t>璧山区房屋征收中心</w:t>
      </w:r>
      <w:r>
        <w:rPr>
          <w:rFonts w:eastAsia="方正仿宋_GBK" w:hint="eastAsia"/>
          <w:sz w:val="32"/>
          <w:szCs w:val="32"/>
        </w:rPr>
        <w:t>2022</w:t>
      </w:r>
      <w:r>
        <w:rPr>
          <w:rFonts w:eastAsia="方正仿宋_GBK" w:hint="eastAsia"/>
          <w:sz w:val="32"/>
          <w:szCs w:val="32"/>
        </w:rPr>
        <w:t>年度部门整体支出绩效自评表》中的指标体系分析情况，重庆市</w:t>
      </w:r>
      <w:r>
        <w:rPr>
          <w:rFonts w:eastAsia="方正仿宋_GBK" w:cs="Arial" w:hint="eastAsia"/>
          <w:color w:val="000000" w:themeColor="text1"/>
          <w:sz w:val="32"/>
          <w:szCs w:val="32"/>
        </w:rPr>
        <w:t>璧山区房屋征收中心</w:t>
      </w:r>
      <w:r>
        <w:rPr>
          <w:rFonts w:eastAsia="方正仿宋_GBK" w:hint="eastAsia"/>
          <w:sz w:val="32"/>
          <w:szCs w:val="32"/>
        </w:rPr>
        <w:t>2022</w:t>
      </w:r>
      <w:r>
        <w:rPr>
          <w:rFonts w:eastAsia="方正仿宋_GBK" w:hint="eastAsia"/>
          <w:sz w:val="32"/>
          <w:szCs w:val="32"/>
        </w:rPr>
        <w:t>年度部门整体支出绩效自</w:t>
      </w:r>
      <w:r>
        <w:rPr>
          <w:rFonts w:eastAsia="方正仿宋_GBK" w:hint="eastAsia"/>
          <w:color w:val="000000" w:themeColor="text1"/>
          <w:sz w:val="32"/>
          <w:szCs w:val="32"/>
        </w:rPr>
        <w:t>评总得分</w:t>
      </w:r>
      <w:r>
        <w:rPr>
          <w:rFonts w:eastAsia="方正仿宋_GBK" w:hint="eastAsia"/>
          <w:color w:val="000000" w:themeColor="text1"/>
          <w:sz w:val="32"/>
          <w:szCs w:val="32"/>
        </w:rPr>
        <w:t>98.89</w:t>
      </w:r>
      <w:r>
        <w:rPr>
          <w:rFonts w:eastAsia="方正仿宋_GBK" w:hint="eastAsia"/>
          <w:color w:val="000000" w:themeColor="text1"/>
          <w:sz w:val="32"/>
          <w:szCs w:val="32"/>
        </w:rPr>
        <w:t>分，等级为“优”。具体得分情况如表</w:t>
      </w:r>
      <w:r>
        <w:rPr>
          <w:rFonts w:eastAsia="方正仿宋_GBK" w:hint="eastAsia"/>
          <w:color w:val="000000" w:themeColor="text1"/>
          <w:sz w:val="32"/>
          <w:szCs w:val="32"/>
        </w:rPr>
        <w:t>1</w:t>
      </w:r>
      <w:r>
        <w:rPr>
          <w:rFonts w:eastAsia="方正仿宋_GBK" w:hint="eastAsia"/>
          <w:color w:val="000000" w:themeColor="text1"/>
          <w:sz w:val="32"/>
          <w:szCs w:val="32"/>
        </w:rPr>
        <w:t>所示。</w:t>
      </w:r>
    </w:p>
    <w:p w:rsidR="00A47BDF" w:rsidRDefault="004F79EF">
      <w:pPr>
        <w:widowControl/>
        <w:shd w:val="clear" w:color="auto" w:fill="FFFFFF"/>
        <w:adjustRightInd w:val="0"/>
        <w:snapToGrid w:val="0"/>
        <w:spacing w:line="600" w:lineRule="exact"/>
        <w:ind w:firstLineChars="200" w:firstLine="560"/>
        <w:jc w:val="center"/>
        <w:rPr>
          <w:rFonts w:eastAsia="方正仿宋_GBK" w:cs="方正仿宋_GBK"/>
          <w:kern w:val="0"/>
          <w:sz w:val="28"/>
          <w:szCs w:val="28"/>
          <w:shd w:val="clear" w:color="auto" w:fill="FFFFFF"/>
        </w:rPr>
      </w:pPr>
      <w:r>
        <w:rPr>
          <w:rFonts w:eastAsia="方正仿宋_GBK" w:cs="方正仿宋_GBK" w:hint="eastAsia"/>
          <w:kern w:val="0"/>
          <w:sz w:val="28"/>
          <w:szCs w:val="28"/>
          <w:shd w:val="clear" w:color="auto" w:fill="FFFFFF"/>
        </w:rPr>
        <w:t>表</w:t>
      </w:r>
      <w:r>
        <w:rPr>
          <w:rFonts w:eastAsia="方正仿宋_GBK" w:cs="方正仿宋_GBK" w:hint="eastAsia"/>
          <w:kern w:val="0"/>
          <w:sz w:val="28"/>
          <w:szCs w:val="28"/>
          <w:shd w:val="clear" w:color="auto" w:fill="FFFFFF"/>
        </w:rPr>
        <w:t xml:space="preserve"> 1</w:t>
      </w:r>
      <w:r>
        <w:rPr>
          <w:rFonts w:eastAsia="方正仿宋_GBK" w:cs="方正仿宋_GBK" w:hint="eastAsia"/>
          <w:kern w:val="0"/>
          <w:sz w:val="28"/>
          <w:szCs w:val="28"/>
          <w:shd w:val="clear" w:color="auto" w:fill="FFFFFF"/>
        </w:rPr>
        <w:t>：指标得分情况</w:t>
      </w:r>
    </w:p>
    <w:tbl>
      <w:tblPr>
        <w:tblW w:w="4413" w:type="pct"/>
        <w:jc w:val="center"/>
        <w:tblLayout w:type="fixed"/>
        <w:tblLook w:val="04A0" w:firstRow="1" w:lastRow="0" w:firstColumn="1" w:lastColumn="0" w:noHBand="0" w:noVBand="1"/>
      </w:tblPr>
      <w:tblGrid>
        <w:gridCol w:w="3724"/>
        <w:gridCol w:w="1457"/>
        <w:gridCol w:w="1457"/>
        <w:gridCol w:w="1459"/>
      </w:tblGrid>
      <w:tr w:rsidR="00A47BDF">
        <w:trPr>
          <w:trHeight w:val="462"/>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spacing w:line="600" w:lineRule="exact"/>
              <w:jc w:val="center"/>
              <w:textAlignment w:val="center"/>
              <w:rPr>
                <w:rFonts w:eastAsia="方正仿宋_GBK" w:cs="方正仿宋_GBK"/>
                <w:color w:val="000000" w:themeColor="text1"/>
                <w:sz w:val="24"/>
              </w:rPr>
            </w:pPr>
            <w:r>
              <w:rPr>
                <w:rFonts w:eastAsia="方正仿宋_GBK" w:cs="方正仿宋_GBK" w:hint="eastAsia"/>
                <w:color w:val="000000" w:themeColor="text1"/>
                <w:kern w:val="0"/>
                <w:sz w:val="24"/>
                <w:lang w:bidi="ar"/>
              </w:rPr>
              <w:t>指标名称</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spacing w:line="600" w:lineRule="exact"/>
              <w:jc w:val="center"/>
              <w:textAlignment w:val="center"/>
              <w:rPr>
                <w:rFonts w:eastAsia="方正仿宋_GBK" w:cs="方正仿宋_GBK"/>
                <w:color w:val="000000" w:themeColor="text1"/>
                <w:sz w:val="24"/>
              </w:rPr>
            </w:pPr>
            <w:r>
              <w:rPr>
                <w:rFonts w:eastAsia="方正仿宋_GBK" w:cs="方正仿宋_GBK" w:hint="eastAsia"/>
                <w:color w:val="000000" w:themeColor="text1"/>
                <w:kern w:val="0"/>
                <w:sz w:val="24"/>
                <w:lang w:bidi="ar"/>
              </w:rPr>
              <w:t>权重</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spacing w:line="600" w:lineRule="exact"/>
              <w:jc w:val="center"/>
              <w:textAlignment w:val="center"/>
              <w:rPr>
                <w:rFonts w:eastAsia="方正仿宋_GBK" w:cs="方正仿宋_GBK"/>
                <w:color w:val="000000" w:themeColor="text1"/>
                <w:sz w:val="24"/>
              </w:rPr>
            </w:pPr>
            <w:r>
              <w:rPr>
                <w:rFonts w:eastAsia="方正仿宋_GBK" w:cs="方正仿宋_GBK" w:hint="eastAsia"/>
                <w:color w:val="000000" w:themeColor="text1"/>
                <w:kern w:val="0"/>
                <w:sz w:val="24"/>
                <w:lang w:bidi="ar"/>
              </w:rPr>
              <w:t>得分</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spacing w:line="600" w:lineRule="exact"/>
              <w:jc w:val="center"/>
              <w:textAlignment w:val="center"/>
              <w:rPr>
                <w:rFonts w:eastAsia="方正仿宋_GBK" w:cs="方正仿宋_GBK"/>
                <w:color w:val="000000" w:themeColor="text1"/>
                <w:kern w:val="0"/>
                <w:sz w:val="24"/>
                <w:lang w:bidi="ar"/>
              </w:rPr>
            </w:pPr>
            <w:r>
              <w:rPr>
                <w:rFonts w:eastAsia="方正仿宋_GBK" w:cs="方正仿宋_GBK" w:hint="eastAsia"/>
                <w:color w:val="000000" w:themeColor="text1"/>
                <w:kern w:val="0"/>
                <w:sz w:val="24"/>
                <w:lang w:bidi="ar"/>
              </w:rPr>
              <w:t>得分率</w:t>
            </w:r>
          </w:p>
        </w:tc>
      </w:tr>
      <w:tr w:rsidR="00A47BDF">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方正仿宋_GBK" w:cs="方正仿宋_GBK"/>
                <w:color w:val="000000" w:themeColor="text1"/>
                <w:sz w:val="24"/>
              </w:rPr>
            </w:pPr>
            <w:r>
              <w:rPr>
                <w:rFonts w:eastAsia="方正仿宋_GBK" w:cs="方正仿宋_GBK" w:hint="eastAsia"/>
                <w:color w:val="000000" w:themeColor="text1"/>
                <w:kern w:val="0"/>
                <w:sz w:val="24"/>
                <w:lang w:bidi="ar"/>
              </w:rPr>
              <w:t>相关人员政策宣传覆盖率</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仿宋" w:cs="仿宋"/>
                <w:color w:val="000000" w:themeColor="text1"/>
                <w:sz w:val="24"/>
              </w:rPr>
            </w:pPr>
            <w:r>
              <w:rPr>
                <w:rFonts w:eastAsia="仿宋" w:cs="仿宋" w:hint="eastAsia"/>
                <w:color w:val="000000" w:themeColor="text1"/>
                <w:kern w:val="0"/>
                <w:sz w:val="24"/>
                <w:lang w:bidi="ar"/>
              </w:rPr>
              <w:t>10</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仿宋" w:cs="仿宋"/>
                <w:color w:val="000000" w:themeColor="text1"/>
                <w:sz w:val="24"/>
              </w:rPr>
            </w:pPr>
            <w:r>
              <w:rPr>
                <w:rFonts w:eastAsia="仿宋" w:cs="仿宋" w:hint="eastAsia"/>
                <w:color w:val="000000" w:themeColor="text1"/>
                <w:kern w:val="0"/>
                <w:sz w:val="24"/>
                <w:lang w:bidi="ar"/>
              </w:rPr>
              <w:t>10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spacing w:line="600" w:lineRule="exact"/>
              <w:jc w:val="center"/>
              <w:textAlignment w:val="center"/>
              <w:rPr>
                <w:rFonts w:eastAsia="仿宋" w:cs="仿宋"/>
                <w:color w:val="000000" w:themeColor="text1"/>
                <w:kern w:val="0"/>
                <w:sz w:val="24"/>
                <w:lang w:bidi="ar"/>
              </w:rPr>
            </w:pPr>
            <w:r>
              <w:rPr>
                <w:rFonts w:eastAsia="仿宋" w:cs="仿宋" w:hint="eastAsia"/>
                <w:color w:val="000000" w:themeColor="text1"/>
                <w:kern w:val="0"/>
                <w:sz w:val="24"/>
                <w:lang w:bidi="ar"/>
              </w:rPr>
              <w:t>100%</w:t>
            </w:r>
          </w:p>
        </w:tc>
      </w:tr>
      <w:tr w:rsidR="00A47BDF">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方正仿宋_GBK" w:cs="方正仿宋_GBK"/>
                <w:color w:val="FF0000"/>
                <w:kern w:val="0"/>
                <w:sz w:val="24"/>
                <w:lang w:bidi="ar"/>
              </w:rPr>
            </w:pPr>
            <w:bookmarkStart w:id="17" w:name="_Toc11051"/>
            <w:r>
              <w:rPr>
                <w:rFonts w:eastAsia="仿宋" w:cs="仿宋" w:hint="eastAsia"/>
                <w:color w:val="000000"/>
                <w:kern w:val="0"/>
                <w:sz w:val="24"/>
                <w:lang w:bidi="ar"/>
              </w:rPr>
              <w:t>项目启动实施率</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仿宋" w:cs="仿宋"/>
                <w:color w:val="000000" w:themeColor="text1"/>
                <w:kern w:val="0"/>
                <w:sz w:val="24"/>
                <w:lang w:bidi="ar"/>
              </w:rPr>
            </w:pPr>
            <w:r>
              <w:rPr>
                <w:rFonts w:eastAsia="仿宋" w:cs="仿宋" w:hint="eastAsia"/>
                <w:color w:val="000000" w:themeColor="text1"/>
                <w:kern w:val="0"/>
                <w:sz w:val="24"/>
                <w:lang w:bidi="ar"/>
              </w:rPr>
              <w:t>50</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仿宋" w:cs="仿宋"/>
                <w:color w:val="000000" w:themeColor="text1"/>
                <w:kern w:val="0"/>
                <w:sz w:val="24"/>
                <w:lang w:bidi="ar"/>
              </w:rPr>
            </w:pPr>
            <w:r>
              <w:rPr>
                <w:rFonts w:eastAsia="仿宋" w:cs="仿宋" w:hint="eastAsia"/>
                <w:color w:val="000000" w:themeColor="text1"/>
                <w:kern w:val="0"/>
                <w:sz w:val="24"/>
                <w:lang w:bidi="ar"/>
              </w:rPr>
              <w:t>50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spacing w:line="600" w:lineRule="exact"/>
              <w:jc w:val="center"/>
              <w:textAlignment w:val="center"/>
              <w:rPr>
                <w:rFonts w:eastAsia="仿宋" w:cs="仿宋"/>
                <w:color w:val="FF0000"/>
                <w:kern w:val="0"/>
                <w:sz w:val="24"/>
                <w:lang w:bidi="ar"/>
              </w:rPr>
            </w:pPr>
            <w:r>
              <w:rPr>
                <w:rFonts w:eastAsia="仿宋" w:cs="仿宋" w:hint="eastAsia"/>
                <w:color w:val="000000" w:themeColor="text1"/>
                <w:kern w:val="0"/>
                <w:sz w:val="24"/>
                <w:lang w:bidi="ar"/>
              </w:rPr>
              <w:t>100%</w:t>
            </w:r>
          </w:p>
        </w:tc>
      </w:tr>
      <w:tr w:rsidR="00A47BDF">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方正仿宋_GBK" w:cs="方正仿宋_GBK"/>
                <w:color w:val="FF0000"/>
                <w:kern w:val="0"/>
                <w:sz w:val="24"/>
                <w:lang w:bidi="ar"/>
              </w:rPr>
            </w:pPr>
            <w:r>
              <w:rPr>
                <w:rFonts w:eastAsia="仿宋" w:cs="仿宋" w:hint="eastAsia"/>
                <w:color w:val="000000"/>
                <w:kern w:val="0"/>
                <w:sz w:val="24"/>
                <w:lang w:bidi="ar"/>
              </w:rPr>
              <w:t>信访咨询解答率</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仿宋" w:cs="仿宋"/>
                <w:color w:val="000000" w:themeColor="text1"/>
                <w:kern w:val="0"/>
                <w:sz w:val="24"/>
                <w:lang w:bidi="ar"/>
              </w:rPr>
            </w:pPr>
            <w:r>
              <w:rPr>
                <w:rFonts w:eastAsia="仿宋" w:cs="仿宋" w:hint="eastAsia"/>
                <w:color w:val="000000" w:themeColor="text1"/>
                <w:kern w:val="0"/>
                <w:sz w:val="24"/>
                <w:lang w:bidi="ar"/>
              </w:rPr>
              <w:t>10</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仿宋" w:cs="仿宋"/>
                <w:color w:val="000000" w:themeColor="text1"/>
                <w:kern w:val="0"/>
                <w:sz w:val="24"/>
                <w:lang w:bidi="ar"/>
              </w:rPr>
            </w:pPr>
            <w:r>
              <w:rPr>
                <w:rFonts w:eastAsia="仿宋" w:cs="仿宋" w:hint="eastAsia"/>
                <w:color w:val="000000" w:themeColor="text1"/>
                <w:kern w:val="0"/>
                <w:sz w:val="24"/>
                <w:lang w:bidi="ar"/>
              </w:rPr>
              <w:t>10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spacing w:line="600" w:lineRule="exact"/>
              <w:jc w:val="center"/>
              <w:textAlignment w:val="center"/>
              <w:rPr>
                <w:rFonts w:eastAsia="仿宋" w:cs="仿宋"/>
                <w:color w:val="FF0000"/>
                <w:kern w:val="0"/>
                <w:sz w:val="24"/>
                <w:lang w:bidi="ar"/>
              </w:rPr>
            </w:pPr>
            <w:r>
              <w:rPr>
                <w:rFonts w:eastAsia="仿宋" w:cs="仿宋" w:hint="eastAsia"/>
                <w:color w:val="000000" w:themeColor="text1"/>
                <w:kern w:val="0"/>
                <w:sz w:val="24"/>
                <w:lang w:bidi="ar"/>
              </w:rPr>
              <w:t>100%</w:t>
            </w:r>
          </w:p>
        </w:tc>
      </w:tr>
      <w:tr w:rsidR="00A47BDF">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方正仿宋_GBK" w:cs="方正仿宋_GBK"/>
                <w:color w:val="FF0000"/>
                <w:kern w:val="0"/>
                <w:sz w:val="24"/>
                <w:lang w:bidi="ar"/>
              </w:rPr>
            </w:pPr>
            <w:r>
              <w:rPr>
                <w:rFonts w:eastAsia="仿宋" w:cs="仿宋" w:hint="eastAsia"/>
                <w:color w:val="000000"/>
                <w:kern w:val="0"/>
                <w:sz w:val="24"/>
                <w:lang w:bidi="ar"/>
              </w:rPr>
              <w:t>新增矛盾纠纷事件件次数</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仿宋" w:cs="仿宋"/>
                <w:color w:val="000000" w:themeColor="text1"/>
                <w:kern w:val="0"/>
                <w:sz w:val="24"/>
                <w:lang w:bidi="ar"/>
              </w:rPr>
            </w:pPr>
            <w:r>
              <w:rPr>
                <w:rFonts w:eastAsia="仿宋" w:cs="仿宋" w:hint="eastAsia"/>
                <w:color w:val="000000" w:themeColor="text1"/>
                <w:kern w:val="0"/>
                <w:sz w:val="24"/>
                <w:lang w:bidi="ar"/>
              </w:rPr>
              <w:t>10</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仿宋" w:cs="仿宋"/>
                <w:color w:val="000000" w:themeColor="text1"/>
                <w:kern w:val="0"/>
                <w:sz w:val="24"/>
                <w:lang w:bidi="ar"/>
              </w:rPr>
            </w:pPr>
            <w:r>
              <w:rPr>
                <w:rFonts w:eastAsia="仿宋" w:cs="仿宋" w:hint="eastAsia"/>
                <w:color w:val="000000" w:themeColor="text1"/>
                <w:kern w:val="0"/>
                <w:sz w:val="24"/>
                <w:lang w:bidi="ar"/>
              </w:rPr>
              <w:t>10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spacing w:line="600" w:lineRule="exact"/>
              <w:jc w:val="center"/>
              <w:textAlignment w:val="center"/>
              <w:rPr>
                <w:rFonts w:eastAsia="仿宋" w:cs="仿宋"/>
                <w:color w:val="FF0000"/>
                <w:kern w:val="0"/>
                <w:sz w:val="24"/>
                <w:lang w:bidi="ar"/>
              </w:rPr>
            </w:pPr>
            <w:r>
              <w:rPr>
                <w:rFonts w:eastAsia="仿宋" w:cs="仿宋" w:hint="eastAsia"/>
                <w:color w:val="000000" w:themeColor="text1"/>
                <w:kern w:val="0"/>
                <w:sz w:val="24"/>
                <w:lang w:bidi="ar"/>
              </w:rPr>
              <w:t>100%</w:t>
            </w:r>
          </w:p>
        </w:tc>
      </w:tr>
      <w:tr w:rsidR="00A47BDF">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方正仿宋_GBK" w:cs="方正仿宋_GBK"/>
                <w:color w:val="FF0000"/>
                <w:kern w:val="0"/>
                <w:sz w:val="24"/>
                <w:lang w:bidi="ar"/>
              </w:rPr>
            </w:pPr>
            <w:r>
              <w:rPr>
                <w:rFonts w:eastAsia="仿宋" w:cs="仿宋" w:hint="eastAsia"/>
                <w:color w:val="000000"/>
                <w:kern w:val="0"/>
                <w:sz w:val="24"/>
                <w:lang w:bidi="ar"/>
              </w:rPr>
              <w:t>房屋拆除安全生产和扬尘污染事故发生件次数</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仿宋" w:cs="仿宋"/>
                <w:color w:val="000000" w:themeColor="text1"/>
                <w:kern w:val="0"/>
                <w:sz w:val="24"/>
                <w:lang w:bidi="ar"/>
              </w:rPr>
            </w:pPr>
            <w:r>
              <w:rPr>
                <w:rFonts w:eastAsia="仿宋" w:cs="仿宋" w:hint="eastAsia"/>
                <w:color w:val="000000" w:themeColor="text1"/>
                <w:kern w:val="0"/>
                <w:sz w:val="24"/>
                <w:lang w:bidi="ar"/>
              </w:rPr>
              <w:t>10</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仿宋" w:cs="仿宋"/>
                <w:color w:val="000000" w:themeColor="text1"/>
                <w:kern w:val="0"/>
                <w:sz w:val="24"/>
                <w:lang w:bidi="ar"/>
              </w:rPr>
            </w:pPr>
            <w:r>
              <w:rPr>
                <w:rFonts w:eastAsia="仿宋" w:cs="仿宋" w:hint="eastAsia"/>
                <w:color w:val="000000" w:themeColor="text1"/>
                <w:kern w:val="0"/>
                <w:sz w:val="24"/>
                <w:lang w:bidi="ar"/>
              </w:rPr>
              <w:t>10</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spacing w:line="600" w:lineRule="exact"/>
              <w:jc w:val="center"/>
              <w:textAlignment w:val="center"/>
              <w:rPr>
                <w:rFonts w:eastAsia="仿宋" w:cs="仿宋"/>
                <w:color w:val="FF0000"/>
                <w:kern w:val="0"/>
                <w:sz w:val="24"/>
                <w:lang w:bidi="ar"/>
              </w:rPr>
            </w:pPr>
            <w:r>
              <w:rPr>
                <w:rFonts w:eastAsia="仿宋" w:cs="仿宋" w:hint="eastAsia"/>
                <w:color w:val="000000" w:themeColor="text1"/>
                <w:kern w:val="0"/>
                <w:sz w:val="24"/>
                <w:lang w:bidi="ar"/>
              </w:rPr>
              <w:t>100%</w:t>
            </w:r>
          </w:p>
        </w:tc>
      </w:tr>
      <w:tr w:rsidR="00A47BDF">
        <w:trPr>
          <w:trHeight w:val="456"/>
          <w:jc w:val="center"/>
        </w:trPr>
        <w:tc>
          <w:tcPr>
            <w:tcW w:w="22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仿宋" w:cs="仿宋"/>
                <w:color w:val="000000"/>
                <w:kern w:val="0"/>
                <w:sz w:val="24"/>
                <w:lang w:bidi="ar"/>
              </w:rPr>
            </w:pPr>
            <w:r>
              <w:rPr>
                <w:rFonts w:eastAsia="仿宋" w:cs="仿宋" w:hint="eastAsia"/>
                <w:color w:val="000000"/>
                <w:kern w:val="0"/>
                <w:sz w:val="24"/>
                <w:lang w:bidi="ar"/>
              </w:rPr>
              <w:t>加快项目进度推进</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仿宋" w:cs="仿宋"/>
                <w:color w:val="000000" w:themeColor="text1"/>
                <w:kern w:val="0"/>
                <w:sz w:val="24"/>
                <w:lang w:bidi="ar"/>
              </w:rPr>
            </w:pPr>
            <w:r>
              <w:rPr>
                <w:rFonts w:eastAsia="仿宋" w:cs="仿宋" w:hint="eastAsia"/>
                <w:color w:val="000000" w:themeColor="text1"/>
                <w:kern w:val="0"/>
                <w:sz w:val="24"/>
                <w:lang w:bidi="ar"/>
              </w:rPr>
              <w:t>10</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jc w:val="center"/>
              <w:textAlignment w:val="center"/>
              <w:rPr>
                <w:rFonts w:eastAsia="仿宋" w:cs="仿宋"/>
                <w:color w:val="000000" w:themeColor="text1"/>
                <w:kern w:val="0"/>
                <w:sz w:val="24"/>
                <w:lang w:bidi="ar"/>
              </w:rPr>
            </w:pPr>
            <w:r>
              <w:rPr>
                <w:rFonts w:eastAsia="仿宋" w:cs="仿宋" w:hint="eastAsia"/>
                <w:color w:val="000000" w:themeColor="text1"/>
                <w:kern w:val="0"/>
                <w:sz w:val="24"/>
                <w:lang w:bidi="ar"/>
              </w:rPr>
              <w:t>8.89</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47BDF" w:rsidRDefault="004F79EF">
            <w:pPr>
              <w:widowControl/>
              <w:spacing w:line="600" w:lineRule="exact"/>
              <w:jc w:val="center"/>
              <w:textAlignment w:val="center"/>
              <w:rPr>
                <w:rFonts w:eastAsia="仿宋" w:cs="仿宋"/>
                <w:color w:val="000000" w:themeColor="text1"/>
                <w:kern w:val="0"/>
                <w:sz w:val="24"/>
                <w:lang w:bidi="ar"/>
              </w:rPr>
            </w:pPr>
            <w:r>
              <w:rPr>
                <w:rFonts w:eastAsia="仿宋" w:cs="仿宋" w:hint="eastAsia"/>
                <w:color w:val="000000" w:themeColor="text1"/>
                <w:kern w:val="0"/>
                <w:sz w:val="24"/>
                <w:lang w:bidi="ar"/>
              </w:rPr>
              <w:t>88.89%</w:t>
            </w:r>
          </w:p>
        </w:tc>
      </w:tr>
    </w:tbl>
    <w:p w:rsidR="00A47BDF" w:rsidRDefault="004F79EF">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1、相关人员政策宣传覆盖率分析</w:t>
      </w:r>
      <w:bookmarkEnd w:id="17"/>
    </w:p>
    <w:p w:rsidR="00A47BDF" w:rsidRDefault="004F79EF">
      <w:pPr>
        <w:spacing w:line="596" w:lineRule="exact"/>
        <w:ind w:firstLineChars="200" w:firstLine="640"/>
        <w:rPr>
          <w:rFonts w:eastAsia="方正仿宋_GBK" w:cs="方正仿宋_GBK"/>
        </w:rPr>
      </w:pPr>
      <w:r>
        <w:rPr>
          <w:rFonts w:eastAsia="方正仿宋_GBK" w:cs="方正仿宋_GBK" w:hint="eastAsia"/>
          <w:color w:val="000000" w:themeColor="text1"/>
          <w:sz w:val="32"/>
          <w:szCs w:val="32"/>
        </w:rPr>
        <w:t>区房屋征收中心对璧山区街镇从事相关工作的基层工作人员、社区干部、群众开展新征收政策的宣传工作，保障征收工作实施的街镇经办人员、被征收群体熟悉了解房屋征收新政策。根据评价标准，该指标得</w:t>
      </w:r>
      <w:r>
        <w:rPr>
          <w:rFonts w:eastAsia="方正仿宋_GBK" w:cs="方正仿宋_GBK" w:hint="eastAsia"/>
          <w:color w:val="000000" w:themeColor="text1"/>
          <w:sz w:val="32"/>
          <w:szCs w:val="32"/>
        </w:rPr>
        <w:t>100%</w:t>
      </w:r>
      <w:r>
        <w:rPr>
          <w:rFonts w:eastAsia="方正仿宋_GBK" w:cs="方正仿宋_GBK" w:hint="eastAsia"/>
          <w:color w:val="000000" w:themeColor="text1"/>
          <w:sz w:val="32"/>
          <w:szCs w:val="32"/>
        </w:rPr>
        <w:t>权重分。</w:t>
      </w:r>
    </w:p>
    <w:p w:rsidR="00A47BDF" w:rsidRDefault="004F79EF">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bookmarkStart w:id="18" w:name="_Toc15807"/>
      <w:r>
        <w:rPr>
          <w:rFonts w:ascii="方正仿宋_GBK" w:eastAsia="方正仿宋_GBK" w:hint="eastAsia"/>
          <w:color w:val="000000" w:themeColor="text1"/>
          <w:sz w:val="32"/>
          <w:szCs w:val="32"/>
        </w:rPr>
        <w:t>2、项目启动实施率分析</w:t>
      </w:r>
      <w:bookmarkEnd w:id="18"/>
    </w:p>
    <w:p w:rsidR="00A47BDF" w:rsidRDefault="004F79EF">
      <w:pPr>
        <w:spacing w:line="596" w:lineRule="exact"/>
        <w:ind w:firstLineChars="200" w:firstLine="640"/>
        <w:rPr>
          <w:rFonts w:eastAsia="方正仿宋_GBK" w:cs="方正仿宋_GBK"/>
          <w:color w:val="000000" w:themeColor="text1"/>
          <w:sz w:val="32"/>
          <w:szCs w:val="32"/>
        </w:rPr>
      </w:pPr>
      <w:r>
        <w:rPr>
          <w:rFonts w:eastAsia="方正仿宋_GBK" w:cs="方正仿宋_GBK" w:hint="eastAsia"/>
          <w:color w:val="000000" w:themeColor="text1"/>
          <w:sz w:val="32"/>
          <w:szCs w:val="32"/>
        </w:rPr>
        <w:t>根据市住建委每年年终下发关于编制征收计划的通知、国有土地上房屋征收补偿条例、征收项目，结合璧山区公益设施建设项目及城区建设更新进度，区房屋征收中心及时启动实施国有土地上房屋征收工作，保障房屋征收程序实施过程中的人力、物资</w:t>
      </w:r>
      <w:r>
        <w:rPr>
          <w:rFonts w:eastAsia="方正仿宋_GBK" w:cs="方正仿宋_GBK" w:hint="eastAsia"/>
          <w:color w:val="000000" w:themeColor="text1"/>
          <w:sz w:val="32"/>
          <w:szCs w:val="32"/>
        </w:rPr>
        <w:lastRenderedPageBreak/>
        <w:t>使用。根据评价标准，该指标得</w:t>
      </w:r>
      <w:r>
        <w:rPr>
          <w:rFonts w:eastAsia="方正仿宋_GBK" w:cs="方正仿宋_GBK" w:hint="eastAsia"/>
          <w:color w:val="000000" w:themeColor="text1"/>
          <w:sz w:val="32"/>
          <w:szCs w:val="32"/>
        </w:rPr>
        <w:t>100%</w:t>
      </w:r>
      <w:r>
        <w:rPr>
          <w:rFonts w:eastAsia="方正仿宋_GBK" w:cs="方正仿宋_GBK" w:hint="eastAsia"/>
          <w:color w:val="000000" w:themeColor="text1"/>
          <w:sz w:val="32"/>
          <w:szCs w:val="32"/>
        </w:rPr>
        <w:t>权重分。</w:t>
      </w:r>
    </w:p>
    <w:p w:rsidR="00A47BDF" w:rsidRDefault="004F79EF">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bookmarkStart w:id="19" w:name="_Toc21623"/>
      <w:r>
        <w:rPr>
          <w:rFonts w:ascii="方正仿宋_GBK" w:eastAsia="方正仿宋_GBK" w:hint="eastAsia"/>
          <w:color w:val="000000" w:themeColor="text1"/>
          <w:sz w:val="32"/>
          <w:szCs w:val="32"/>
        </w:rPr>
        <w:t>3、信访咨询解答率分析</w:t>
      </w:r>
    </w:p>
    <w:p w:rsidR="00A47BDF" w:rsidRDefault="004F79EF">
      <w:pPr>
        <w:spacing w:line="596" w:lineRule="exact"/>
        <w:ind w:firstLineChars="200" w:firstLine="640"/>
        <w:rPr>
          <w:rFonts w:eastAsia="方正仿宋_GBK" w:cs="方正仿宋_GBK"/>
          <w:color w:val="000000" w:themeColor="text1"/>
          <w:sz w:val="32"/>
          <w:szCs w:val="32"/>
        </w:rPr>
      </w:pPr>
      <w:r>
        <w:rPr>
          <w:rFonts w:eastAsia="方正仿宋_GBK" w:cs="方正仿宋_GBK" w:hint="eastAsia"/>
          <w:color w:val="000000" w:themeColor="text1"/>
          <w:sz w:val="32"/>
          <w:szCs w:val="32"/>
        </w:rPr>
        <w:t>及时掌握了解房屋征收及城市房屋拆迁遗留问题信访信息和信访人最新诉求，调查核实信访情况后，按规定及时处理信访问题，化解信访矛盾。区房屋征收中心</w:t>
      </w:r>
      <w:r>
        <w:rPr>
          <w:rFonts w:eastAsia="方正仿宋_GBK" w:cs="方正仿宋_GBK" w:hint="eastAsia"/>
          <w:color w:val="000000"/>
          <w:sz w:val="32"/>
          <w:szCs w:val="32"/>
        </w:rPr>
        <w:t>按规定对</w:t>
      </w:r>
      <w:r>
        <w:rPr>
          <w:rFonts w:eastAsia="方正仿宋_GBK" w:cs="方正仿宋_GBK" w:hint="eastAsia"/>
          <w:color w:val="000000"/>
          <w:sz w:val="32"/>
          <w:szCs w:val="32"/>
        </w:rPr>
        <w:t>4</w:t>
      </w:r>
      <w:r>
        <w:rPr>
          <w:rFonts w:eastAsia="方正仿宋_GBK" w:cs="方正仿宋_GBK" w:hint="eastAsia"/>
          <w:color w:val="000000"/>
          <w:sz w:val="32"/>
          <w:szCs w:val="32"/>
        </w:rPr>
        <w:t>件投诉信访案件进行了处理回复。处理了湖山印象三期信访事项，目前对信访人提出的诉求正在实施完成中。</w:t>
      </w:r>
      <w:r>
        <w:rPr>
          <w:rFonts w:eastAsia="方正仿宋_GBK" w:cs="方正仿宋_GBK" w:hint="eastAsia"/>
          <w:color w:val="000000" w:themeColor="text1"/>
          <w:sz w:val="32"/>
          <w:szCs w:val="32"/>
        </w:rPr>
        <w:t>根据评价标准，该指标得</w:t>
      </w:r>
      <w:r>
        <w:rPr>
          <w:rFonts w:eastAsia="方正仿宋_GBK" w:cs="方正仿宋_GBK" w:hint="eastAsia"/>
          <w:color w:val="000000" w:themeColor="text1"/>
          <w:sz w:val="32"/>
          <w:szCs w:val="32"/>
        </w:rPr>
        <w:t>100%</w:t>
      </w:r>
      <w:r>
        <w:rPr>
          <w:rFonts w:eastAsia="方正仿宋_GBK" w:cs="方正仿宋_GBK" w:hint="eastAsia"/>
          <w:color w:val="000000" w:themeColor="text1"/>
          <w:sz w:val="32"/>
          <w:szCs w:val="32"/>
        </w:rPr>
        <w:t>权重分。</w:t>
      </w:r>
    </w:p>
    <w:p w:rsidR="00A47BDF" w:rsidRDefault="004F79EF">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4、新增矛盾纠纷事件件次数分析</w:t>
      </w:r>
    </w:p>
    <w:p w:rsidR="00A47BDF" w:rsidRDefault="004F79EF">
      <w:pPr>
        <w:spacing w:line="596" w:lineRule="exact"/>
        <w:ind w:firstLineChars="200" w:firstLine="640"/>
        <w:rPr>
          <w:rFonts w:eastAsia="方正仿宋_GBK" w:cs="方正仿宋_GBK"/>
          <w:color w:val="000000" w:themeColor="text1"/>
          <w:sz w:val="32"/>
          <w:szCs w:val="32"/>
        </w:rPr>
      </w:pPr>
      <w:r>
        <w:rPr>
          <w:rFonts w:eastAsia="方正仿宋_GBK" w:cs="方正仿宋_GBK" w:hint="eastAsia"/>
          <w:color w:val="000000" w:themeColor="text1"/>
          <w:sz w:val="32"/>
          <w:szCs w:val="32"/>
        </w:rPr>
        <w:t>2022</w:t>
      </w:r>
      <w:r>
        <w:rPr>
          <w:rFonts w:eastAsia="方正仿宋_GBK" w:cs="方正仿宋_GBK" w:hint="eastAsia"/>
          <w:color w:val="000000" w:themeColor="text1"/>
          <w:sz w:val="32"/>
          <w:szCs w:val="32"/>
        </w:rPr>
        <w:t>年未新增因征收补偿发生的矛盾纠纷事件，有效地减少了社会矛盾。根据评价标准，该指标得</w:t>
      </w:r>
      <w:r>
        <w:rPr>
          <w:rFonts w:eastAsia="方正仿宋_GBK" w:cs="方正仿宋_GBK" w:hint="eastAsia"/>
          <w:color w:val="000000" w:themeColor="text1"/>
          <w:sz w:val="32"/>
          <w:szCs w:val="32"/>
        </w:rPr>
        <w:t>100%</w:t>
      </w:r>
      <w:r>
        <w:rPr>
          <w:rFonts w:eastAsia="方正仿宋_GBK" w:cs="方正仿宋_GBK" w:hint="eastAsia"/>
          <w:color w:val="000000" w:themeColor="text1"/>
          <w:sz w:val="32"/>
          <w:szCs w:val="32"/>
        </w:rPr>
        <w:t>权重分。</w:t>
      </w:r>
    </w:p>
    <w:p w:rsidR="00A47BDF" w:rsidRDefault="004F79EF">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5、房屋拆除安全生产和扬尘污染事故发生件次数分析</w:t>
      </w:r>
    </w:p>
    <w:p w:rsidR="00A47BDF" w:rsidRDefault="004F79EF">
      <w:pPr>
        <w:spacing w:line="596" w:lineRule="exact"/>
        <w:ind w:firstLineChars="200" w:firstLine="640"/>
        <w:rPr>
          <w:rFonts w:eastAsia="方正仿宋_GBK" w:cs="方正仿宋_GBK"/>
          <w:color w:val="000000" w:themeColor="text1"/>
          <w:sz w:val="32"/>
          <w:szCs w:val="32"/>
        </w:rPr>
      </w:pPr>
      <w:r>
        <w:rPr>
          <w:rFonts w:eastAsia="方正仿宋_GBK" w:cs="方正仿宋_GBK" w:hint="eastAsia"/>
          <w:color w:val="000000"/>
          <w:sz w:val="32"/>
          <w:szCs w:val="32"/>
        </w:rPr>
        <w:t>2022</w:t>
      </w:r>
      <w:r>
        <w:rPr>
          <w:rFonts w:eastAsia="方正仿宋_GBK" w:cs="方正仿宋_GBK" w:hint="eastAsia"/>
          <w:color w:val="000000"/>
          <w:sz w:val="32"/>
          <w:szCs w:val="32"/>
        </w:rPr>
        <w:t>年开展</w:t>
      </w:r>
      <w:r>
        <w:rPr>
          <w:rFonts w:eastAsia="方正仿宋_GBK" w:cs="方正仿宋_GBK" w:hint="eastAsia"/>
          <w:color w:val="000000"/>
          <w:sz w:val="32"/>
          <w:szCs w:val="32"/>
        </w:rPr>
        <w:t>5</w:t>
      </w:r>
      <w:r>
        <w:rPr>
          <w:rFonts w:eastAsia="方正仿宋_GBK" w:cs="方正仿宋_GBK" w:hint="eastAsia"/>
          <w:color w:val="000000"/>
          <w:sz w:val="32"/>
          <w:szCs w:val="32"/>
        </w:rPr>
        <w:t>次房屋拆除安全和扬尘控制工作，且全年未发生房屋拆除安全生产事故和扬尘污染事件。</w:t>
      </w:r>
      <w:r>
        <w:rPr>
          <w:rFonts w:eastAsia="方正仿宋_GBK" w:cs="方正仿宋_GBK" w:hint="eastAsia"/>
          <w:color w:val="000000" w:themeColor="text1"/>
          <w:sz w:val="32"/>
          <w:szCs w:val="32"/>
        </w:rPr>
        <w:t>根据评价标准，该指标得</w:t>
      </w:r>
      <w:r>
        <w:rPr>
          <w:rFonts w:eastAsia="方正仿宋_GBK" w:cs="方正仿宋_GBK" w:hint="eastAsia"/>
          <w:color w:val="000000" w:themeColor="text1"/>
          <w:sz w:val="32"/>
          <w:szCs w:val="32"/>
        </w:rPr>
        <w:t>100%</w:t>
      </w:r>
      <w:r>
        <w:rPr>
          <w:rFonts w:eastAsia="方正仿宋_GBK" w:cs="方正仿宋_GBK" w:hint="eastAsia"/>
          <w:color w:val="000000" w:themeColor="text1"/>
          <w:sz w:val="32"/>
          <w:szCs w:val="32"/>
        </w:rPr>
        <w:t>权重分。</w:t>
      </w:r>
    </w:p>
    <w:p w:rsidR="00A47BDF" w:rsidRDefault="004F79EF">
      <w:pPr>
        <w:widowControl/>
        <w:shd w:val="clear" w:color="auto" w:fill="FFFFFF"/>
        <w:adjustRightInd w:val="0"/>
        <w:snapToGrid w:val="0"/>
        <w:spacing w:line="56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6、加快推进项目进度分析</w:t>
      </w:r>
    </w:p>
    <w:p w:rsidR="00A47BDF" w:rsidRDefault="004F79EF">
      <w:pPr>
        <w:widowControl/>
        <w:shd w:val="clear" w:color="auto" w:fill="FFFFFF"/>
        <w:adjustRightInd w:val="0"/>
        <w:snapToGrid w:val="0"/>
        <w:spacing w:line="560" w:lineRule="exact"/>
        <w:ind w:firstLineChars="200" w:firstLine="640"/>
        <w:rPr>
          <w:rFonts w:eastAsia="方正仿宋_GBK"/>
          <w:color w:val="000000" w:themeColor="text1"/>
          <w:sz w:val="32"/>
          <w:szCs w:val="32"/>
        </w:rPr>
      </w:pPr>
      <w:r>
        <w:rPr>
          <w:rFonts w:eastAsia="方正仿宋_GBK" w:cs="方正仿宋_GBK" w:hint="eastAsia"/>
          <w:color w:val="000000" w:themeColor="text1"/>
          <w:sz w:val="32"/>
          <w:szCs w:val="32"/>
        </w:rPr>
        <w:t>由于财政和土地市场大环境的影响，</w:t>
      </w:r>
      <w:r>
        <w:rPr>
          <w:rFonts w:eastAsia="方正仿宋_GBK" w:cs="方正仿宋_GBK" w:hint="eastAsia"/>
          <w:color w:val="000000" w:themeColor="text1"/>
          <w:sz w:val="32"/>
          <w:szCs w:val="32"/>
        </w:rPr>
        <w:t>2022</w:t>
      </w:r>
      <w:r>
        <w:rPr>
          <w:rFonts w:eastAsia="方正仿宋_GBK" w:cs="方正仿宋_GBK" w:hint="eastAsia"/>
          <w:color w:val="000000" w:themeColor="text1"/>
          <w:sz w:val="32"/>
          <w:szCs w:val="32"/>
        </w:rPr>
        <w:t>年的房屋征收（收购）推进进度放缓。根据评价标准，该指标得</w:t>
      </w:r>
      <w:r>
        <w:rPr>
          <w:rFonts w:eastAsia="方正仿宋_GBK" w:cs="方正仿宋_GBK" w:hint="eastAsia"/>
          <w:color w:val="000000" w:themeColor="text1"/>
          <w:sz w:val="32"/>
          <w:szCs w:val="32"/>
        </w:rPr>
        <w:t>88.89%</w:t>
      </w:r>
      <w:r>
        <w:rPr>
          <w:rFonts w:eastAsia="方正仿宋_GBK" w:cs="方正仿宋_GBK" w:hint="eastAsia"/>
          <w:color w:val="000000" w:themeColor="text1"/>
          <w:sz w:val="32"/>
          <w:szCs w:val="32"/>
        </w:rPr>
        <w:t>权重分。</w:t>
      </w:r>
      <w:bookmarkEnd w:id="19"/>
    </w:p>
    <w:p w:rsidR="00A47BDF" w:rsidRDefault="004F79EF">
      <w:pPr>
        <w:spacing w:line="596" w:lineRule="exact"/>
        <w:ind w:firstLineChars="200" w:firstLine="640"/>
        <w:outlineLvl w:val="0"/>
        <w:rPr>
          <w:rFonts w:eastAsia="方正黑体_GBK"/>
          <w:sz w:val="32"/>
          <w:szCs w:val="32"/>
        </w:rPr>
      </w:pPr>
      <w:bookmarkStart w:id="20" w:name="_Toc21787"/>
      <w:bookmarkStart w:id="21" w:name="_Toc31954"/>
      <w:r>
        <w:rPr>
          <w:rFonts w:eastAsia="方正黑体_GBK" w:hint="eastAsia"/>
          <w:sz w:val="32"/>
          <w:szCs w:val="32"/>
        </w:rPr>
        <w:t>四</w:t>
      </w:r>
      <w:r>
        <w:rPr>
          <w:rFonts w:eastAsia="方正黑体_GBK"/>
          <w:sz w:val="32"/>
          <w:szCs w:val="32"/>
        </w:rPr>
        <w:t>、</w:t>
      </w:r>
      <w:r>
        <w:rPr>
          <w:rFonts w:eastAsia="方正黑体_GBK" w:hint="eastAsia"/>
          <w:sz w:val="32"/>
          <w:szCs w:val="32"/>
        </w:rPr>
        <w:t>需重点关注的问题</w:t>
      </w:r>
      <w:bookmarkEnd w:id="20"/>
      <w:bookmarkEnd w:id="21"/>
    </w:p>
    <w:p w:rsidR="00A47BDF" w:rsidRDefault="004F79EF">
      <w:pPr>
        <w:spacing w:line="560" w:lineRule="exact"/>
        <w:ind w:firstLineChars="200" w:firstLine="640"/>
        <w:rPr>
          <w:rFonts w:eastAsia="方正仿宋_GBK" w:cs="方正仿宋_GBK"/>
          <w:sz w:val="32"/>
          <w:szCs w:val="32"/>
        </w:rPr>
      </w:pPr>
      <w:bookmarkStart w:id="22" w:name="_Toc22579"/>
      <w:r>
        <w:rPr>
          <w:rFonts w:eastAsia="方正仿宋_GBK" w:cs="方正仿宋_GBK" w:hint="eastAsia"/>
          <w:sz w:val="32"/>
          <w:szCs w:val="32"/>
        </w:rPr>
        <w:t>1</w:t>
      </w:r>
      <w:r>
        <w:rPr>
          <w:rFonts w:eastAsia="方正仿宋_GBK" w:cs="方正仿宋_GBK" w:hint="eastAsia"/>
          <w:sz w:val="32"/>
          <w:szCs w:val="32"/>
        </w:rPr>
        <w:t>、项目进度推进工作有待加强</w:t>
      </w:r>
    </w:p>
    <w:p w:rsidR="00A47BDF" w:rsidRDefault="004F79EF">
      <w:pPr>
        <w:spacing w:line="560" w:lineRule="exact"/>
        <w:ind w:firstLineChars="200" w:firstLine="640"/>
        <w:rPr>
          <w:rFonts w:eastAsia="方正仿宋_GBK" w:cs="方正仿宋_GBK"/>
          <w:sz w:val="32"/>
          <w:szCs w:val="32"/>
        </w:rPr>
      </w:pPr>
      <w:r>
        <w:rPr>
          <w:rFonts w:eastAsia="方正仿宋_GBK" w:cs="方正仿宋_GBK" w:hint="eastAsia"/>
          <w:sz w:val="32"/>
          <w:szCs w:val="32"/>
        </w:rPr>
        <w:t>由于财政和土地市场大环境的影响，</w:t>
      </w:r>
      <w:r>
        <w:rPr>
          <w:rFonts w:eastAsia="方正仿宋_GBK" w:cs="方正仿宋_GBK" w:hint="eastAsia"/>
          <w:sz w:val="32"/>
          <w:szCs w:val="32"/>
        </w:rPr>
        <w:t>2022</w:t>
      </w:r>
      <w:r>
        <w:rPr>
          <w:rFonts w:eastAsia="方正仿宋_GBK" w:cs="方正仿宋_GBK" w:hint="eastAsia"/>
          <w:sz w:val="32"/>
          <w:szCs w:val="32"/>
        </w:rPr>
        <w:t>年的房屋征收（收购）推进进度放缓，区房屋征收中心除现存项目正常推进外，无新增房屋征收（收购）项目。</w:t>
      </w:r>
    </w:p>
    <w:p w:rsidR="00A47BDF" w:rsidRDefault="004F79EF">
      <w:pPr>
        <w:spacing w:line="596" w:lineRule="exact"/>
        <w:ind w:firstLineChars="200" w:firstLine="640"/>
        <w:outlineLvl w:val="0"/>
        <w:rPr>
          <w:rFonts w:eastAsia="方正黑体_GBK"/>
          <w:sz w:val="32"/>
          <w:szCs w:val="32"/>
        </w:rPr>
      </w:pPr>
      <w:bookmarkStart w:id="23" w:name="_Toc31475"/>
      <w:bookmarkStart w:id="24" w:name="_Toc11354"/>
      <w:bookmarkEnd w:id="22"/>
      <w:r>
        <w:rPr>
          <w:rFonts w:eastAsia="方正黑体_GBK" w:hint="eastAsia"/>
          <w:sz w:val="32"/>
          <w:szCs w:val="32"/>
        </w:rPr>
        <w:lastRenderedPageBreak/>
        <w:t>五、有关建议</w:t>
      </w:r>
      <w:bookmarkEnd w:id="23"/>
      <w:bookmarkEnd w:id="24"/>
    </w:p>
    <w:p w:rsidR="00A47BDF" w:rsidRDefault="004F79EF">
      <w:pPr>
        <w:spacing w:line="560" w:lineRule="exact"/>
        <w:ind w:firstLineChars="200" w:firstLine="640"/>
      </w:pPr>
      <w:r>
        <w:rPr>
          <w:rFonts w:eastAsia="方正仿宋_GBK" w:cs="方正仿宋_GBK" w:hint="eastAsia"/>
          <w:sz w:val="32"/>
          <w:szCs w:val="32"/>
        </w:rPr>
        <w:t>1</w:t>
      </w:r>
      <w:r>
        <w:rPr>
          <w:rFonts w:eastAsia="方正仿宋_GBK" w:cs="方正仿宋_GBK" w:hint="eastAsia"/>
          <w:sz w:val="32"/>
          <w:szCs w:val="32"/>
        </w:rPr>
        <w:t>、围绕璧山区重点项目建设需要，区房屋征收中心考虑到财政和土地市场大环境等问题，应加强与区规划自然资源局、区财政局、各街镇、建设项目组织实施单位等职能部门的密切配合，多方发力，精准施策，切实推进国有土地上房屋的征收（收购）工作，加快推进项目进度。</w:t>
      </w:r>
    </w:p>
    <w:sectPr w:rsidR="00A47BDF">
      <w:footerReference w:type="default" r:id="rId8"/>
      <w:pgSz w:w="11906" w:h="16838"/>
      <w:pgMar w:top="1588" w:right="1474" w:bottom="1588" w:left="1474"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B7" w:rsidRDefault="007A28B7">
      <w:r>
        <w:separator/>
      </w:r>
    </w:p>
  </w:endnote>
  <w:endnote w:type="continuationSeparator" w:id="0">
    <w:p w:rsidR="007A28B7" w:rsidRDefault="007A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BDF" w:rsidRDefault="004439A8">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A47BDF" w:rsidRDefault="004F79EF">
                <w:pPr>
                  <w:pStyle w:val="a4"/>
                </w:pPr>
                <w:r>
                  <w:fldChar w:fldCharType="begin"/>
                </w:r>
                <w:r>
                  <w:instrText xml:space="preserve"> PAGE  \* MERGEFORMAT </w:instrText>
                </w:r>
                <w:r>
                  <w:fldChar w:fldCharType="separate"/>
                </w:r>
                <w:r w:rsidR="004439A8">
                  <w:rPr>
                    <w:noProof/>
                  </w:rPr>
                  <w:t>5</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B7" w:rsidRDefault="007A28B7">
      <w:r>
        <w:separator/>
      </w:r>
    </w:p>
  </w:footnote>
  <w:footnote w:type="continuationSeparator" w:id="0">
    <w:p w:rsidR="007A28B7" w:rsidRDefault="007A2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IyOGE2NWI0MGM5YmZkY2ExYmM2ODlkMGRiYWEyNGYifQ=="/>
    <w:docVar w:name="KSO_WPS_MARK_KEY" w:val="00e543a2-18b1-43e5-b994-b394a15e0224"/>
  </w:docVars>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17D5E"/>
    <w:rsid w:val="00333D24"/>
    <w:rsid w:val="0034410B"/>
    <w:rsid w:val="003532F1"/>
    <w:rsid w:val="00357647"/>
    <w:rsid w:val="00365C0E"/>
    <w:rsid w:val="00381982"/>
    <w:rsid w:val="00381F5B"/>
    <w:rsid w:val="00384864"/>
    <w:rsid w:val="003B01B9"/>
    <w:rsid w:val="003E4915"/>
    <w:rsid w:val="003E75C4"/>
    <w:rsid w:val="00401B11"/>
    <w:rsid w:val="00422429"/>
    <w:rsid w:val="0043034C"/>
    <w:rsid w:val="004439A8"/>
    <w:rsid w:val="00443E03"/>
    <w:rsid w:val="00487348"/>
    <w:rsid w:val="00497B55"/>
    <w:rsid w:val="004C051C"/>
    <w:rsid w:val="004F79EF"/>
    <w:rsid w:val="00516F77"/>
    <w:rsid w:val="00547BAD"/>
    <w:rsid w:val="00550210"/>
    <w:rsid w:val="005516E1"/>
    <w:rsid w:val="0055280F"/>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9497F"/>
    <w:rsid w:val="007A28B7"/>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47BDF"/>
    <w:rsid w:val="00AC6237"/>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D86F5E"/>
    <w:rsid w:val="00E05A32"/>
    <w:rsid w:val="00E11CE4"/>
    <w:rsid w:val="00E225F8"/>
    <w:rsid w:val="00E25A0F"/>
    <w:rsid w:val="00E42BE7"/>
    <w:rsid w:val="00E55405"/>
    <w:rsid w:val="00E72086"/>
    <w:rsid w:val="00E91393"/>
    <w:rsid w:val="00EB0A75"/>
    <w:rsid w:val="00EF2A45"/>
    <w:rsid w:val="00F70C2E"/>
    <w:rsid w:val="00F9262E"/>
    <w:rsid w:val="00F93438"/>
    <w:rsid w:val="00FA41F0"/>
    <w:rsid w:val="00FD0041"/>
    <w:rsid w:val="00FE38F2"/>
    <w:rsid w:val="036B6BBE"/>
    <w:rsid w:val="08CA47FF"/>
    <w:rsid w:val="08FF2615"/>
    <w:rsid w:val="09475E50"/>
    <w:rsid w:val="0B144C26"/>
    <w:rsid w:val="0B8767EA"/>
    <w:rsid w:val="0BDD7AB9"/>
    <w:rsid w:val="0C7B586A"/>
    <w:rsid w:val="0E843BEA"/>
    <w:rsid w:val="0F760C6E"/>
    <w:rsid w:val="100F1541"/>
    <w:rsid w:val="11F706DC"/>
    <w:rsid w:val="12B207DE"/>
    <w:rsid w:val="137B21E9"/>
    <w:rsid w:val="13FA243C"/>
    <w:rsid w:val="149503B7"/>
    <w:rsid w:val="14BB749D"/>
    <w:rsid w:val="158140D9"/>
    <w:rsid w:val="16A56DF3"/>
    <w:rsid w:val="16A60DD8"/>
    <w:rsid w:val="17683267"/>
    <w:rsid w:val="17D82B4B"/>
    <w:rsid w:val="1B043BA1"/>
    <w:rsid w:val="1B0B4F2F"/>
    <w:rsid w:val="1D083242"/>
    <w:rsid w:val="1D2109B3"/>
    <w:rsid w:val="1D76400B"/>
    <w:rsid w:val="1DA57293"/>
    <w:rsid w:val="1E3457C1"/>
    <w:rsid w:val="1E39200E"/>
    <w:rsid w:val="1F301408"/>
    <w:rsid w:val="217B2EA2"/>
    <w:rsid w:val="21FE02AF"/>
    <w:rsid w:val="23977CA8"/>
    <w:rsid w:val="23DA5DE6"/>
    <w:rsid w:val="2778788F"/>
    <w:rsid w:val="2808162B"/>
    <w:rsid w:val="295650F4"/>
    <w:rsid w:val="2AFB1D28"/>
    <w:rsid w:val="2CFB144D"/>
    <w:rsid w:val="2D1F65F8"/>
    <w:rsid w:val="2E1A1DF7"/>
    <w:rsid w:val="2E482C13"/>
    <w:rsid w:val="2E837B4E"/>
    <w:rsid w:val="30605B09"/>
    <w:rsid w:val="31172428"/>
    <w:rsid w:val="322070BA"/>
    <w:rsid w:val="34E23F87"/>
    <w:rsid w:val="350619E7"/>
    <w:rsid w:val="35520842"/>
    <w:rsid w:val="365B680B"/>
    <w:rsid w:val="37C94D44"/>
    <w:rsid w:val="3A5B1529"/>
    <w:rsid w:val="3A9B19D4"/>
    <w:rsid w:val="3AC85F3C"/>
    <w:rsid w:val="3B3F1C66"/>
    <w:rsid w:val="3BA53C6C"/>
    <w:rsid w:val="3E925BB5"/>
    <w:rsid w:val="407A1F1C"/>
    <w:rsid w:val="412A3AB2"/>
    <w:rsid w:val="41495F2F"/>
    <w:rsid w:val="41F1236E"/>
    <w:rsid w:val="427C7112"/>
    <w:rsid w:val="4447497A"/>
    <w:rsid w:val="45066DEA"/>
    <w:rsid w:val="462C1A65"/>
    <w:rsid w:val="47B65015"/>
    <w:rsid w:val="480E00D7"/>
    <w:rsid w:val="481812DE"/>
    <w:rsid w:val="49164092"/>
    <w:rsid w:val="4A4A769D"/>
    <w:rsid w:val="4ABA0D1E"/>
    <w:rsid w:val="4D695962"/>
    <w:rsid w:val="4E8746E7"/>
    <w:rsid w:val="4FF26A8A"/>
    <w:rsid w:val="50C335DB"/>
    <w:rsid w:val="51332683"/>
    <w:rsid w:val="516A5418"/>
    <w:rsid w:val="519F4622"/>
    <w:rsid w:val="51BB78B1"/>
    <w:rsid w:val="532946DA"/>
    <w:rsid w:val="549147FF"/>
    <w:rsid w:val="55596E28"/>
    <w:rsid w:val="556F4103"/>
    <w:rsid w:val="558D0333"/>
    <w:rsid w:val="559C473D"/>
    <w:rsid w:val="55D949C5"/>
    <w:rsid w:val="577A40BC"/>
    <w:rsid w:val="57E82C17"/>
    <w:rsid w:val="580C3AB9"/>
    <w:rsid w:val="583D0117"/>
    <w:rsid w:val="5AC90DA7"/>
    <w:rsid w:val="5AD308BE"/>
    <w:rsid w:val="5AD90C28"/>
    <w:rsid w:val="5AE2630A"/>
    <w:rsid w:val="5B4F43E9"/>
    <w:rsid w:val="5B5F2152"/>
    <w:rsid w:val="5F302AFF"/>
    <w:rsid w:val="613E7625"/>
    <w:rsid w:val="61AC2E6E"/>
    <w:rsid w:val="65407FD2"/>
    <w:rsid w:val="65C23A09"/>
    <w:rsid w:val="665C7632"/>
    <w:rsid w:val="684E6F06"/>
    <w:rsid w:val="689A6BBB"/>
    <w:rsid w:val="694617D8"/>
    <w:rsid w:val="6946572A"/>
    <w:rsid w:val="697124DB"/>
    <w:rsid w:val="6AA40105"/>
    <w:rsid w:val="6BBA3D96"/>
    <w:rsid w:val="6C2A1A18"/>
    <w:rsid w:val="6C866D48"/>
    <w:rsid w:val="6EFF5473"/>
    <w:rsid w:val="6F463D00"/>
    <w:rsid w:val="6F631DB9"/>
    <w:rsid w:val="70FF3CCF"/>
    <w:rsid w:val="7134404F"/>
    <w:rsid w:val="72927CEC"/>
    <w:rsid w:val="74192A57"/>
    <w:rsid w:val="779353D8"/>
    <w:rsid w:val="792B29BB"/>
    <w:rsid w:val="79445CCF"/>
    <w:rsid w:val="7B7D0330"/>
    <w:rsid w:val="7CE05937"/>
    <w:rsid w:val="7D0B3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6"/>
    <w:qFormat/>
    <w:pPr>
      <w:widowControl w:val="0"/>
      <w:jc w:val="both"/>
    </w:pPr>
    <w:rPr>
      <w:kern w:val="2"/>
      <w:sz w:val="21"/>
      <w:szCs w:val="24"/>
    </w:rPr>
  </w:style>
  <w:style w:type="paragraph" w:styleId="6">
    <w:name w:val="heading 6"/>
    <w:basedOn w:val="a"/>
    <w:next w:val="a"/>
    <w:uiPriority w:val="9"/>
    <w:qFormat/>
    <w:pPr>
      <w:keepNext/>
      <w:keepLines/>
      <w:spacing w:before="240" w:after="64" w:line="320" w:lineRule="auto"/>
      <w:outlineLvl w:val="5"/>
    </w:pPr>
    <w:rPr>
      <w:rFonts w:ascii="Cambria" w:hAnsi="Cambria"/>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style>
  <w:style w:type="paragraph" w:styleId="2">
    <w:name w:val="toc 2"/>
    <w:basedOn w:val="a"/>
    <w:next w:val="a"/>
    <w:uiPriority w:val="39"/>
    <w:semiHidden/>
    <w:unhideWhenUsed/>
    <w:qFormat/>
    <w:pPr>
      <w:ind w:leftChars="200" w:left="420"/>
    </w:pPr>
  </w:style>
  <w:style w:type="paragraph" w:styleId="a6">
    <w:name w:val="Normal (Web)"/>
    <w:basedOn w:val="a"/>
    <w:uiPriority w:val="99"/>
    <w:semiHidden/>
    <w:unhideWhenUsed/>
    <w:pPr>
      <w:spacing w:beforeAutospacing="1" w:afterAutospacing="1"/>
      <w:jc w:val="left"/>
    </w:pPr>
    <w:rPr>
      <w:kern w:val="0"/>
      <w:sz w:val="24"/>
    </w:rPr>
  </w:style>
  <w:style w:type="paragraph" w:styleId="a7">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0"/>
    <w:link w:val="a5"/>
    <w:uiPriority w:val="99"/>
    <w:qFormat/>
    <w:rPr>
      <w:rFonts w:ascii="Times New Roman" w:eastAsia="宋体" w:hAnsi="Times New Roman" w:cs="Times New Roman"/>
      <w:sz w:val="18"/>
      <w:szCs w:val="18"/>
    </w:rPr>
  </w:style>
  <w:style w:type="character" w:customStyle="1" w:styleId="Char">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 w:type="paragraph" w:customStyle="1" w:styleId="WPSOffice1">
    <w:name w:val="WPSOffice手动目录 1"/>
  </w:style>
  <w:style w:type="paragraph" w:customStyle="1" w:styleId="WPSOffice2">
    <w:name w:val="WPSOffice手动目录 2"/>
    <w:pPr>
      <w:ind w:leftChars="200" w:left="200"/>
    </w:pPr>
  </w:style>
  <w:style w:type="paragraph" w:styleId="a9">
    <w:name w:val="Balloon Text"/>
    <w:basedOn w:val="a"/>
    <w:link w:val="Char1"/>
    <w:uiPriority w:val="99"/>
    <w:semiHidden/>
    <w:unhideWhenUsed/>
    <w:rsid w:val="00AC6237"/>
    <w:rPr>
      <w:sz w:val="18"/>
      <w:szCs w:val="18"/>
    </w:rPr>
  </w:style>
  <w:style w:type="character" w:customStyle="1" w:styleId="Char1">
    <w:name w:val="批注框文本 Char"/>
    <w:basedOn w:val="a0"/>
    <w:link w:val="a9"/>
    <w:uiPriority w:val="99"/>
    <w:semiHidden/>
    <w:rsid w:val="00AC623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9E4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422</Words>
  <Characters>2408</Characters>
  <Application>Microsoft Office Word</Application>
  <DocSecurity>0</DocSecurity>
  <Lines>20</Lines>
  <Paragraphs>5</Paragraphs>
  <ScaleCrop>false</ScaleCrop>
  <Company>微软中国</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zhangchenglin[张成林]</cp:lastModifiedBy>
  <cp:revision>67</cp:revision>
  <cp:lastPrinted>2023-09-11T07:32:00Z</cp:lastPrinted>
  <dcterms:created xsi:type="dcterms:W3CDTF">2020-04-20T08:58:00Z</dcterms:created>
  <dcterms:modified xsi:type="dcterms:W3CDTF">2023-09-18T02:33:00Z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ECB59C6144234ED6840E3DA4DDBBE844</vt:lpwstr>
  </property>
</Properties>
</file>