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交通运输事务中心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32"/>
        </w:rPr>
        <w:t>202</w:t>
      </w:r>
      <w:r>
        <w:rPr>
          <w:rFonts w:hint="eastAsia" w:eastAsia="方正小标宋_GBK"/>
          <w:sz w:val="44"/>
          <w:szCs w:val="32"/>
          <w:lang w:val="en-US" w:eastAsia="zh-CN"/>
        </w:rPr>
        <w:t>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default" w:ascii="Times New Roman" w:hAnsi="Times New Roman" w:eastAsia="方正楷体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重庆市璧山区交通运输事务中心承担道路运输、轨道交通运营、港口、航道、水路运输、地方海事、交通工程监理、质量检查等管理相关的事务性、技术性工作。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承担道路运输管理、轨道交通运营管理、水路运输管理、港口管理的事务性工作。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2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负责交通工程监理、质量检查等事务性工作。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3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承担道路运输从业人员、汽车租赁、道路运输站（场）、机动车维修、机动车驾驶员培训等相关业务管理的事务性工作。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4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承担地方航道管理的事务工作，负责航道设施的养护管理工作。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5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承担地方海事管理、船舶管理、防治船舶及相关水上设施污染管理、船舶载运危险货物及其他货物的安全监督、船员管理、通航管理等事务性工作。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6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承担船舶（含渔船）检验监督管理的事务工作及船舶技术服务工作。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7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承担道路运输行业、轨道交通运营行业安全、地方水上交通安全和应急管理的事务工作。参与行业安全事故调查。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8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承担重点物资、应急救援物资和人员、紧急客货运输和高峰客运组织的事务工作。承担道路、水路运输战备事务工作。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9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承担道路运输、水路运输行业和轨道交通运营安全服务质量考核和信用体系建设、道路运输和港航海事政务服务、行业统计的事务工作。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10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承担道路运输、水路运输行业和轨道交通运营的运行监测、生态环境保护和节能减排，以及智慧运输体系、信息化和数字化建设管理的事务工作。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11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承担交通规划的事务工作。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12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承担行业精神文明建设工作。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13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承办主管部门交办的其他事项。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本单位内部设置6个科室。1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办公室：履行办公室各项工作职责；承担运输行业精神文明建设工作；承担党建工作；劳资工作。2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财务科：承担财务各项工作。3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运输科：承担道路运输管理、轨道交通运营管理的事务性工作；承担汽车租赁、道路运输站（场）、公交、出租车等相关业务管理的事务性工作。4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驾培维修科：承担道路运输从业人员、机动车维修、机动车驾驶员培训等相关业务管理的事务性工作。5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安全科：承担水路运输管理、港口管理的事务性工作；承担地方航道管理的事务性工作，负责航道设施的养护管理工作。6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规划质量科：负责交通工程监督、质量检查等事务性工作；承担交通规划的事务工作。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420" w:firstLineChars="0"/>
        <w:textAlignment w:val="auto"/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预算及支出情况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2022年度年初预算支出为76500775.45元，全年调整预算数为：75695235.38元；实际发生支出为75695235.38元，其中基本支出占7297679.43元用于保障在职人员工资福利及社会保险缴费，离休人员离休费，退休人员补助等，保障单位正常运转的各项商品服务支出；项目支出占68397555.95元，主要用于CNG补贴、农客营运补贴、公交学生卡老年卡特殊卡等补贴等重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eastAsia="zh-CN"/>
        </w:rPr>
        <w:t>二、主要成效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对持有敬老卡、爱心卡、人才卡、学生卡、残疾人优惠卡的乘客刷卡乘坐公共客运、云巴产生的营运差额进行补贴，降低人民出行成本，满足人民群众出行需求。2022年对公交车的学生卡、敬老卡、爱心卡等刷卡补贴54836780.38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农村客运的保险及运营补贴，帮助企业降低营运压力，缓解城市道路压力，方便市民出行。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做好区内公交站亭（台）的新建及日常维修维护工作。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对璧山区杰航出租汽车有限公司49辆仿冒出租车车辆进行回收处置，解决了几年的遗留问题，已达到社会稳定。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完成其他主管部门交办的其他事项。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绩效评价情况及结论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年交通运输事务中心各项工作总体完成较好，全面完成年初绩效目标，自评总得分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97.75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。具体得分情况见表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2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304165</wp:posOffset>
            </wp:positionV>
            <wp:extent cx="5687060" cy="3166745"/>
            <wp:effectExtent l="0" t="0" r="8890" b="14605"/>
            <wp:wrapTopAndBottom/>
            <wp:docPr id="7" name="图片 7" descr="QQ截图202309181554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3091815542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预算执行率分析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按照年初设定绩效目标预算执行率不得低于95%，年初预算数为76500775.45元，全年调整数为75695235.38元，预算执行数为75695235.38元，预算执行率为100%，根据评价标准，该指标得100%权重分。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2022年根据文件要求财政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投入68397555.95元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对于各项目进行支出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，其中有54836780.38元用于对公交车的学生卡、敬老卡、爱心卡等刷卡补贴；有1761908.72元用于对营运农村客运的企业进行保险及营运补贴；有1084444.76元用于对CNG车辆的补贴；有60000元用于对运营璧大公交901的企业补贴；有21884元用于对区内公交站（亭）的信息变更；有3500元用于璧山区公路工程试验检测费用及地方高速公路质量检测费；有928195.11元用于农村客运、城市公交、出租车、水路客运成品油财政补贴；有542434.17元的市级专项经费严格按照文件要求进行开支；有25950.81元用于单位无编车辆的运行维护；有8740558元用于对出租汽车群体矛盾纠纷处置；有391900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用于公交软件的系统升级费。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预决算公开率分析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按照相关文件规定，单位预决算信息需严格按照要求进行公开，2022年按时完成了预决算公开，财政资金使用情况公开透明。根据评价标准，该指标得100%权重分。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补贴CNG数量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全年完成值1181037.43元，总量完成了年初设定绩效目标，根据评价标准，该指标得100%权重分。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firstLine="320" w:firstLineChars="1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农客营运补贴座位数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全年完成值745座，总量完成了年初设定绩效目标，根据评价标准，该指标得100%权重分。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农村客运保险购买车辆数量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全年完成值49辆，总量完成了年初设定绩效目标，根据评价标准，该指标得100%权重分。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资金预算控制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全年完成值75695235.38元，总量完成了年初设定绩效目标，根据评价标准，该指标得100%权重分。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各项项目支出数据的审核严格率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全年完成值100%，总量完成了年初设定绩效目标，根据评价标准，该指标得100%权重分。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群众出行方便度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2022年，市民对公交路线变更通知不及时，导致市民出行不便引发负面影响，根据评价标准，该指标得90%权重分。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服务对象满意度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2022年根据各文件精神要求对企业进行的财政补贴，让企业的经营负担有所减轻，使得相关运营企业的满意度有效提升。但是部分补贴未及时支付，根据评价标准，该指标得95%权重分。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企业营运能力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2022年本年度经过对各项公交刷卡补贴的支付，成品油、农村客运及CNG等补贴，提高了企业资金使用率，保障了基本营运能力。根据评价标准，该指标得95%权重分。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" w:leftChars="0" w:firstLine="567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通过对绩效目标的有效管控，增强了对资金的使用监管力度，减少了资金的浪费和不必要的支出，从而既节约了开支，有办好了应办的事。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" w:leftChars="0" w:firstLine="567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充分合理合规使用有效的项目经费，通过对相关交通工具运营企业的补贴，使群众切实感受到党和政府的关心关爱，达到了年初预算此项经费和工作开展的绩效目标。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3" w:leftChars="0" w:firstLine="567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通过对年初项目绩效目标管理的制定和预测，在过后的实施过程中做到了心中有数，工作有目标，经费支销合规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合理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合法。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五、存在的问题和建议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对于各项目的实际补贴数据的发生及对数据的审核、资金支付的审批时间过长，导致有些项目在2022年未能及时支付到位。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建议区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财政局多开展绩效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工作的培训，在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分享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业务知识的同时，多分享一些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实际案例；加快支付审批流程，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及时支付企业补贴、日常经费等。</w:t>
      </w:r>
    </w:p>
    <w:p>
      <w:pPr>
        <w:spacing w:line="596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4908"/>
    <w:multiLevelType w:val="singleLevel"/>
    <w:tmpl w:val="0851490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541B97"/>
    <w:multiLevelType w:val="singleLevel"/>
    <w:tmpl w:val="6F541B9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2RmMzYxNWEyYTc3M2U2MjgyM2NkMWU5OWRjZDc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2B93F8C"/>
    <w:rsid w:val="06E118D6"/>
    <w:rsid w:val="076C5C55"/>
    <w:rsid w:val="078438E0"/>
    <w:rsid w:val="07DA027B"/>
    <w:rsid w:val="09173EE8"/>
    <w:rsid w:val="0AC459AA"/>
    <w:rsid w:val="0E8776F2"/>
    <w:rsid w:val="12B42097"/>
    <w:rsid w:val="17103D25"/>
    <w:rsid w:val="185E1723"/>
    <w:rsid w:val="19C04430"/>
    <w:rsid w:val="1A15494C"/>
    <w:rsid w:val="1ABF7F3C"/>
    <w:rsid w:val="1CAC1B7D"/>
    <w:rsid w:val="218B5F14"/>
    <w:rsid w:val="2228724C"/>
    <w:rsid w:val="27BD4D05"/>
    <w:rsid w:val="2A877A35"/>
    <w:rsid w:val="2C064051"/>
    <w:rsid w:val="2C0A1682"/>
    <w:rsid w:val="2C1D3A98"/>
    <w:rsid w:val="2CB9711D"/>
    <w:rsid w:val="360A608D"/>
    <w:rsid w:val="371D19AD"/>
    <w:rsid w:val="3C933ED1"/>
    <w:rsid w:val="3CDC5ABE"/>
    <w:rsid w:val="49955F1C"/>
    <w:rsid w:val="4AE65BF8"/>
    <w:rsid w:val="4BA92044"/>
    <w:rsid w:val="4C7D5FC7"/>
    <w:rsid w:val="51765156"/>
    <w:rsid w:val="518510D7"/>
    <w:rsid w:val="521D7B93"/>
    <w:rsid w:val="57E448AF"/>
    <w:rsid w:val="58266D7C"/>
    <w:rsid w:val="58587B8F"/>
    <w:rsid w:val="59177AAF"/>
    <w:rsid w:val="60C906A1"/>
    <w:rsid w:val="615A7643"/>
    <w:rsid w:val="61E11BBA"/>
    <w:rsid w:val="66076D95"/>
    <w:rsid w:val="669453A6"/>
    <w:rsid w:val="696C260A"/>
    <w:rsid w:val="6C794A70"/>
    <w:rsid w:val="6DB01B8B"/>
    <w:rsid w:val="6E863382"/>
    <w:rsid w:val="751442EE"/>
    <w:rsid w:val="765C5F84"/>
    <w:rsid w:val="7AF83CFD"/>
    <w:rsid w:val="7BDD824E"/>
    <w:rsid w:val="FBCDA8BF"/>
    <w:rsid w:val="FDF0E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2554</Words>
  <Characters>2705</Characters>
  <Lines>1</Lines>
  <Paragraphs>1</Paragraphs>
  <TotalTime>10</TotalTime>
  <ScaleCrop>false</ScaleCrop>
  <LinksUpToDate>false</LinksUpToDate>
  <CharactersWithSpaces>2729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2020-04-21T08:58:00Z</dcterms:created>
  <dc:creator>Administrator</dc:creator>
  <cp:lastModifiedBy>suma</cp:lastModifiedBy>
  <cp:lastPrinted>2020-04-21T08:58:00Z</cp:lastPrinted>
  <dcterms:modified xsi:type="dcterms:W3CDTF">2023-09-18T16:47:17Z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93BD8C240AA543E5B09A1F6F79F16120</vt:lpwstr>
  </property>
</Properties>
</file>