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4" w:lineRule="exact"/>
        <w:jc w:val="both"/>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附件</w:t>
      </w:r>
      <w:r>
        <w:rPr>
          <w:rFonts w:hint="eastAsia" w:ascii="方正黑体_GBK" w:hAnsi="方正黑体_GBK" w:eastAsia="方正黑体_GBK" w:cs="方正黑体_GBK"/>
          <w:sz w:val="28"/>
          <w:szCs w:val="28"/>
          <w:lang w:val="en-US" w:eastAsia="zh-CN"/>
        </w:rPr>
        <w:t>3</w:t>
      </w:r>
    </w:p>
    <w:p>
      <w:pPr>
        <w:keepNext w:val="0"/>
        <w:keepLines w:val="0"/>
        <w:pageBreakBefore w:val="0"/>
        <w:kinsoku/>
        <w:wordWrap/>
        <w:overflowPunct/>
        <w:topLinePunct w:val="0"/>
        <w:bidi w:val="0"/>
        <w:spacing w:line="594" w:lineRule="exact"/>
        <w:jc w:val="center"/>
        <w:rPr>
          <w:rFonts w:hint="eastAsia" w:eastAsia="方正小标宋_GBK"/>
          <w:sz w:val="44"/>
          <w:szCs w:val="32"/>
        </w:rPr>
      </w:pPr>
    </w:p>
    <w:p>
      <w:pPr>
        <w:keepNext w:val="0"/>
        <w:keepLines w:val="0"/>
        <w:pageBreakBefore w:val="0"/>
        <w:kinsoku/>
        <w:wordWrap/>
        <w:overflowPunct/>
        <w:topLinePunct w:val="0"/>
        <w:bidi w:val="0"/>
        <w:spacing w:line="594" w:lineRule="exact"/>
        <w:jc w:val="center"/>
        <w:rPr>
          <w:rFonts w:eastAsia="方正小标宋_GBK"/>
          <w:sz w:val="44"/>
          <w:szCs w:val="32"/>
        </w:rPr>
      </w:pPr>
      <w:r>
        <w:rPr>
          <w:rFonts w:hint="eastAsia" w:eastAsia="方正小标宋_GBK"/>
          <w:sz w:val="44"/>
          <w:szCs w:val="32"/>
        </w:rPr>
        <w:t>重庆市璧山区城市管理局</w:t>
      </w:r>
    </w:p>
    <w:p>
      <w:pPr>
        <w:keepNext w:val="0"/>
        <w:keepLines w:val="0"/>
        <w:pageBreakBefore w:val="0"/>
        <w:kinsoku/>
        <w:wordWrap/>
        <w:overflowPunct/>
        <w:topLinePunct w:val="0"/>
        <w:bidi w:val="0"/>
        <w:spacing w:line="594" w:lineRule="exact"/>
        <w:jc w:val="center"/>
        <w:rPr>
          <w:rFonts w:eastAsia="方正小标宋_GBK"/>
          <w:sz w:val="44"/>
          <w:szCs w:val="32"/>
        </w:rPr>
      </w:pPr>
      <w:r>
        <w:rPr>
          <w:rFonts w:hint="eastAsia" w:eastAsia="方正小标宋_GBK"/>
          <w:sz w:val="44"/>
          <w:szCs w:val="32"/>
        </w:rPr>
        <w:t>2022年度整体支出绩效自评报告</w:t>
      </w:r>
    </w:p>
    <w:p>
      <w:pPr>
        <w:pStyle w:val="14"/>
        <w:keepNext w:val="0"/>
        <w:keepLines w:val="0"/>
        <w:pageBreakBefore w:val="0"/>
        <w:kinsoku/>
        <w:wordWrap/>
        <w:overflowPunct/>
        <w:topLinePunct w:val="0"/>
        <w:bidi w:val="0"/>
        <w:spacing w:line="594" w:lineRule="exact"/>
        <w:ind w:left="357" w:firstLine="640"/>
        <w:rPr>
          <w:rFonts w:eastAsia="方正仿宋_GBK"/>
          <w:sz w:val="32"/>
          <w:szCs w:val="32"/>
        </w:rPr>
      </w:pPr>
    </w:p>
    <w:p>
      <w:pPr>
        <w:keepNext w:val="0"/>
        <w:keepLines w:val="0"/>
        <w:pageBreakBefore w:val="0"/>
        <w:kinsoku/>
        <w:wordWrap/>
        <w:overflowPunct/>
        <w:topLinePunct w:val="0"/>
        <w:bidi w:val="0"/>
        <w:spacing w:line="594"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keepNext w:val="0"/>
        <w:keepLines w:val="0"/>
        <w:pageBreakBefore w:val="0"/>
        <w:kinsoku/>
        <w:wordWrap/>
        <w:overflowPunct/>
        <w:topLinePunct w:val="0"/>
        <w:bidi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（一）部门（单位）基本情况</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1、部门（单位）职级</w:t>
      </w:r>
    </w:p>
    <w:p>
      <w:pPr>
        <w:keepNext w:val="0"/>
        <w:keepLines w:val="0"/>
        <w:pageBreakBefore w:val="0"/>
        <w:kinsoku/>
        <w:wordWrap/>
        <w:overflowPunct/>
        <w:topLinePunct w:val="0"/>
        <w:bidi w:val="0"/>
        <w:spacing w:line="594" w:lineRule="exact"/>
        <w:ind w:firstLine="567"/>
        <w:rPr>
          <w:rFonts w:ascii="仿宋_GB2312" w:hAnsi="仿宋" w:eastAsia="仿宋_GB2312" w:cs="仿宋"/>
          <w:bCs/>
          <w:sz w:val="32"/>
          <w:szCs w:val="32"/>
        </w:rPr>
      </w:pPr>
      <w:r>
        <w:rPr>
          <w:rFonts w:hint="eastAsia" w:ascii="方正仿宋_GBK" w:hAnsi="方正仿宋_GBK" w:eastAsia="方正仿宋_GBK" w:cs="方正仿宋_GBK"/>
          <w:sz w:val="32"/>
          <w:szCs w:val="32"/>
        </w:rPr>
        <w:t>重庆市璧山区城市管理局</w:t>
      </w:r>
      <w:r>
        <w:rPr>
          <w:rFonts w:hint="eastAsia" w:ascii="仿宋_GB2312" w:hAnsi="仿宋" w:eastAsia="仿宋_GB2312" w:cs="仿宋"/>
          <w:bCs/>
          <w:sz w:val="32"/>
          <w:szCs w:val="32"/>
        </w:rPr>
        <w:t>是</w:t>
      </w:r>
      <w:r>
        <w:rPr>
          <w:rFonts w:hint="eastAsia" w:ascii="方正仿宋_GBK" w:hAnsi="方正仿宋_GBK" w:eastAsia="方正仿宋_GBK" w:cs="方正仿宋_GBK"/>
          <w:sz w:val="32"/>
          <w:szCs w:val="32"/>
        </w:rPr>
        <w:t>区政府工作部门</w:t>
      </w:r>
      <w:r>
        <w:rPr>
          <w:rFonts w:hint="eastAsia" w:ascii="仿宋_GB2312" w:hAnsi="仿宋" w:eastAsia="仿宋_GB2312" w:cs="仿宋"/>
          <w:bCs/>
          <w:spacing w:val="14"/>
          <w:sz w:val="32"/>
          <w:szCs w:val="32"/>
        </w:rPr>
        <w:t>，</w:t>
      </w:r>
      <w:r>
        <w:rPr>
          <w:rFonts w:hint="eastAsia" w:ascii="方正仿宋_GBK" w:hAnsi="方正仿宋_GBK" w:eastAsia="方正仿宋_GBK" w:cs="方正仿宋_GBK"/>
          <w:sz w:val="32"/>
          <w:szCs w:val="32"/>
        </w:rPr>
        <w:t>为正处级</w:t>
      </w:r>
      <w:r>
        <w:rPr>
          <w:rFonts w:hint="eastAsia" w:ascii="仿宋_GB2312" w:hAnsi="仿宋" w:eastAsia="仿宋_GB2312" w:cs="仿宋"/>
          <w:bCs/>
          <w:sz w:val="32"/>
          <w:szCs w:val="32"/>
        </w:rPr>
        <w:t>单位。</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2、内设机构及编制</w:t>
      </w:r>
    </w:p>
    <w:p>
      <w:pPr>
        <w:keepNext w:val="0"/>
        <w:keepLines w:val="0"/>
        <w:pageBreakBefore w:val="0"/>
        <w:kinsoku/>
        <w:wordWrap/>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重庆市璧山区城市管理局机关行政编制15名；设局长1名，副局长3名，科级领导职数9名（含行政审批科副科长1名）。</w:t>
      </w:r>
    </w:p>
    <w:p>
      <w:pPr>
        <w:keepNext w:val="0"/>
        <w:keepLines w:val="0"/>
        <w:pageBreakBefore w:val="0"/>
        <w:kinsoku/>
        <w:wordWrap/>
        <w:overflowPunct/>
        <w:topLinePunct w:val="0"/>
        <w:bidi w:val="0"/>
        <w:spacing w:line="594" w:lineRule="exact"/>
        <w:ind w:firstLine="640" w:firstLineChars="200"/>
        <w:rPr>
          <w:rFonts w:ascii="方正仿宋_GBK" w:hAnsi="方正仿宋_GBK" w:eastAsia="微软雅黑" w:cs="方正仿宋_GBK"/>
          <w:sz w:val="32"/>
          <w:szCs w:val="32"/>
        </w:rPr>
      </w:pPr>
      <w:r>
        <w:rPr>
          <w:rFonts w:hint="eastAsia" w:ascii="方正仿宋_GBK" w:hAnsi="方正仿宋_GBK" w:eastAsia="方正仿宋_GBK" w:cs="方正仿宋_GBK"/>
          <w:sz w:val="32"/>
          <w:szCs w:val="32"/>
        </w:rPr>
        <w:t>内设机构包括：办公室、财务科、市政设施管理科、法规科、安全督查科、行政审批科、停车规划监督科、市容环卫科。</w:t>
      </w:r>
    </w:p>
    <w:p>
      <w:pPr>
        <w:keepNext w:val="0"/>
        <w:keepLines w:val="0"/>
        <w:pageBreakBefore w:val="0"/>
        <w:kinsoku/>
        <w:wordWrap/>
        <w:overflowPunct/>
        <w:topLinePunct w:val="0"/>
        <w:bidi w:val="0"/>
        <w:spacing w:line="594" w:lineRule="exact"/>
        <w:ind w:firstLine="640" w:firstLineChars="200"/>
      </w:pPr>
      <w:r>
        <w:rPr>
          <w:rFonts w:hint="eastAsia" w:eastAsia="方正仿宋_GBK"/>
          <w:sz w:val="32"/>
          <w:szCs w:val="32"/>
        </w:rPr>
        <w:t>3、下属机构</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城市管理局下属机构包括：重庆市璧山区城市管理综合行政执法支队、重庆市璧山区园林绿化管理所、重庆市璧山区市政设施所、重庆市璧山区环境卫生管理所、重庆市璧山区智慧城市管理指挥中心。</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4、部门（单位）职能职责</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（1）宣传、贯彻执行国家和地方有关市政公用设施运行管理、市容环境卫生管理、园林绿化管理</w:t>
      </w:r>
      <w:r>
        <w:rPr>
          <w:rFonts w:hint="eastAsia" w:ascii="方正仿宋_GBK" w:hAnsi="方正仿宋_GBK" w:eastAsia="方正仿宋_GBK" w:cs="方正仿宋_GBK"/>
          <w:sz w:val="32"/>
          <w:szCs w:val="32"/>
        </w:rPr>
        <w:t>、城市管理执法等城市管理的法律、法规、规章和方针政策；统筹城市管理领域重大事项，负责拟订城市管理规划、计划并组织实施。</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（2）负责城市管理行业规范和技术标准体系建设的实施，负责区直管城市管理基础设施维护工</w:t>
      </w:r>
      <w:r>
        <w:rPr>
          <w:rFonts w:hint="eastAsia" w:ascii="方正仿宋_GBK" w:hAnsi="方正仿宋_GBK" w:eastAsia="方正仿宋_GBK" w:cs="方正仿宋_GBK"/>
          <w:sz w:val="32"/>
          <w:szCs w:val="32"/>
        </w:rPr>
        <w:t>程技术方案的审查；负责城市管理工作的组织协调、监督检查和考核评价。</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（3）根</w:t>
      </w:r>
      <w:r>
        <w:rPr>
          <w:rFonts w:hint="eastAsia" w:ascii="方正仿宋_GBK" w:hAnsi="方正仿宋_GBK" w:eastAsia="方正仿宋_GBK" w:cs="方正仿宋_GBK"/>
          <w:sz w:val="32"/>
          <w:szCs w:val="32"/>
        </w:rPr>
        <w:t>据区政府资金计划，会同有关部门编制市政基础设施维护、环境卫生、园林绿化、路灯灯饰、城市市容环境综合整治等城市管理工作的资金计划，并对资金使用实施监督管理。</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（4）负</w:t>
      </w:r>
      <w:r>
        <w:rPr>
          <w:rFonts w:hint="eastAsia" w:ascii="方正仿宋_GBK" w:hAnsi="方正仿宋_GBK" w:eastAsia="方正仿宋_GBK" w:cs="方正仿宋_GBK"/>
          <w:sz w:val="32"/>
          <w:szCs w:val="32"/>
        </w:rPr>
        <w:t>责城区道路、桥梁、隧道等设施的维护管理；负责市政基础设施占用、开挖、接沟等依法审批的行政管理工作。负责城市道路照明、景观照明等城市照明设施的维护和管理，按照规定权限负责路灯灯饰基础设施的建设任务。指导企业、社会单位灯饰建设。指导监督镇街市政设施维护管理。</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（5）负</w:t>
      </w:r>
      <w:r>
        <w:rPr>
          <w:rFonts w:hint="eastAsia" w:ascii="方正仿宋_GBK" w:hAnsi="方正仿宋_GBK" w:eastAsia="方正仿宋_GBK" w:cs="方正仿宋_GBK"/>
          <w:sz w:val="32"/>
          <w:szCs w:val="32"/>
        </w:rPr>
        <w:t>责全区行政区域内停车管理工作的指导协调和监督。负责辖区范围内公共停车位的规划，其他停车位规划的统筹；负责辖区范围内停车位的建设及使用的监督管理。</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（6）会</w:t>
      </w:r>
      <w:r>
        <w:rPr>
          <w:rFonts w:hint="eastAsia" w:ascii="方正仿宋_GBK" w:hAnsi="方正仿宋_GBK" w:eastAsia="方正仿宋_GBK" w:cs="方正仿宋_GBK"/>
          <w:sz w:val="32"/>
          <w:szCs w:val="32"/>
        </w:rPr>
        <w:t>同有关部门负责城区公共汽车站（点）、公共停车楼场（点）、机动车辆和非机动车辆临时停放点的行业规划和管理。会同有关部门编制城区机动车辆清洗场所的设置规划并负责管理。按照规定权限负责城区区域内非机动车的日常管理工作。</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（7）负</w:t>
      </w:r>
      <w:r>
        <w:rPr>
          <w:rFonts w:hint="eastAsia" w:ascii="方正仿宋_GBK" w:hAnsi="方正仿宋_GBK" w:eastAsia="方正仿宋_GBK" w:cs="方正仿宋_GBK"/>
          <w:sz w:val="32"/>
          <w:szCs w:val="32"/>
        </w:rPr>
        <w:t>责城区环境卫生管理。负责城区水域环境卫生管理。负责城市生活垃圾处置费征收管理和城市环境卫生设施管理。按照规定权限负责城区环境卫生基础设施的建设任务。负责城镇粪便处理设施安全的监督管理，负责生活垃圾分类管理工作。指导镇街环境卫生管理工作。</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（8）牵头组织开展城区市容环境综合整治；指导镇街市容环境综合整治工作。</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（9）指导监督城区户外广告、店招店牌设置管理工作。</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（10）负责城市生活垃圾、城市建筑垃圾、城市水域垃圾等处置的监督管理；负责城市生活垃圾经营性服务的监督。</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（11）负责农村生活垃圾治理的业务指导和监督管理。</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（12）组织编</w:t>
      </w:r>
      <w:r>
        <w:rPr>
          <w:rFonts w:hint="eastAsia" w:ascii="方正仿宋_GBK" w:hAnsi="方正仿宋_GBK" w:eastAsia="方正仿宋_GBK" w:cs="方正仿宋_GBK"/>
          <w:sz w:val="32"/>
          <w:szCs w:val="32"/>
        </w:rPr>
        <w:t>制区级绿地系统规划并组织实施，会同有关部门负责城市绿线的划定和监督管理工作；指导镇街绿地系统规划编制和实施工作、城市绿线划定和监督管理工作；依法负责建设项目绿化工程设计方案管理工作。</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13）负责全区园林绿化管理和城市公园行业管理；组织新建城市公园的验收和定级工作；组织开展城市义务植树活动；负责城市古树名木保护管理；指导监督城区公园应急避难场所的规划、建设、管理工作；会同有关部门做好国家公园的有关工作。</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（14）负责园林绿化行业市场管理；指导监督园林绿化工程招投标、定额、质量管理。</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15）负责授权范围内的城市管理综合行政执法工作和城市违法建筑执法工作，具体执法交由执法队伍承担，并以部门的名义统一执法；指导监督镇街城市管理综合行政执法工作。负责依法对户外公共场所食品销售、餐饮摊点无证经营和食品摊贩非法占道经营行为的查处工作。</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（16）负</w:t>
      </w:r>
      <w:r>
        <w:rPr>
          <w:rFonts w:hint="eastAsia" w:ascii="方正仿宋_GBK" w:hAnsi="方正仿宋_GBK" w:eastAsia="方正仿宋_GBK" w:cs="方正仿宋_GBK"/>
          <w:sz w:val="32"/>
          <w:szCs w:val="32"/>
        </w:rPr>
        <w:t>责城市管理行业安全生产工作的监督、管理和指导；负责城市管理行业应急管理、应对处置的组织、协调和指导。</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（17）负责城市管理的数字化、智慧化建设与运行的监管；开展城市管理行业人员培训。</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（18）负责城市规划建成区道路、桥梁、壁山隧道的养护和管理。</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（19）负责城市规划建成区水库在景观工程完成后，其水面清洁卫生、景观工程的维护管理和水岸水生植物的栽植管养、水上安全管理和水库水质维护。</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（20）完成区委和区政府交办的其他任务。</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（21）与有关部门职责分工</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①执法管理体制。城区由区城市管理主管部门直接管理执法（不包含璧城、璧泉街道的非城区部分），具体执法交由执法队伍承担；其余区域由区城市管理主管部门委托镇街执法，并实施监督。</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城区市政基础设施建设管理职责分工。属于高新区范围的，由璧山高新区管委会负责市政基础设施建设；属于绿岛新区范围的，由绿岛新区管委会负责市政基础设施建设；城区其他区域的市政基础设施（除园林绿化、路灯、环卫设施外）建设由区住房城乡建委负责，园林绿化、路灯、环卫设施建设由区城管局负责。城区窨井及窨井盖的日常管理，城区的市政基础设施的日常维护和管理，由区城管局负责。</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公共资源交易监督管理职责分工。区发展改革委负责牵头承担公共资源交易监督管理职责，负责统一对接市公共资源交易监督管理局；负责指导、协调和督促全区公共资源交易监督管理工作，其中，政府采购、国有产权交易、土地使用权和矿业权出让等公共资源交易活动的监督管理工作，仍分别由区财政局、区规划自然资源局承担。负责指导、协调和综合监督全区招标投标工作，对全区招标投标活动监督工作实施检查并督促整改，对无行业监督部门监督的招标投标活动实施监督。区经济信息委、区住房城乡建委、区城管局、区交通局、区水利局、区农业农村委、区商务委、区林业局等部门，按照规定，依法负责本行业工程建设项目招投标的监督管理。</w:t>
      </w:r>
    </w:p>
    <w:p>
      <w:pPr>
        <w:keepNext w:val="0"/>
        <w:keepLines w:val="0"/>
        <w:pageBreakBefore w:val="0"/>
        <w:kinsoku/>
        <w:wordWrap/>
        <w:overflowPunct/>
        <w:topLinePunct w:val="0"/>
        <w:bidi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（二）预算及支出情况</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2022年财政资金年初支出预算为17494.091692万元，年中调整预算为12090.231492万元，无上年结转，年末支出决算为12090.231492万元，无年末结转和结余。</w:t>
      </w:r>
    </w:p>
    <w:p>
      <w:pPr>
        <w:keepNext w:val="0"/>
        <w:keepLines w:val="0"/>
        <w:pageBreakBefore w:val="0"/>
        <w:kinsoku/>
        <w:wordWrap/>
        <w:overflowPunct/>
        <w:topLinePunct w:val="0"/>
        <w:bidi w:val="0"/>
        <w:spacing w:line="594" w:lineRule="exact"/>
        <w:ind w:firstLine="640" w:firstLineChars="200"/>
        <w:rPr>
          <w:rFonts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pPr>
        <w:keepNext w:val="0"/>
        <w:keepLines w:val="0"/>
        <w:pageBreakBefore w:val="0"/>
        <w:kinsoku/>
        <w:wordWrap/>
        <w:overflowPunct/>
        <w:topLinePunct w:val="0"/>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紧紧围绕“建设高质量发展样板区，打造高品质生活示范区”目标要求，始终把广大人民群众的根本利益放在心上、抓在手上，聚焦山清水秀成美、干净整洁有序、宜居宜业宜游，深入推进园林绿化建设、环境卫生管理、市政设施维护、市容秩序整治、智慧城管建设，各项工作取得较好成效，从以下五方面体现：</w:t>
      </w:r>
    </w:p>
    <w:p>
      <w:pPr>
        <w:keepNext w:val="0"/>
        <w:keepLines w:val="0"/>
        <w:pageBreakBefore w:val="0"/>
        <w:kinsoku/>
        <w:wordWrap/>
        <w:overflowPunct/>
        <w:topLinePunct w:val="0"/>
        <w:bidi w:val="0"/>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（一）聚焦山清水秀城美，园林绿化建设硕果累累。</w:t>
      </w:r>
      <w:r>
        <w:rPr>
          <w:rFonts w:hint="eastAsia" w:ascii="方正仿宋_GBK" w:hAnsi="方正仿宋_GBK" w:eastAsia="方正仿宋_GBK" w:cs="方正仿宋_GBK"/>
          <w:sz w:val="32"/>
          <w:szCs w:val="32"/>
        </w:rPr>
        <w:t>①稳步增加城市绿量。今年以来，新增城市绿地面</w:t>
      </w:r>
      <w:r>
        <w:rPr>
          <w:rFonts w:hint="default" w:ascii="Times New Roman" w:hAnsi="Times New Roman" w:eastAsia="方正仿宋_GBK" w:cs="Times New Roman"/>
          <w:sz w:val="32"/>
          <w:szCs w:val="32"/>
        </w:rPr>
        <w:t>积101.21万平方米</w:t>
      </w:r>
      <w:r>
        <w:rPr>
          <w:rFonts w:hint="eastAsia" w:ascii="方正仿宋_GBK" w:hAnsi="方正仿宋_GBK" w:eastAsia="方正仿宋_GBK" w:cs="方正仿宋_GBK"/>
          <w:sz w:val="32"/>
          <w:szCs w:val="32"/>
        </w:rPr>
        <w:t>。②持续打造“公园之城”。一是建设口袋公园；二是建设社区体育文化公园；三是推进城市公园更新提质。③持续推进增绿提质。一是改造“坡坎崖”；二是打造“山城绿道”；三是打造“山城花境”；四是开展补缺提质。</w:t>
      </w:r>
    </w:p>
    <w:p>
      <w:pPr>
        <w:keepNext w:val="0"/>
        <w:keepLines w:val="0"/>
        <w:pageBreakBefore w:val="0"/>
        <w:numPr>
          <w:ilvl w:val="0"/>
          <w:numId w:val="1"/>
        </w:numPr>
        <w:kinsoku/>
        <w:wordWrap/>
        <w:overflowPunct/>
        <w:topLinePunct w:val="0"/>
        <w:bidi w:val="0"/>
        <w:spacing w:line="594" w:lineRule="exact"/>
        <w:ind w:firstLine="60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0"/>
          <w:szCs w:val="30"/>
        </w:rPr>
        <w:t>聚焦干净整洁有序，环境卫生品质不断提高。①生活垃圾分类工作积极推进。一是开展宣传培训；二是做好分类示范片区建设；三是开展分类设施维护更新；四是开展“值桶”“净桶”“翻桶”工作。②道路清扫保洁质量稳步提升。一是合理调整清扫清洗作业时间和线路，提高作业规范标准；二是加强城区降尘作业，控制道路扬尘，助力打赢“蓝天保卫战”；三是不断提升机械设备作业水平，道路清扫和冲洗工作逐渐形成“机械洗扫为主，人工保洁为辅”的良好局面。③水域环境卫生质量逐步提高。</w:t>
      </w:r>
      <w:r>
        <w:rPr>
          <w:rFonts w:hint="eastAsia" w:ascii="方正仿宋_GBK" w:hAnsi="方正仿宋_GBK" w:eastAsia="方正仿宋_GBK" w:cs="方正仿宋_GBK"/>
          <w:sz w:val="32"/>
          <w:szCs w:val="32"/>
        </w:rPr>
        <w:t>年初与全</w:t>
      </w:r>
      <w:r>
        <w:rPr>
          <w:rFonts w:hint="default" w:ascii="Times New Roman" w:hAnsi="Times New Roman" w:eastAsia="方正仿宋_GBK" w:cs="Times New Roman"/>
          <w:sz w:val="32"/>
          <w:szCs w:val="32"/>
        </w:rPr>
        <w:t>区15个镇</w:t>
      </w:r>
      <w:r>
        <w:rPr>
          <w:rFonts w:hint="default" w:ascii="Times New Roman" w:hAnsi="Times New Roman" w:eastAsia="方正仿宋_GBK" w:cs="Times New Roman"/>
          <w:sz w:val="30"/>
          <w:szCs w:val="30"/>
        </w:rPr>
        <w:t>街</w:t>
      </w:r>
      <w:r>
        <w:rPr>
          <w:rFonts w:hint="eastAsia" w:ascii="方正仿宋_GBK" w:hAnsi="方正仿宋_GBK" w:eastAsia="方正仿宋_GBK" w:cs="方正仿宋_GBK"/>
          <w:sz w:val="30"/>
          <w:szCs w:val="30"/>
        </w:rPr>
        <w:t>及城区沿河两岸社会单位签订《重庆市城市水域环境卫生管理责任书》，落实水域环境卫生管理责任。④餐厨垃圾收运常态长效。对全区餐厨垃圾收运工作开展常态化监督管理，进一步完善设施设备和相关收运管理制度。⑤环卫硬件设施不断充实。</w:t>
      </w:r>
      <w:r>
        <w:rPr>
          <w:rFonts w:hint="default" w:ascii="Times New Roman" w:hAnsi="Times New Roman" w:eastAsia="方正仿宋_GBK" w:cs="Times New Roman"/>
          <w:sz w:val="32"/>
          <w:szCs w:val="32"/>
        </w:rPr>
        <w:t>一是新建公厕5座；二是改建公厕5座；三是生活垃圾分类厢房建设，2022年在全区15个镇街新增建成分类厢房108个。</w:t>
      </w:r>
    </w:p>
    <w:p>
      <w:pPr>
        <w:keepNext w:val="0"/>
        <w:keepLines w:val="0"/>
        <w:pageBreakBefore w:val="0"/>
        <w:numPr>
          <w:ilvl w:val="0"/>
          <w:numId w:val="1"/>
        </w:numPr>
        <w:kinsoku/>
        <w:wordWrap/>
        <w:overflowPunct/>
        <w:topLinePunct w:val="0"/>
        <w:bidi w:val="0"/>
        <w:spacing w:line="594"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聚焦城市品质提升，市政设施维护力度不减。①加强道路维护管理。加强城区人行道、车行道的日常巡查和维护管理，对人行道地砖松动、车行道凹凸不平处进行及时修复和处理。抓好排水设施维护。②为切实防止暴雨天气出现城市内涝，持续抓好城区排水设施维护管理。③着力打造“灯明景靓”。一是完成</w:t>
      </w:r>
      <w:r>
        <w:rPr>
          <w:rFonts w:hint="default" w:ascii="Times New Roman" w:hAnsi="Times New Roman" w:eastAsia="方正仿宋_GBK" w:cs="Times New Roman"/>
          <w:sz w:val="32"/>
          <w:szCs w:val="32"/>
        </w:rPr>
        <w:t>2022年</w:t>
      </w:r>
      <w:r>
        <w:rPr>
          <w:rFonts w:hint="eastAsia" w:ascii="方正仿宋_GBK" w:hAnsi="方正仿宋_GBK" w:eastAsia="方正仿宋_GBK" w:cs="方正仿宋_GBK"/>
          <w:sz w:val="32"/>
          <w:szCs w:val="32"/>
        </w:rPr>
        <w:t>春节迎春灯饰氛围营造；二是开展照明盲区整治；三是推进绿色照明改造。</w:t>
      </w:r>
    </w:p>
    <w:p>
      <w:pPr>
        <w:keepNext w:val="0"/>
        <w:keepLines w:val="0"/>
        <w:pageBreakBefore w:val="0"/>
        <w:numPr>
          <w:ilvl w:val="0"/>
          <w:numId w:val="1"/>
        </w:numPr>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聚焦城市秩序管控，市容环境面貌焕然一新。①对占道经营整治。对商圈、农贸市场、企业周边、主次干道以及背街小巷的占道经营、骑门摊、游摊进行宣传劝导，对违规占道行为进行查处。②户外广告整治。依法查处残缺、污损、空置或不符合有关技术标准和规范的户外广告设施。③渣土运输整治。在璧山隧道口、河边路口、福里树、水天池路口、黛山大道南</w:t>
      </w:r>
      <w:r>
        <w:rPr>
          <w:rFonts w:hint="eastAsia" w:ascii="Times New Roman" w:hAnsi="Times New Roman" w:eastAsia="方正仿宋_GBK" w:cs="Times New Roman"/>
          <w:sz w:val="32"/>
          <w:szCs w:val="32"/>
        </w:rPr>
        <w:t>5个重</w:t>
      </w:r>
      <w:r>
        <w:rPr>
          <w:rFonts w:hint="eastAsia" w:ascii="方正仿宋_GBK" w:hAnsi="方正仿宋_GBK" w:eastAsia="方正仿宋_GBK" w:cs="方正仿宋_GBK"/>
          <w:sz w:val="32"/>
          <w:szCs w:val="32"/>
        </w:rPr>
        <w:t>点路段设立渣车检查点。④违法建筑整治。坚持“全覆盖、零容忍”的鲜明态度和“即查即治、动态清零”的高压态势，加大违法建设治理力度。⑤停车秩序整治。移暂扣违规乱停放</w:t>
      </w:r>
      <w:r>
        <w:rPr>
          <w:rFonts w:hint="eastAsia" w:ascii="Times New Roman" w:hAnsi="Times New Roman" w:eastAsia="方正仿宋_GBK" w:cs="Times New Roman"/>
          <w:sz w:val="32"/>
          <w:szCs w:val="32"/>
        </w:rPr>
        <w:t>车辆8370辆，规范乱停放车辆15198辆，锁车5657辆，学习教育违停车辆驾驶员11659人。</w:t>
      </w:r>
    </w:p>
    <w:p>
      <w:pPr>
        <w:keepNext w:val="0"/>
        <w:keepLines w:val="0"/>
        <w:pageBreakBefore w:val="0"/>
        <w:kinsoku/>
        <w:wordWrap/>
        <w:overflowPunct/>
        <w:topLinePunct w:val="0"/>
        <w:bidi w:val="0"/>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（五）聚焦提升治理效能，智慧城管建设走深走实。一是提升数字城管系统平台治理效能；二是加速城市综合管理服务平台建设；三是纵深推进“马路办公”长效开展。</w:t>
      </w:r>
    </w:p>
    <w:p>
      <w:pPr>
        <w:keepNext w:val="0"/>
        <w:keepLines w:val="0"/>
        <w:pageBreakBefore w:val="0"/>
        <w:kinsoku/>
        <w:wordWrap/>
        <w:overflowPunct/>
        <w:topLinePunct w:val="0"/>
        <w:bidi w:val="0"/>
        <w:spacing w:line="594"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根据《重庆市璧山区城市管理局2022年度部门整体支出绩效自评表》中的指标体系分析情况，重庆市璧山区城市管理局2022年度部门整体支出绩效自评总得分99.41分，等级为“优”。具体得分情况如表1所示。</w:t>
      </w:r>
    </w:p>
    <w:p>
      <w:pPr>
        <w:keepNext w:val="0"/>
        <w:keepLines w:val="0"/>
        <w:pageBreakBefore w:val="0"/>
        <w:widowControl/>
        <w:shd w:val="clear" w:color="auto" w:fill="FFFFFF"/>
        <w:kinsoku/>
        <w:wordWrap/>
        <w:overflowPunct/>
        <w:topLinePunct w:val="0"/>
        <w:bidi w:val="0"/>
        <w:adjustRightInd w:val="0"/>
        <w:snapToGrid w:val="0"/>
        <w:spacing w:line="594" w:lineRule="exact"/>
        <w:ind w:firstLine="560" w:firstLineChars="200"/>
        <w:jc w:val="center"/>
        <w:rPr>
          <w:rFonts w:eastAsia="方正仿宋_GBK" w:cs="方正仿宋_GBK"/>
          <w:kern w:val="0"/>
          <w:sz w:val="28"/>
          <w:szCs w:val="28"/>
          <w:shd w:val="clear" w:color="auto" w:fill="FFFFFF"/>
        </w:rPr>
      </w:pPr>
      <w:r>
        <w:rPr>
          <w:rFonts w:hint="eastAsia" w:eastAsia="方正仿宋_GBK" w:cs="方正仿宋_GBK"/>
          <w:kern w:val="0"/>
          <w:sz w:val="28"/>
          <w:szCs w:val="28"/>
          <w:shd w:val="clear" w:color="auto" w:fill="FFFFFF"/>
        </w:rPr>
        <w:t>表1：指标得分情况</w:t>
      </w:r>
    </w:p>
    <w:tbl>
      <w:tblPr>
        <w:tblStyle w:val="9"/>
        <w:tblW w:w="4413" w:type="pct"/>
        <w:jc w:val="center"/>
        <w:tblLayout w:type="fixed"/>
        <w:tblCellMar>
          <w:top w:w="0" w:type="dxa"/>
          <w:left w:w="108" w:type="dxa"/>
          <w:bottom w:w="0" w:type="dxa"/>
          <w:right w:w="108" w:type="dxa"/>
        </w:tblCellMar>
      </w:tblPr>
      <w:tblGrid>
        <w:gridCol w:w="3724"/>
        <w:gridCol w:w="1457"/>
        <w:gridCol w:w="1457"/>
        <w:gridCol w:w="1459"/>
      </w:tblGrid>
      <w:tr>
        <w:tblPrEx>
          <w:tblCellMar>
            <w:top w:w="0" w:type="dxa"/>
            <w:left w:w="108" w:type="dxa"/>
            <w:bottom w:w="0" w:type="dxa"/>
            <w:right w:w="108" w:type="dxa"/>
          </w:tblCellMar>
        </w:tblPrEx>
        <w:trPr>
          <w:trHeight w:val="462"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eastAsia="方正仿宋_GBK" w:cs="方正仿宋_GBK"/>
                <w:sz w:val="24"/>
              </w:rPr>
            </w:pPr>
            <w:r>
              <w:rPr>
                <w:rFonts w:hint="eastAsia" w:eastAsia="方正仿宋_GBK" w:cs="方正仿宋_GBK"/>
                <w:kern w:val="0"/>
                <w:sz w:val="24"/>
                <w:lang w:bidi="ar"/>
              </w:rPr>
              <w:t>指标名称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eastAsia="方正仿宋_GBK" w:cs="方正仿宋_GBK"/>
                <w:sz w:val="24"/>
              </w:rPr>
            </w:pPr>
            <w:r>
              <w:rPr>
                <w:rFonts w:hint="eastAsia" w:eastAsia="方正仿宋_GBK" w:cs="方正仿宋_GBK"/>
                <w:kern w:val="0"/>
                <w:sz w:val="24"/>
                <w:lang w:bidi="ar"/>
              </w:rPr>
              <w:t>权重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eastAsia="方正仿宋_GBK" w:cs="方正仿宋_GBK"/>
                <w:sz w:val="24"/>
              </w:rPr>
            </w:pPr>
            <w:r>
              <w:rPr>
                <w:rFonts w:hint="eastAsia" w:eastAsia="方正仿宋_GBK" w:cs="方正仿宋_GBK"/>
                <w:kern w:val="0"/>
                <w:sz w:val="24"/>
                <w:lang w:bidi="ar"/>
              </w:rPr>
              <w:t>得分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得分率</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新增城市园林绿地面积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城市绿地保持率达到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维修人行道及车行道面积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市政设施完好率达到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实施景观照明及绿色照明改造</w:t>
            </w:r>
            <w:r>
              <w:rPr>
                <w:rFonts w:hint="default" w:ascii="Times New Roman" w:hAnsi="Times New Roman" w:eastAsia="方正仿宋_GBK" w:cs="Times New Roman"/>
                <w:kern w:val="0"/>
                <w:sz w:val="24"/>
                <w:lang w:bidi="ar"/>
              </w:rPr>
              <w:t>LED</w:t>
            </w:r>
            <w:r>
              <w:rPr>
                <w:rFonts w:hint="eastAsia" w:ascii="方正仿宋_GBK" w:hAnsi="方正仿宋_GBK" w:eastAsia="方正仿宋_GBK" w:cs="方正仿宋_GBK"/>
                <w:kern w:val="0"/>
                <w:sz w:val="24"/>
                <w:lang w:bidi="ar"/>
              </w:rPr>
              <w:t>灯具盏数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做好城市生活垃圾分类宣传提高全民知晓率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做好农村生活垃圾分类工作提高分类准确率及知晓率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4.41</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88.24%</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完善农村生活垃圾分类设施完好率达到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建设城市微客厅数量</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推进城市治理现代化</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r>
        <w:tblPrEx>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服务对象满意度</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lang w:bidi="ar"/>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94" w:lineRule="exact"/>
              <w:jc w:val="center"/>
              <w:textAlignment w:val="center"/>
              <w:rPr>
                <w:rFonts w:hint="default" w:ascii="Times New Roman" w:hAnsi="Times New Roman" w:eastAsia="仿宋" w:cs="Times New Roman"/>
                <w:kern w:val="0"/>
                <w:sz w:val="24"/>
                <w:lang w:bidi="ar"/>
              </w:rPr>
            </w:pPr>
            <w:r>
              <w:rPr>
                <w:rFonts w:hint="default" w:ascii="Times New Roman" w:hAnsi="Times New Roman" w:eastAsia="仿宋" w:cs="Times New Roman"/>
                <w:kern w:val="0"/>
                <w:sz w:val="24"/>
                <w:lang w:bidi="ar"/>
              </w:rPr>
              <w:t>100.00%</w:t>
            </w:r>
          </w:p>
        </w:tc>
      </w:tr>
    </w:tbl>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1、新增城市园林面积分析</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default" w:ascii="Times New Roman" w:hAnsi="Times New Roman" w:eastAsia="方正仿宋_GBK" w:cs="Times New Roman"/>
          <w:sz w:val="32"/>
          <w:szCs w:val="32"/>
        </w:rPr>
        <w:t>按照年初设定绩效目标需新增城市园林绿化面积40万平法米，实际今年以来，新增城市绿地面积101.21万平方米，超额完成绩效目标。根据评价标准，该指标得100%权重分。</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2、城市绿地保持率分析</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按照年初设定绩效目标保持城市绿地面积100%，2022年不仅保持以往绿地面积，还增加了101.21万平方米。根据评价标准，该指标得100%权重分。</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3、维修人行道及车行道分析</w:t>
      </w:r>
    </w:p>
    <w:p>
      <w:pPr>
        <w:keepNext w:val="0"/>
        <w:keepLines w:val="0"/>
        <w:pageBreakBefore w:val="0"/>
        <w:kinsoku/>
        <w:wordWrap/>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以来，加强了城区人行道、车行道的日常巡查和维护管理，对人行道地砖松动、车行道凹凸不平处进行及时修复和处理，完成车行道维修约4万平方米，人行道维修约3.53万平方米，盲道维修1029平方米，改造无障碍设施114处。根据评价标准，该指标得100%权重分。</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4、市政设施完好率分析</w:t>
      </w:r>
    </w:p>
    <w:p>
      <w:pPr>
        <w:keepNext w:val="0"/>
        <w:keepLines w:val="0"/>
        <w:pageBreakBefore w:val="0"/>
        <w:kinsoku/>
        <w:wordWrap/>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证区内市政设施完好，已完成维护更新人行道和车行道7.53万平方米，新建透水树圈2242个，更换井盖255套，更换水箅子842个，清掏水箅子1243个。市政设施损坏部分及时维修维护，保障市民安全出行。根据评价标准，该指标得100%权重分。</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5、实施景观照明及绿色照明改造LED灯具分析</w:t>
      </w:r>
    </w:p>
    <w:p>
      <w:pPr>
        <w:keepNext w:val="0"/>
        <w:keepLines w:val="0"/>
        <w:pageBreakBefore w:val="0"/>
        <w:kinsoku/>
        <w:wordWrap/>
        <w:overflowPunct/>
        <w:topLinePunct w:val="0"/>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两个方面实施景观照明及绿色照明改造，一是完成2022年春节迎春灯饰氛围营造，完成1个重要节点、2个城市出入口、3个主要广场、4条主干道、5个主要公园的迎春灯饰氛围营造，共搭设灯笼22000余个、灯饰小品16000余个、满天星180000余串、灯组200余组。二是开展照明盲区整治，在三角滩延伸段、和平小区、金山花园支巷、石山路等照明盲区新建改造及接管移交路灯531盏，在双星立交桥、香溪集、城北社区、双叉河公园微客厅安装路灯59盏，铺设线路2000余米。根据评价标准，该指标得100%权重分。</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6、做好城市生活垃圾分类宣传提高全民知晓率</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从四个方面做好垃圾分类宣传，一是开展宣传培训。积极发动分类指导员、社区网格员、小区党员和志愿者广泛参与，持续开展“敲门入户”行动，发放各</w:t>
      </w:r>
      <w:r>
        <w:rPr>
          <w:rFonts w:hint="default" w:ascii="Times New Roman" w:hAnsi="Times New Roman" w:eastAsia="方正仿宋_GBK" w:cs="Times New Roman"/>
          <w:sz w:val="32"/>
          <w:szCs w:val="32"/>
        </w:rPr>
        <w:t>类宣传资料3.8万</w:t>
      </w:r>
      <w:r>
        <w:rPr>
          <w:rFonts w:hint="eastAsia" w:ascii="方正仿宋_GBK" w:hAnsi="方正仿宋_GBK" w:eastAsia="方正仿宋_GBK" w:cs="方正仿宋_GBK"/>
          <w:sz w:val="32"/>
          <w:szCs w:val="32"/>
        </w:rPr>
        <w:t>份、分类宣传</w:t>
      </w:r>
      <w:r>
        <w:rPr>
          <w:rFonts w:hint="eastAsia" w:ascii="Times New Roman" w:hAnsi="Times New Roman" w:eastAsia="方正仿宋_GBK" w:cs="Times New Roman"/>
          <w:sz w:val="32"/>
          <w:szCs w:val="32"/>
        </w:rPr>
        <w:t>袋5600余个</w:t>
      </w:r>
      <w:r>
        <w:rPr>
          <w:rFonts w:hint="eastAsia" w:ascii="方正仿宋_GBK" w:hAnsi="方正仿宋_GBK" w:eastAsia="方正仿宋_GBK" w:cs="方正仿宋_GBK"/>
          <w:sz w:val="32"/>
          <w:szCs w:val="32"/>
        </w:rPr>
        <w:t>，我区生活垃圾分类工作先后被新华社、重庆新闻联播等正面报道。二是做好分类示范片区建设。建成区璧泉街道、璧城街道、青杠街道、来凤街道垃圾分类</w:t>
      </w:r>
      <w:r>
        <w:rPr>
          <w:rFonts w:hint="eastAsia" w:ascii="Times New Roman" w:hAnsi="Times New Roman" w:eastAsia="方正仿宋_GBK" w:cs="Times New Roman"/>
          <w:sz w:val="32"/>
          <w:szCs w:val="32"/>
        </w:rPr>
        <w:t>覆盖率实现100%，小区内有固定的垃圾分类宣传栏，居民垃圾分类知晓率达95%。</w:t>
      </w:r>
      <w:r>
        <w:rPr>
          <w:rFonts w:hint="eastAsia" w:ascii="方正仿宋_GBK" w:hAnsi="方正仿宋_GBK" w:eastAsia="方正仿宋_GBK" w:cs="方正仿宋_GBK"/>
          <w:sz w:val="32"/>
          <w:szCs w:val="32"/>
        </w:rPr>
        <w:t>三是开展分类设施维护更新。及时对辖区内分类垃圾桶、分类宣传标识进行排查和更换。四是开展“值桶”“净桶”“翻桶”工作。要求分类指导员们每天在投放高峰期开展桶边督导值守；要求清运人员严格按照“见桶底”的原则进行收运；要求分类指导员对分类不准确的垃圾桶进行二次分拣、翻桶，现目前运行效果良好。区内群众对垃圾分类的知晓率</w:t>
      </w:r>
      <w:r>
        <w:rPr>
          <w:rFonts w:hint="eastAsia" w:ascii="Times New Roman" w:hAnsi="Times New Roman" w:eastAsia="方正仿宋_GBK" w:cs="Times New Roman"/>
          <w:sz w:val="32"/>
          <w:szCs w:val="32"/>
        </w:rPr>
        <w:t>达到90%，完成年初绩效目标。根据评价标准，该指标得100%权重分。</w:t>
      </w:r>
    </w:p>
    <w:p>
      <w:pPr>
        <w:keepNext w:val="0"/>
        <w:keepLines w:val="0"/>
        <w:pageBreakBefore w:val="0"/>
        <w:kinsoku/>
        <w:wordWrap/>
        <w:overflowPunct/>
        <w:topLinePunct w:val="0"/>
        <w:bidi w:val="0"/>
        <w:spacing w:line="594"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、做好农村生活垃圾分类工作提高分类准确率及知晓率分析</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对巩固农村生活垃圾治理有明显成效，引导村民开展生活垃圾分类，提升村民垃圾分类意识，进一步提升人居环境，农村生活垃圾分类工作，分类准确率未达到绩效目标，知晓率</w:t>
      </w:r>
      <w:r>
        <w:rPr>
          <w:rFonts w:hint="eastAsia" w:ascii="Times New Roman" w:hAnsi="Times New Roman" w:eastAsia="方正仿宋_GBK" w:cs="Times New Roman"/>
          <w:sz w:val="32"/>
          <w:szCs w:val="32"/>
        </w:rPr>
        <w:t>达到90%，未达到年初既定绩效目标85%。根据评价标准，该指标得88.24%权重分。</w:t>
      </w:r>
    </w:p>
    <w:p>
      <w:pPr>
        <w:keepNext w:val="0"/>
        <w:keepLines w:val="0"/>
        <w:pageBreakBefore w:val="0"/>
        <w:kinsoku/>
        <w:wordWrap/>
        <w:overflowPunct/>
        <w:topLinePunct w:val="0"/>
        <w:bidi w:val="0"/>
        <w:spacing w:line="594"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8、完</w:t>
      </w:r>
      <w:r>
        <w:rPr>
          <w:rFonts w:hint="eastAsia" w:ascii="方正仿宋_GBK" w:hAnsi="方正仿宋_GBK" w:eastAsia="方正仿宋_GBK" w:cs="方正仿宋_GBK"/>
          <w:sz w:val="32"/>
          <w:szCs w:val="32"/>
        </w:rPr>
        <w:t>善农村生活垃圾分类设施完好率分析</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对农村生活垃圾分类设施宣传栏、分类桶等进行完善，对已破损设施设备进行维护，保障农村生活垃圾分类设施完好率达到</w:t>
      </w:r>
      <w:r>
        <w:rPr>
          <w:rFonts w:hint="eastAsia" w:ascii="Times New Roman" w:hAnsi="Times New Roman" w:eastAsia="方正仿宋_GBK" w:cs="Times New Roman"/>
          <w:sz w:val="32"/>
          <w:szCs w:val="32"/>
        </w:rPr>
        <w:t>95%，完成了年初既定绩效目标，保证了设施完好。根据评价标准，该指标得100%权重分。</w:t>
      </w:r>
    </w:p>
    <w:p>
      <w:pPr>
        <w:keepNext w:val="0"/>
        <w:keepLines w:val="0"/>
        <w:pageBreakBefore w:val="0"/>
        <w:kinsoku/>
        <w:wordWrap/>
        <w:overflowPunct/>
        <w:topLinePunct w:val="0"/>
        <w:bidi w:val="0"/>
        <w:spacing w:line="594"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建设城市微客厅分析</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为解决市民就近休闲的需要，新建城市“微客厅”利用城市“留白”处和公园空地安装各类休闲桌、凳、椅、直饮水等便民设施，提升城市品质，打造服务民生，让广大市民在家门口乐享城市“微客厅”，在双星立交桥、香溪集、城北社区、双叉河公</w:t>
      </w:r>
      <w:r>
        <w:rPr>
          <w:rFonts w:hint="eastAsia" w:ascii="Times New Roman" w:hAnsi="Times New Roman" w:eastAsia="方正仿宋_GBK" w:cs="Times New Roman"/>
          <w:sz w:val="32"/>
          <w:szCs w:val="32"/>
        </w:rPr>
        <w:t>园4个微客厅安装路灯59盏，铺设线路2000余米。根据评价标准，该指标得100%权重分。</w:t>
      </w:r>
    </w:p>
    <w:p>
      <w:pPr>
        <w:keepNext w:val="0"/>
        <w:keepLines w:val="0"/>
        <w:pageBreakBefore w:val="0"/>
        <w:kinsoku/>
        <w:wordWrap/>
        <w:overflowPunct/>
        <w:topLinePunct w:val="0"/>
        <w:bidi w:val="0"/>
        <w:spacing w:line="594"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推进城市治理现代化分析</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聚焦提升治理效能，智慧城管建设走深走实，提升数字城管系统平台治理效能。</w:t>
      </w:r>
      <w:r>
        <w:rPr>
          <w:rFonts w:hint="eastAsia" w:ascii="方正仿宋_GBK" w:hAnsi="方正仿宋_GBK" w:eastAsia="方正仿宋_GBK" w:cs="方正仿宋_GBK"/>
          <w:sz w:val="32"/>
          <w:szCs w:val="32"/>
        </w:rPr>
        <w:t>持</w:t>
      </w:r>
      <w:r>
        <w:rPr>
          <w:rFonts w:hint="eastAsia" w:ascii="Times New Roman" w:hAnsi="Times New Roman" w:eastAsia="方正仿宋_GBK" w:cs="Times New Roman"/>
          <w:sz w:val="32"/>
          <w:szCs w:val="32"/>
        </w:rPr>
        <w:t>续强化33.18平方公里、548个万米单元网格、5大类87小类共319996个城市部件、5大类65小类城市事件问题监测和管理。根据评价标准，该指标得100%权重分。</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11、服务对象满意度分析</w:t>
      </w:r>
    </w:p>
    <w:p>
      <w:pPr>
        <w:keepNext w:val="0"/>
        <w:keepLines w:val="0"/>
        <w:pageBreakBefore w:val="0"/>
        <w:kinsoku/>
        <w:wordWrap/>
        <w:overflowPunct/>
        <w:topLinePunct w:val="0"/>
        <w:bidi w:val="0"/>
        <w:spacing w:line="594"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根据调查，服务对象对城管建设工作表示满意，调查对象满意度</w:t>
      </w:r>
      <w:r>
        <w:rPr>
          <w:rFonts w:hint="eastAsia" w:ascii="Times New Roman" w:hAnsi="Times New Roman" w:eastAsia="方正仿宋_GBK" w:cs="Times New Roman"/>
          <w:sz w:val="32"/>
          <w:szCs w:val="32"/>
        </w:rPr>
        <w:t>为90%，达到了年初满意度不低于90%的目标。根据评价标准，该指标得100%权重分。</w:t>
      </w:r>
    </w:p>
    <w:p>
      <w:pPr>
        <w:keepNext w:val="0"/>
        <w:keepLines w:val="0"/>
        <w:pageBreakBefore w:val="0"/>
        <w:kinsoku/>
        <w:wordWrap/>
        <w:overflowPunct/>
        <w:topLinePunct w:val="0"/>
        <w:bidi w:val="0"/>
        <w:spacing w:line="594"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pStyle w:val="8"/>
        <w:keepNext w:val="0"/>
        <w:keepLines w:val="0"/>
        <w:pageBreakBefore w:val="0"/>
        <w:widowControl/>
        <w:shd w:val="clear" w:color="auto" w:fill="FFFFFF"/>
        <w:kinsoku/>
        <w:wordWrap/>
        <w:overflowPunct/>
        <w:topLinePunct w:val="0"/>
        <w:bidi w:val="0"/>
        <w:spacing w:beforeAutospacing="0" w:afterAutospacing="0" w:line="594" w:lineRule="exact"/>
        <w:ind w:left="638" w:leftChars="304"/>
        <w:jc w:val="both"/>
        <w:rPr>
          <w:rFonts w:ascii="方正仿宋_GBK" w:hAnsi="方正仿宋_GBK" w:eastAsia="方正仿宋_GBK" w:cs="方正仿宋_GBK"/>
          <w:bCs/>
          <w:kern w:val="2"/>
          <w:sz w:val="32"/>
          <w:szCs w:val="32"/>
        </w:rPr>
      </w:pPr>
      <w:r>
        <w:rPr>
          <w:rFonts w:hint="eastAsia" w:eastAsia="方正仿宋_GBK"/>
          <w:sz w:val="32"/>
          <w:szCs w:val="32"/>
        </w:rPr>
        <w:t>1、目标设置不严谨，绩效管理意识有待提高</w:t>
      </w:r>
    </w:p>
    <w:p>
      <w:pPr>
        <w:keepNext w:val="0"/>
        <w:keepLines w:val="0"/>
        <w:pageBreakBefore w:val="0"/>
        <w:widowControl/>
        <w:kinsoku/>
        <w:wordWrap/>
        <w:overflowPunct/>
        <w:topLinePunct w:val="0"/>
        <w:autoSpaceDE w:val="0"/>
        <w:autoSpaceDN w:val="0"/>
        <w:bidi w:val="0"/>
        <w:spacing w:line="594" w:lineRule="exact"/>
        <w:ind w:firstLine="640" w:firstLineChars="200"/>
      </w:pPr>
      <w:r>
        <w:rPr>
          <w:rFonts w:hint="eastAsia" w:eastAsia="方正仿宋_GBK"/>
          <w:sz w:val="32"/>
          <w:szCs w:val="32"/>
        </w:rPr>
        <w:t>做好农村生</w:t>
      </w:r>
      <w:bookmarkStart w:id="0" w:name="_GoBack"/>
      <w:r>
        <w:rPr>
          <w:rFonts w:hint="eastAsia" w:ascii="Times New Roman" w:hAnsi="Times New Roman" w:eastAsia="方正仿宋_GBK" w:cs="Times New Roman"/>
          <w:sz w:val="32"/>
          <w:szCs w:val="32"/>
        </w:rPr>
        <w:t>活垃圾分类工作提高分类准确率及知晓率在设置项目绩效目标时为85%，分类准</w:t>
      </w:r>
      <w:bookmarkEnd w:id="0"/>
      <w:r>
        <w:rPr>
          <w:rFonts w:hint="eastAsia" w:ascii="方正仿宋_GBK" w:hAnsi="方正仿宋_GBK" w:eastAsia="方正仿宋_GBK" w:cs="方正仿宋_GBK"/>
          <w:bCs/>
          <w:sz w:val="32"/>
          <w:szCs w:val="32"/>
        </w:rPr>
        <w:t>确率未达绩效目标，主要未考虑到外部影响，比如农村部分村民不识字等因素，导致垃圾分类工作准确率不够。</w:t>
      </w:r>
    </w:p>
    <w:p>
      <w:pPr>
        <w:keepNext w:val="0"/>
        <w:keepLines w:val="0"/>
        <w:pageBreakBefore w:val="0"/>
        <w:kinsoku/>
        <w:wordWrap/>
        <w:overflowPunct/>
        <w:topLinePunct w:val="0"/>
        <w:bidi w:val="0"/>
        <w:spacing w:line="594" w:lineRule="exact"/>
        <w:ind w:firstLine="640" w:firstLineChars="200"/>
        <w:rPr>
          <w:rFonts w:eastAsia="方正黑体_GBK"/>
          <w:sz w:val="32"/>
          <w:szCs w:val="32"/>
        </w:rPr>
      </w:pPr>
      <w:r>
        <w:rPr>
          <w:rFonts w:hint="eastAsia" w:eastAsia="方正黑体_GBK"/>
          <w:sz w:val="32"/>
          <w:szCs w:val="32"/>
        </w:rPr>
        <w:t>五、有关建议</w:t>
      </w:r>
    </w:p>
    <w:p>
      <w:pPr>
        <w:keepNext w:val="0"/>
        <w:keepLines w:val="0"/>
        <w:pageBreakBefore w:val="0"/>
        <w:kinsoku/>
        <w:wordWrap/>
        <w:overflowPunct/>
        <w:topLinePunct w:val="0"/>
        <w:bidi w:val="0"/>
        <w:spacing w:line="594" w:lineRule="exact"/>
        <w:ind w:firstLine="640" w:firstLineChars="200"/>
        <w:rPr>
          <w:rFonts w:eastAsia="方正仿宋_GBK"/>
          <w:sz w:val="32"/>
          <w:szCs w:val="32"/>
        </w:rPr>
      </w:pPr>
      <w:r>
        <w:rPr>
          <w:rFonts w:hint="eastAsia" w:eastAsia="方正仿宋_GBK"/>
          <w:sz w:val="32"/>
          <w:szCs w:val="32"/>
        </w:rPr>
        <w:t>逐渐</w:t>
      </w:r>
      <w:r>
        <w:rPr>
          <w:rFonts w:ascii="方正仿宋_GBK" w:hAnsi="方正仿宋_GBK" w:eastAsia="方正仿宋_GBK" w:cs="方正仿宋_GBK"/>
          <w:sz w:val="32"/>
          <w:szCs w:val="32"/>
        </w:rPr>
        <w:t>推进年内分类试点示范行政村的生活垃圾分类工作，将现有农村家庭厨余垃圾沤肥池和农业废弃物沤肥有效利用起来，鼓励农村可回收物和有害垃圾参与积分兑换，推行农村厨余垃圾就地沤肥处置，形成城乡统筹的生活垃圾分类制度</w:t>
      </w:r>
      <w:r>
        <w:rPr>
          <w:rFonts w:hint="eastAsia" w:eastAsia="方正仿宋_GBK"/>
          <w:sz w:val="32"/>
          <w:szCs w:val="32"/>
        </w:rPr>
        <w:t>。</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30EE5"/>
    <w:multiLevelType w:val="singleLevel"/>
    <w:tmpl w:val="09430EE5"/>
    <w:lvl w:ilvl="0" w:tentative="0">
      <w:start w:val="2"/>
      <w:numFmt w:val="chineseCounting"/>
      <w:suff w:val="nothing"/>
      <w:lvlText w:val="（%1）"/>
      <w:lvlJc w:val="left"/>
      <w:rPr>
        <w:rFonts w:hint="eastAsia" w:ascii="仿宋" w:hAnsi="仿宋" w:eastAsia="仿宋" w:cs="仿宋"/>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OWJmNWQ0YmM5YjA3NjZiMzhlODhjMDM1NDQ5YTU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5902"/>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12023"/>
    <w:rsid w:val="00F70C2E"/>
    <w:rsid w:val="00F9262E"/>
    <w:rsid w:val="00F93438"/>
    <w:rsid w:val="00FA41F0"/>
    <w:rsid w:val="00FD0041"/>
    <w:rsid w:val="00FE38F2"/>
    <w:rsid w:val="072B2228"/>
    <w:rsid w:val="0BDD7AB9"/>
    <w:rsid w:val="0C7B586A"/>
    <w:rsid w:val="12B207DE"/>
    <w:rsid w:val="137B21E9"/>
    <w:rsid w:val="1D68638F"/>
    <w:rsid w:val="24076056"/>
    <w:rsid w:val="246D6AF2"/>
    <w:rsid w:val="3E0E427A"/>
    <w:rsid w:val="4D0A2BAA"/>
    <w:rsid w:val="532946DA"/>
    <w:rsid w:val="55596E28"/>
    <w:rsid w:val="592A1303"/>
    <w:rsid w:val="5A1B63BF"/>
    <w:rsid w:val="61B56F70"/>
    <w:rsid w:val="68A60090"/>
    <w:rsid w:val="7BCEB8A1"/>
    <w:rsid w:val="7DC5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qFormat/>
    <w:uiPriority w:val="0"/>
  </w:style>
  <w:style w:type="paragraph" w:customStyle="1" w:styleId="5">
    <w:name w:val="正文文本缩进1"/>
    <w:basedOn w:val="1"/>
    <w:qFormat/>
    <w:uiPriority w:val="0"/>
    <w:pPr>
      <w:ind w:firstLine="200" w:firstLine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1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921</Words>
  <Characters>5252</Characters>
  <Lines>43</Lines>
  <Paragraphs>12</Paragraphs>
  <TotalTime>76</TotalTime>
  <ScaleCrop>false</ScaleCrop>
  <LinksUpToDate>false</LinksUpToDate>
  <CharactersWithSpaces>6161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2020-04-20T16:58:00Z</dcterms:created>
  <dc:creator>Administrator</dc:creator>
  <cp:lastModifiedBy>suma</cp:lastModifiedBy>
  <cp:lastPrinted>2020-04-20T16:58:00Z</cp:lastPrinted>
  <dcterms:modified xsi:type="dcterms:W3CDTF">2023-09-13T09:23:31Z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ECB59C6144234ED6840E3DA4DDBBE844</vt:lpwstr>
  </property>
</Properties>
</file>