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outlineLvl w:val="9"/>
        <w:rPr>
          <w:rFonts w:hint="eastAsia" w:ascii="方正仿宋_GBK" w:hAnsi="方正仿宋_GBK" w:eastAsia="方正仿宋_GBK" w:cs="方正仿宋_GBK"/>
          <w:sz w:val="28"/>
          <w:szCs w:val="36"/>
        </w:rPr>
      </w:pPr>
      <w:bookmarkStart w:id="0" w:name="_Toc5414"/>
      <w:r>
        <w:rPr>
          <w:rFonts w:hint="eastAsia" w:ascii="方正仿宋_GBK" w:hAnsi="方正仿宋_GBK" w:eastAsia="方正仿宋_GBK" w:cs="方正仿宋_GBK"/>
          <w:sz w:val="28"/>
          <w:szCs w:val="36"/>
        </w:rPr>
        <w:t>附件4</w:t>
      </w:r>
      <w:bookmarkEnd w:id="0"/>
    </w:p>
    <w:p>
      <w:pPr>
        <w:jc w:val="center"/>
        <w:rPr>
          <w:rFonts w:hint="eastAsia" w:eastAsia="方正小标宋_GBK" w:cs="方正小标宋_GBK"/>
          <w:sz w:val="44"/>
          <w:szCs w:val="44"/>
        </w:rPr>
      </w:pPr>
    </w:p>
    <w:p>
      <w:pPr>
        <w:jc w:val="center"/>
        <w:rPr>
          <w:rFonts w:hint="eastAsia" w:eastAsia="方正小标宋_GBK" w:cs="方正小标宋_GBK"/>
          <w:sz w:val="44"/>
          <w:szCs w:val="44"/>
        </w:rPr>
      </w:pPr>
    </w:p>
    <w:p>
      <w:pPr>
        <w:jc w:val="center"/>
        <w:rPr>
          <w:rFonts w:hint="eastAsia" w:eastAsia="方正小标宋_GBK" w:cs="方正小标宋_GBK"/>
          <w:sz w:val="44"/>
          <w:szCs w:val="44"/>
        </w:rPr>
      </w:pPr>
    </w:p>
    <w:p>
      <w:pPr>
        <w:jc w:val="center"/>
        <w:rPr>
          <w:rFonts w:hint="eastAsia" w:eastAsia="方正小标宋_GBK" w:cs="方正小标宋_GBK"/>
          <w:sz w:val="44"/>
          <w:szCs w:val="44"/>
        </w:rPr>
      </w:pPr>
    </w:p>
    <w:p>
      <w:pPr>
        <w:jc w:val="center"/>
        <w:rPr>
          <w:rFonts w:hint="eastAsia" w:eastAsia="方正小标宋_GBK" w:cs="方正小标宋_GBK"/>
          <w:sz w:val="44"/>
          <w:szCs w:val="44"/>
        </w:rPr>
      </w:pPr>
    </w:p>
    <w:p>
      <w:pPr>
        <w:jc w:val="center"/>
        <w:rPr>
          <w:rFonts w:hint="eastAsia" w:eastAsia="方正小标宋_GBK" w:cs="方正小标宋_GBK"/>
          <w:sz w:val="44"/>
          <w:szCs w:val="44"/>
        </w:rPr>
      </w:pPr>
    </w:p>
    <w:p>
      <w:pPr>
        <w:jc w:val="center"/>
        <w:rPr>
          <w:rFonts w:hint="eastAsia" w:eastAsia="方正小标宋_GBK" w:cs="方正小标宋_GBK"/>
          <w:sz w:val="44"/>
          <w:szCs w:val="44"/>
        </w:rPr>
      </w:pPr>
      <w:r>
        <w:rPr>
          <w:rFonts w:hint="eastAsia" w:eastAsia="方正小标宋_GBK" w:cs="方正小标宋_GBK"/>
          <w:sz w:val="44"/>
          <w:szCs w:val="44"/>
        </w:rPr>
        <w:t>重庆市璧山区智慧城市管理指挥中心</w:t>
      </w:r>
    </w:p>
    <w:p>
      <w:pPr>
        <w:jc w:val="center"/>
        <w:rPr>
          <w:rFonts w:hint="eastAsia" w:eastAsia="方正小标宋_GBK" w:cs="方正小标宋_GBK"/>
          <w:sz w:val="44"/>
          <w:szCs w:val="44"/>
        </w:rPr>
      </w:pPr>
      <w:r>
        <w:rPr>
          <w:rFonts w:hint="eastAsia" w:eastAsia="方正小标宋_GBK" w:cs="方正小标宋_GBK"/>
          <w:sz w:val="44"/>
          <w:szCs w:val="44"/>
        </w:rPr>
        <w:t>2022年度整体支出绩效自评报告</w:t>
      </w:r>
    </w:p>
    <w:p>
      <w:pPr>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br w:type="page"/>
      </w:r>
    </w:p>
    <w:sdt>
      <w:sdtPr>
        <w:rPr>
          <w:rFonts w:ascii="Times New Roman" w:hAnsi="Times New Roman" w:eastAsia="宋体" w:cs="Times New Roman"/>
          <w:kern w:val="2"/>
          <w:sz w:val="21"/>
          <w:szCs w:val="24"/>
          <w:lang w:val="en-US" w:eastAsia="zh-CN" w:bidi="ar-SA"/>
        </w:rPr>
        <w:id w:val="147483292"/>
        <w15:color w:val="DBDBDB"/>
        <w:docPartObj>
          <w:docPartGallery w:val="Table of Contents"/>
          <w:docPartUnique/>
        </w:docPartObj>
      </w:sdtPr>
      <w:sdtEndPr>
        <w:rPr>
          <w:rFonts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rPr>
          </w:pPr>
          <w:r>
            <w:rPr>
              <w:rFonts w:hint="eastAsia" w:ascii="Times New Roman" w:hAnsi="Times New Roman" w:eastAsia="方正小标宋_GBK" w:cs="方正小标宋_GBK"/>
              <w:sz w:val="32"/>
              <w:szCs w:val="32"/>
            </w:rPr>
            <w:t>目</w:t>
          </w:r>
          <w:r>
            <w:rPr>
              <w:rFonts w:hint="eastAsia" w:ascii="Times New Roman" w:hAnsi="Times New Roman" w:eastAsia="方正小标宋_GBK" w:cs="方正小标宋_GBK"/>
              <w:sz w:val="32"/>
              <w:szCs w:val="32"/>
              <w:lang w:val="en-US" w:eastAsia="zh-CN"/>
            </w:rPr>
            <w:t xml:space="preserve">  </w:t>
          </w:r>
          <w:r>
            <w:rPr>
              <w:rFonts w:hint="eastAsia" w:ascii="Times New Roman" w:hAnsi="Times New Roman" w:eastAsia="方正小标宋_GBK" w:cs="方正小标宋_GBK"/>
              <w:sz w:val="32"/>
              <w:szCs w:val="32"/>
            </w:rPr>
            <w:t>录</w:t>
          </w:r>
        </w:p>
        <w:p>
          <w:pPr>
            <w:pStyle w:val="7"/>
            <w:tabs>
              <w:tab w:val="right" w:leader="dot" w:pos="8958"/>
            </w:tabs>
            <w:rPr>
              <w:rFonts w:hint="eastAsia" w:ascii="方正仿宋_GBK" w:hAnsi="方正仿宋_GBK" w:eastAsia="方正仿宋_GBK" w:cs="方正仿宋_GBK"/>
              <w:sz w:val="28"/>
              <w:szCs w:val="36"/>
            </w:rPr>
          </w:pPr>
          <w:r>
            <w:rPr>
              <w:rFonts w:ascii="Times New Roman" w:hAnsi="Times New Roman"/>
            </w:rPr>
            <w:fldChar w:fldCharType="begin"/>
          </w:r>
          <w:r>
            <w:rPr>
              <w:rFonts w:ascii="Times New Roman" w:hAnsi="Times New Roman"/>
            </w:rPr>
            <w:instrText xml:space="preserve">TOC \o "1-3" \h \u </w:instrText>
          </w:r>
          <w:r>
            <w:rPr>
              <w:rFonts w:ascii="Times New Roman" w:hAnsi="Times New Roman"/>
            </w:rPr>
            <w:fldChar w:fldCharType="separate"/>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_Toc27988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kern w:val="2"/>
              <w:sz w:val="28"/>
              <w:szCs w:val="44"/>
              <w:lang w:val="en-US" w:eastAsia="zh-CN" w:bidi="ar-SA"/>
            </w:rPr>
            <w:t>一、基本情况</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_Toc27988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1</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pStyle w:val="8"/>
            <w:tabs>
              <w:tab w:val="right" w:leader="dot" w:pos="8958"/>
            </w:tabs>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_Toc28875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44"/>
            </w:rPr>
            <w:t>（一）部门（单位）基本情况</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_Toc28875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1</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pStyle w:val="4"/>
            <w:tabs>
              <w:tab w:val="right" w:leader="dot" w:pos="8958"/>
            </w:tabs>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_Toc24238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44"/>
            </w:rPr>
            <w:t>1、部门（单位）职级</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_Toc24238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1</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pStyle w:val="4"/>
            <w:tabs>
              <w:tab w:val="right" w:leader="dot" w:pos="8958"/>
            </w:tabs>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_Toc9443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44"/>
            </w:rPr>
            <w:t>2、内设机构及编制</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_Toc9443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1</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pStyle w:val="4"/>
            <w:tabs>
              <w:tab w:val="right" w:leader="dot" w:pos="8958"/>
            </w:tabs>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_Toc30877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44"/>
              <w:lang w:val="en-US" w:eastAsia="zh-CN"/>
            </w:rPr>
            <w:t>3、</w:t>
          </w:r>
          <w:r>
            <w:rPr>
              <w:rFonts w:hint="eastAsia" w:ascii="方正仿宋_GBK" w:hAnsi="方正仿宋_GBK" w:eastAsia="方正仿宋_GBK" w:cs="方正仿宋_GBK"/>
              <w:sz w:val="28"/>
              <w:szCs w:val="44"/>
            </w:rPr>
            <w:t>职能职责</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_Toc30877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1</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pStyle w:val="8"/>
            <w:tabs>
              <w:tab w:val="right" w:leader="dot" w:pos="8958"/>
            </w:tabs>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_Toc18578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44"/>
            </w:rPr>
            <w:t>（二）预算及支出情况</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_Toc18578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2</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pStyle w:val="7"/>
            <w:tabs>
              <w:tab w:val="right" w:leader="dot" w:pos="8958"/>
            </w:tabs>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_Toc31930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bCs w:val="0"/>
              <w:kern w:val="2"/>
              <w:sz w:val="28"/>
              <w:szCs w:val="44"/>
              <w:lang w:val="en-US" w:eastAsia="zh-CN" w:bidi="ar-SA"/>
            </w:rPr>
            <w:t>二、主要成效</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_Toc31930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2</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pStyle w:val="7"/>
            <w:tabs>
              <w:tab w:val="right" w:leader="dot" w:pos="8958"/>
            </w:tabs>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_Toc9176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44"/>
            </w:rPr>
            <w:t>三、绩效评价情况及结论</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_Toc9176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3</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pStyle w:val="7"/>
            <w:tabs>
              <w:tab w:val="right" w:leader="dot" w:pos="8958"/>
            </w:tabs>
            <w:rPr>
              <w:rFonts w:hint="eastAsia" w:ascii="方正仿宋_GBK" w:hAnsi="方正仿宋_GBK" w:eastAsia="方正仿宋_GBK" w:cs="方正仿宋_GBK"/>
              <w:sz w:val="28"/>
              <w:szCs w:val="36"/>
            </w:rPr>
          </w:pP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_Toc5289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44"/>
            </w:rPr>
            <w:t>四、需重点关注的问题</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_Toc5289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6</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pStyle w:val="7"/>
            <w:tabs>
              <w:tab w:val="right" w:leader="dot" w:pos="8958"/>
            </w:tabs>
          </w:pP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HYPERLINK \l _Toc15593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44"/>
            </w:rPr>
            <w:t>五、有关建议</w:t>
          </w:r>
          <w:r>
            <w:rPr>
              <w:rFonts w:hint="eastAsia" w:ascii="方正仿宋_GBK" w:hAnsi="方正仿宋_GBK" w:eastAsia="方正仿宋_GBK" w:cs="方正仿宋_GBK"/>
              <w:sz w:val="28"/>
              <w:szCs w:val="36"/>
            </w:rPr>
            <w:tab/>
          </w:r>
          <w:r>
            <w:rPr>
              <w:rFonts w:hint="eastAsia" w:ascii="方正仿宋_GBK" w:hAnsi="方正仿宋_GBK" w:eastAsia="方正仿宋_GBK" w:cs="方正仿宋_GBK"/>
              <w:sz w:val="28"/>
              <w:szCs w:val="36"/>
            </w:rPr>
            <w:fldChar w:fldCharType="begin"/>
          </w:r>
          <w:r>
            <w:rPr>
              <w:rFonts w:hint="eastAsia" w:ascii="方正仿宋_GBK" w:hAnsi="方正仿宋_GBK" w:eastAsia="方正仿宋_GBK" w:cs="方正仿宋_GBK"/>
              <w:sz w:val="28"/>
              <w:szCs w:val="36"/>
            </w:rPr>
            <w:instrText xml:space="preserve"> PAGEREF _Toc15593 \h </w:instrText>
          </w:r>
          <w:r>
            <w:rPr>
              <w:rFonts w:hint="eastAsia" w:ascii="方正仿宋_GBK" w:hAnsi="方正仿宋_GBK" w:eastAsia="方正仿宋_GBK" w:cs="方正仿宋_GBK"/>
              <w:sz w:val="28"/>
              <w:szCs w:val="36"/>
            </w:rPr>
            <w:fldChar w:fldCharType="separate"/>
          </w:r>
          <w:r>
            <w:rPr>
              <w:rFonts w:hint="eastAsia" w:ascii="方正仿宋_GBK" w:hAnsi="方正仿宋_GBK" w:eastAsia="方正仿宋_GBK" w:cs="方正仿宋_GBK"/>
              <w:sz w:val="28"/>
              <w:szCs w:val="36"/>
            </w:rPr>
            <w:t>6</w:t>
          </w:r>
          <w:r>
            <w:rPr>
              <w:rFonts w:hint="eastAsia" w:ascii="方正仿宋_GBK" w:hAnsi="方正仿宋_GBK" w:eastAsia="方正仿宋_GBK" w:cs="方正仿宋_GBK"/>
              <w:sz w:val="28"/>
              <w:szCs w:val="36"/>
            </w:rPr>
            <w:fldChar w:fldCharType="end"/>
          </w:r>
          <w:r>
            <w:rPr>
              <w:rFonts w:hint="eastAsia" w:ascii="方正仿宋_GBK" w:hAnsi="方正仿宋_GBK" w:eastAsia="方正仿宋_GBK" w:cs="方正仿宋_GBK"/>
              <w:sz w:val="28"/>
              <w:szCs w:val="36"/>
            </w:rPr>
            <w:fldChar w:fldCharType="end"/>
          </w:r>
        </w:p>
        <w:p>
          <w:pPr>
            <w:rPr>
              <w:rFonts w:ascii="Times New Roman" w:hAnsi="Times New Roman" w:eastAsia="宋体" w:cs="Times New Roman"/>
              <w:kern w:val="2"/>
              <w:sz w:val="21"/>
              <w:szCs w:val="24"/>
              <w:lang w:val="en-US" w:eastAsia="zh-CN" w:bidi="ar-SA"/>
            </w:rPr>
          </w:pPr>
          <w:r>
            <w:rPr>
              <w:rFonts w:ascii="Times New Roman" w:hAnsi="Times New Roman"/>
            </w:rPr>
            <w:fldChar w:fldCharType="end"/>
          </w:r>
        </w:p>
      </w:sdtContent>
    </w:sdt>
    <w:p>
      <w:pPr>
        <w:pStyle w:val="15"/>
        <w:spacing w:line="596" w:lineRule="exact"/>
        <w:ind w:left="357" w:firstLine="640"/>
        <w:outlineLvl w:val="0"/>
        <w:rPr>
          <w:rFonts w:hint="eastAsia" w:ascii="Times New Roman" w:hAnsi="Times New Roman" w:eastAsia="方正黑体_GBK" w:cs="Times New Roman"/>
          <w:kern w:val="2"/>
          <w:sz w:val="32"/>
          <w:szCs w:val="32"/>
          <w:lang w:val="en-US" w:eastAsia="zh-CN" w:bidi="ar-SA"/>
        </w:rPr>
        <w:sectPr>
          <w:headerReference r:id="rId3" w:type="default"/>
          <w:footerReference r:id="rId4" w:type="default"/>
          <w:pgSz w:w="11906" w:h="16838"/>
          <w:pgMar w:top="1588" w:right="1474" w:bottom="1588" w:left="1474" w:header="851" w:footer="992" w:gutter="0"/>
          <w:cols w:space="425" w:num="1"/>
          <w:docGrid w:type="lines" w:linePitch="312" w:charSpace="0"/>
        </w:sectPr>
      </w:pPr>
      <w:bookmarkStart w:id="1" w:name="_Toc31288"/>
      <w:bookmarkStart w:id="2" w:name="_Toc23794"/>
    </w:p>
    <w:p>
      <w:pPr>
        <w:pStyle w:val="15"/>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outlineLvl w:val="0"/>
        <w:rPr>
          <w:rFonts w:hint="eastAsia" w:ascii="Times New Roman" w:hAnsi="Times New Roman" w:eastAsia="方正黑体_GBK" w:cs="Times New Roman"/>
          <w:kern w:val="2"/>
          <w:sz w:val="32"/>
          <w:szCs w:val="32"/>
          <w:lang w:val="en-US" w:eastAsia="zh-CN" w:bidi="ar-SA"/>
        </w:rPr>
      </w:pPr>
      <w:bookmarkStart w:id="3" w:name="_Toc27988"/>
      <w:r>
        <w:rPr>
          <w:rFonts w:hint="eastAsia" w:ascii="Times New Roman" w:hAnsi="Times New Roman" w:eastAsia="方正黑体_GBK" w:cs="Times New Roman"/>
          <w:kern w:val="2"/>
          <w:sz w:val="32"/>
          <w:szCs w:val="32"/>
          <w:lang w:val="en-US" w:eastAsia="zh-CN" w:bidi="ar-SA"/>
        </w:rPr>
        <w:t>基本情况</w:t>
      </w:r>
      <w:bookmarkEnd w:id="1"/>
      <w:bookmarkEnd w:id="2"/>
      <w:bookmarkEnd w:id="3"/>
      <w:bookmarkStart w:id="4" w:name="_Toc22246"/>
      <w:bookmarkStart w:id="5" w:name="_Toc7652"/>
      <w:bookmarkStart w:id="6" w:name="_Toc28875"/>
    </w:p>
    <w:p>
      <w:pPr>
        <w:pStyle w:val="15"/>
        <w:keepNext w:val="0"/>
        <w:keepLines w:val="0"/>
        <w:pageBreakBefore w:val="0"/>
        <w:widowControl w:val="0"/>
        <w:numPr>
          <w:numId w:val="0"/>
        </w:numPr>
        <w:kinsoku/>
        <w:wordWrap/>
        <w:overflowPunct/>
        <w:topLinePunct w:val="0"/>
        <w:autoSpaceDE/>
        <w:autoSpaceDN/>
        <w:bidi w:val="0"/>
        <w:adjustRightInd/>
        <w:snapToGrid/>
        <w:spacing w:line="594" w:lineRule="exact"/>
        <w:ind w:firstLine="640" w:firstLineChars="200"/>
        <w:textAlignment w:val="auto"/>
        <w:outlineLvl w:val="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color w:val="000000" w:themeColor="text1"/>
          <w:sz w:val="32"/>
          <w:szCs w:val="32"/>
          <w14:textFill>
            <w14:solidFill>
              <w14:schemeClr w14:val="tx1"/>
            </w14:solidFill>
          </w14:textFill>
        </w:rPr>
        <w:t>部门（单位）</w:t>
      </w:r>
      <w:r>
        <w:rPr>
          <w:rFonts w:hint="eastAsia" w:ascii="方正楷体_GBK" w:hAnsi="方正楷体_GBK" w:eastAsia="方正楷体_GBK" w:cs="方正楷体_GBK"/>
          <w:sz w:val="32"/>
          <w:szCs w:val="32"/>
        </w:rPr>
        <w:t>基本情况</w:t>
      </w:r>
      <w:bookmarkEnd w:id="4"/>
      <w:bookmarkEnd w:id="5"/>
      <w:bookmarkEnd w:id="6"/>
    </w:p>
    <w:p>
      <w:pPr>
        <w:pageBreakBefore w:val="0"/>
        <w:widowControl w:val="0"/>
        <w:kinsoku/>
        <w:wordWrap/>
        <w:overflowPunct/>
        <w:topLinePunct w:val="0"/>
        <w:autoSpaceDE/>
        <w:autoSpaceDN/>
        <w:bidi w:val="0"/>
        <w:adjustRightInd/>
        <w:snapToGrid/>
        <w:spacing w:line="594" w:lineRule="exact"/>
        <w:ind w:firstLine="640" w:firstLineChars="200"/>
        <w:textAlignment w:val="auto"/>
        <w:outlineLvl w:val="2"/>
        <w:rPr>
          <w:rFonts w:hint="eastAsia" w:eastAsia="方正仿宋_GBK"/>
          <w:sz w:val="32"/>
          <w:szCs w:val="32"/>
        </w:rPr>
      </w:pPr>
      <w:bookmarkStart w:id="7" w:name="_Toc14951"/>
      <w:bookmarkStart w:id="8" w:name="_Toc24238"/>
      <w:bookmarkStart w:id="9" w:name="_Toc19934"/>
      <w:r>
        <w:rPr>
          <w:rFonts w:hint="eastAsia" w:eastAsia="方正仿宋_GBK"/>
          <w:sz w:val="32"/>
          <w:szCs w:val="32"/>
        </w:rPr>
        <w:t>1、部门</w:t>
      </w:r>
      <w:r>
        <w:rPr>
          <w:rFonts w:hint="eastAsia" w:eastAsia="方正仿宋_GBK"/>
          <w:color w:val="000000" w:themeColor="text1"/>
          <w:sz w:val="32"/>
          <w:szCs w:val="32"/>
          <w14:textFill>
            <w14:solidFill>
              <w14:schemeClr w14:val="tx1"/>
            </w14:solidFill>
          </w14:textFill>
        </w:rPr>
        <w:t>（单位）</w:t>
      </w:r>
      <w:r>
        <w:rPr>
          <w:rFonts w:hint="eastAsia" w:eastAsia="方正仿宋_GBK"/>
          <w:sz w:val="32"/>
          <w:szCs w:val="32"/>
        </w:rPr>
        <w:t>职级</w:t>
      </w:r>
      <w:bookmarkEnd w:id="7"/>
      <w:bookmarkEnd w:id="8"/>
      <w:bookmarkEnd w:id="9"/>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rPr>
        <w:t>重庆市璧山区智慧城市管理指挥中心，为区城市管理局管理的财政全额补助公益一类事业单位，正科级</w:t>
      </w:r>
      <w:r>
        <w:rPr>
          <w:rFonts w:hint="eastAsia" w:ascii="Times New Roman" w:hAnsi="Times New Roman" w:eastAsia="仿宋_GB2312" w:cs="Times New Roman"/>
          <w:sz w:val="32"/>
          <w:highlight w:val="none"/>
          <w:lang w:eastAsia="zh-CN"/>
        </w:rPr>
        <w:t>。</w:t>
      </w:r>
    </w:p>
    <w:p>
      <w:pPr>
        <w:pageBreakBefore w:val="0"/>
        <w:widowControl w:val="0"/>
        <w:kinsoku/>
        <w:wordWrap/>
        <w:overflowPunct/>
        <w:topLinePunct w:val="0"/>
        <w:autoSpaceDE/>
        <w:autoSpaceDN/>
        <w:bidi w:val="0"/>
        <w:adjustRightInd/>
        <w:snapToGrid/>
        <w:spacing w:line="594" w:lineRule="exact"/>
        <w:ind w:firstLine="640" w:firstLineChars="200"/>
        <w:textAlignment w:val="auto"/>
        <w:outlineLvl w:val="2"/>
        <w:rPr>
          <w:rFonts w:hint="eastAsia" w:eastAsia="方正仿宋_GBK"/>
          <w:sz w:val="32"/>
          <w:szCs w:val="32"/>
        </w:rPr>
      </w:pPr>
      <w:bookmarkStart w:id="10" w:name="_Toc9443"/>
      <w:bookmarkStart w:id="11" w:name="_Toc3507"/>
      <w:bookmarkStart w:id="12" w:name="_Toc12715"/>
      <w:r>
        <w:rPr>
          <w:rFonts w:hint="eastAsia" w:eastAsia="方正仿宋_GBK"/>
          <w:sz w:val="32"/>
          <w:szCs w:val="32"/>
        </w:rPr>
        <w:t>2、内设机构及编制</w:t>
      </w:r>
      <w:bookmarkEnd w:id="10"/>
      <w:bookmarkEnd w:id="11"/>
      <w:bookmarkEnd w:id="12"/>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color w:val="FF0000"/>
          <w:sz w:val="32"/>
          <w:szCs w:val="32"/>
        </w:rPr>
      </w:pPr>
      <w:r>
        <w:rPr>
          <w:rFonts w:hint="default" w:ascii="Times New Roman" w:hAnsi="Times New Roman" w:eastAsia="仿宋_GB2312" w:cs="Times New Roman"/>
          <w:sz w:val="32"/>
        </w:rPr>
        <w:t>重庆市璧山区智慧城市管理指挥中心</w:t>
      </w:r>
      <w:r>
        <w:rPr>
          <w:rFonts w:hint="eastAsia" w:eastAsia="仿宋_GB2312" w:cs="Times New Roman"/>
          <w:sz w:val="32"/>
          <w:lang w:val="en-US" w:eastAsia="zh-CN"/>
        </w:rPr>
        <w:t>无内设机构，</w:t>
      </w:r>
      <w:r>
        <w:rPr>
          <w:rFonts w:hint="default" w:ascii="Times New Roman" w:hAnsi="Times New Roman" w:eastAsia="仿宋_GB2312" w:cs="Times New Roman"/>
          <w:sz w:val="32"/>
        </w:rPr>
        <w:t>核定事业编制7名</w:t>
      </w:r>
      <w:r>
        <w:rPr>
          <w:rFonts w:hint="eastAsia" w:ascii="仿宋" w:hAnsi="仿宋" w:eastAsia="仿宋" w:cs="仿宋"/>
          <w:sz w:val="32"/>
        </w:rPr>
        <w:t>(</w:t>
      </w:r>
      <w:r>
        <w:rPr>
          <w:rFonts w:hint="default" w:ascii="Times New Roman" w:hAnsi="Times New Roman" w:eastAsia="仿宋_GB2312" w:cs="Times New Roman"/>
          <w:sz w:val="32"/>
        </w:rPr>
        <w:t>干部</w:t>
      </w:r>
      <w:r>
        <w:rPr>
          <w:rFonts w:hint="eastAsia" w:ascii="仿宋" w:hAnsi="仿宋" w:eastAsia="仿宋" w:cs="仿宋"/>
          <w:sz w:val="32"/>
        </w:rPr>
        <w:t>)</w:t>
      </w:r>
      <w:r>
        <w:rPr>
          <w:rFonts w:hint="default" w:ascii="Times New Roman" w:hAnsi="Times New Roman" w:eastAsia="仿宋_GB2312" w:cs="Times New Roman"/>
          <w:sz w:val="32"/>
        </w:rPr>
        <w:t>，核定负责人职数</w:t>
      </w:r>
      <w:r>
        <w:rPr>
          <w:rFonts w:hint="eastAsia" w:eastAsia="仿宋_GB2312" w:cs="Times New Roman"/>
          <w:sz w:val="32"/>
          <w:lang w:val="en-US" w:eastAsia="zh-CN"/>
        </w:rPr>
        <w:t>3</w:t>
      </w:r>
      <w:r>
        <w:rPr>
          <w:rFonts w:hint="default" w:ascii="Times New Roman" w:hAnsi="Times New Roman" w:eastAsia="仿宋_GB2312" w:cs="Times New Roman"/>
          <w:sz w:val="32"/>
        </w:rPr>
        <w:t>名</w:t>
      </w:r>
      <w:r>
        <w:rPr>
          <w:rFonts w:hint="eastAsia" w:ascii="仿宋" w:hAnsi="仿宋" w:eastAsia="仿宋" w:cs="仿宋"/>
          <w:sz w:val="32"/>
        </w:rPr>
        <w:t>(</w:t>
      </w:r>
      <w:r>
        <w:rPr>
          <w:rFonts w:hint="default" w:ascii="Times New Roman" w:hAnsi="Times New Roman" w:eastAsia="仿宋_GB2312" w:cs="Times New Roman"/>
          <w:sz w:val="32"/>
        </w:rPr>
        <w:t>1正</w:t>
      </w:r>
      <w:r>
        <w:rPr>
          <w:rFonts w:hint="eastAsia" w:eastAsia="仿宋_GB2312" w:cs="Times New Roman"/>
          <w:sz w:val="32"/>
          <w:lang w:val="en-US" w:eastAsia="zh-CN"/>
        </w:rPr>
        <w:t>2</w:t>
      </w:r>
      <w:r>
        <w:rPr>
          <w:rFonts w:hint="default" w:ascii="Times New Roman" w:hAnsi="Times New Roman" w:eastAsia="仿宋_GB2312" w:cs="Times New Roman"/>
          <w:sz w:val="32"/>
        </w:rPr>
        <w:t>副</w:t>
      </w:r>
      <w:r>
        <w:rPr>
          <w:rFonts w:hint="eastAsia" w:ascii="仿宋" w:hAnsi="仿宋" w:eastAsia="仿宋" w:cs="仿宋"/>
          <w:sz w:val="32"/>
        </w:rPr>
        <w:t>)</w:t>
      </w:r>
      <w:r>
        <w:rPr>
          <w:rFonts w:hint="default" w:ascii="Times New Roman" w:hAnsi="Times New Roman" w:eastAsia="仿宋_GB2312" w:cs="Times New Roman"/>
          <w:sz w:val="32"/>
        </w:rPr>
        <w:t>。</w:t>
      </w:r>
    </w:p>
    <w:p>
      <w:pPr>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2"/>
        <w:rPr>
          <w:rFonts w:hint="eastAsia"/>
        </w:rPr>
      </w:pPr>
      <w:bookmarkStart w:id="13" w:name="_Toc6914"/>
      <w:bookmarkStart w:id="14" w:name="_Toc1688"/>
      <w:bookmarkStart w:id="15" w:name="_Toc30877"/>
      <w:r>
        <w:rPr>
          <w:rFonts w:hint="eastAsia" w:eastAsia="方正仿宋_GBK"/>
          <w:sz w:val="32"/>
          <w:szCs w:val="32"/>
          <w:lang w:val="en-US" w:eastAsia="zh-CN"/>
        </w:rPr>
        <w:t>3、</w:t>
      </w:r>
      <w:r>
        <w:rPr>
          <w:rFonts w:hint="eastAsia" w:eastAsia="方正仿宋_GBK"/>
          <w:sz w:val="32"/>
          <w:szCs w:val="32"/>
        </w:rPr>
        <w:t>职能职责</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负责受理市和区智慧城市管理平台、政府门户网站、区长公开电话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信箱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等提供的城市管理相关信息，提出办理意见。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承办12319城市管理服务热线的具体工作，负责协调、派遣、跟踪和督办群众对城市管理问题的投诉、举报和建议。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（3）负责受理各类城市管理案件，明确责任单位，协调、派遣、核查、评价处置效果。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（4）负责对智慧城市管理工作问题数据分析、研判，为政府建设规划提供依据。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（5）负责区智慧城市管理系统的管理、维护、更新和安全运行工作。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（6）负责各单位智慧城市管理系统操作以及业务人员的专业培训和指导。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sz w:val="32"/>
          <w:szCs w:val="32"/>
          <w:lang w:val="en-US" w:eastAsia="zh-CN"/>
        </w:rPr>
        <w:t>（7）承办区城</w:t>
      </w:r>
      <w:r>
        <w:rPr>
          <w:rFonts w:hint="default" w:ascii="Times New Roman" w:hAnsi="Times New Roman" w:eastAsia="方正仿宋_GBK" w:cs="Times New Roman"/>
          <w:b w:val="0"/>
          <w:bCs w:val="0"/>
          <w:kern w:val="2"/>
          <w:sz w:val="32"/>
          <w:szCs w:val="32"/>
          <w:lang w:val="en-US" w:eastAsia="zh-CN" w:bidi="ar-SA"/>
        </w:rPr>
        <w:t>市管理局交办的其他事项</w:t>
      </w:r>
      <w:r>
        <w:rPr>
          <w:rFonts w:hint="eastAsia" w:ascii="Times New Roman" w:hAnsi="Times New Roman" w:eastAsia="方正仿宋_GBK" w:cs="Times New Roman"/>
          <w:b w:val="0"/>
          <w:bCs w:val="0"/>
          <w:kern w:val="2"/>
          <w:sz w:val="32"/>
          <w:szCs w:val="32"/>
          <w:lang w:val="en-US" w:eastAsia="zh-CN" w:bidi="ar-SA"/>
        </w:rPr>
        <w:t>。</w:t>
      </w:r>
    </w:p>
    <w:p>
      <w:pPr>
        <w:pageBreakBefore w:val="0"/>
        <w:widowControl w:val="0"/>
        <w:kinsoku/>
        <w:wordWrap/>
        <w:overflowPunct/>
        <w:topLinePunct w:val="0"/>
        <w:autoSpaceDE/>
        <w:autoSpaceDN/>
        <w:bidi w:val="0"/>
        <w:adjustRightInd/>
        <w:snapToGrid/>
        <w:spacing w:line="594" w:lineRule="exact"/>
        <w:ind w:firstLine="640" w:firstLineChars="200"/>
        <w:textAlignment w:val="auto"/>
        <w:outlineLvl w:val="1"/>
        <w:rPr>
          <w:rFonts w:hint="eastAsia" w:ascii="方正楷体_GBK" w:hAnsi="方正楷体_GBK" w:eastAsia="方正楷体_GBK" w:cs="方正楷体_GBK"/>
          <w:sz w:val="32"/>
          <w:szCs w:val="32"/>
        </w:rPr>
      </w:pPr>
      <w:bookmarkStart w:id="16" w:name="_Toc6256"/>
      <w:bookmarkStart w:id="17" w:name="_Toc14213"/>
      <w:bookmarkStart w:id="18" w:name="_Toc18578"/>
      <w:r>
        <w:rPr>
          <w:rFonts w:hint="eastAsia" w:ascii="方正楷体_GBK" w:hAnsi="方正楷体_GBK" w:eastAsia="方正楷体_GBK" w:cs="方正楷体_GBK"/>
          <w:sz w:val="32"/>
          <w:szCs w:val="32"/>
        </w:rPr>
        <w:t>（二）预算及支出情况</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b w:val="0"/>
          <w:bCs w:val="0"/>
          <w:lang w:eastAsia="zh-CN"/>
        </w:rPr>
      </w:pPr>
      <w:r>
        <w:rPr>
          <w:rFonts w:hint="eastAsia" w:ascii="Times New Roman" w:hAnsi="Times New Roman" w:eastAsia="方正仿宋_GBK" w:cs="方正仿宋_GBK"/>
          <w:b w:val="0"/>
          <w:bCs w:val="0"/>
          <w:color w:val="auto"/>
          <w:sz w:val="32"/>
          <w:szCs w:val="32"/>
          <w:highlight w:val="none"/>
        </w:rPr>
        <w:t>202</w:t>
      </w:r>
      <w:r>
        <w:rPr>
          <w:rFonts w:hint="eastAsia" w:ascii="Times New Roman" w:hAnsi="Times New Roman" w:eastAsia="方正仿宋_GBK" w:cs="方正仿宋_GBK"/>
          <w:b w:val="0"/>
          <w:bCs w:val="0"/>
          <w:color w:val="auto"/>
          <w:sz w:val="32"/>
          <w:szCs w:val="32"/>
          <w:highlight w:val="none"/>
          <w:lang w:val="en-US" w:eastAsia="zh-CN"/>
        </w:rPr>
        <w:t>2</w:t>
      </w:r>
      <w:r>
        <w:rPr>
          <w:rFonts w:hint="eastAsia" w:ascii="Times New Roman" w:hAnsi="Times New Roman" w:eastAsia="方正仿宋_GBK" w:cs="方正仿宋_GBK"/>
          <w:b w:val="0"/>
          <w:bCs w:val="0"/>
          <w:color w:val="auto"/>
          <w:sz w:val="32"/>
          <w:szCs w:val="32"/>
          <w:highlight w:val="none"/>
        </w:rPr>
        <w:t>年财政资金年初支出预算</w:t>
      </w:r>
      <w:r>
        <w:rPr>
          <w:rFonts w:hint="eastAsia" w:eastAsia="方正仿宋_GBK" w:cs="方正仿宋_GBK"/>
          <w:b w:val="0"/>
          <w:bCs w:val="0"/>
          <w:color w:val="auto"/>
          <w:sz w:val="32"/>
          <w:szCs w:val="32"/>
          <w:highlight w:val="none"/>
          <w:lang w:eastAsia="zh-CN"/>
        </w:rPr>
        <w:t>为</w:t>
      </w:r>
      <w:r>
        <w:rPr>
          <w:rFonts w:hint="eastAsia" w:ascii="Times New Roman" w:hAnsi="Times New Roman" w:eastAsia="方正仿宋_GBK" w:cs="方正仿宋_GBK"/>
          <w:b w:val="0"/>
          <w:bCs w:val="0"/>
          <w:color w:val="auto"/>
          <w:sz w:val="32"/>
          <w:szCs w:val="32"/>
          <w:highlight w:val="none"/>
        </w:rPr>
        <w:t>2646592.44元，年中调整预算为</w:t>
      </w:r>
      <w:r>
        <w:rPr>
          <w:rFonts w:hint="eastAsia" w:ascii="Times New Roman" w:hAnsi="Times New Roman" w:eastAsia="方正仿宋_GBK" w:cs="方正仿宋_GBK"/>
          <w:b w:val="0"/>
          <w:bCs w:val="0"/>
          <w:color w:val="auto"/>
          <w:kern w:val="0"/>
          <w:sz w:val="32"/>
          <w:szCs w:val="32"/>
          <w:highlight w:val="none"/>
          <w:shd w:val="clear" w:color="auto" w:fill="FFFFFF"/>
          <w:lang w:val="en-US" w:eastAsia="zh-CN"/>
        </w:rPr>
        <w:t>1895782.53</w:t>
      </w:r>
      <w:r>
        <w:rPr>
          <w:rFonts w:hint="eastAsia" w:ascii="Times New Roman" w:hAnsi="Times New Roman" w:eastAsia="方正仿宋_GBK" w:cs="方正仿宋_GBK"/>
          <w:b w:val="0"/>
          <w:bCs w:val="0"/>
          <w:color w:val="auto"/>
          <w:sz w:val="32"/>
          <w:szCs w:val="32"/>
          <w:highlight w:val="none"/>
        </w:rPr>
        <w:t>元，</w:t>
      </w:r>
      <w:r>
        <w:rPr>
          <w:rFonts w:hint="eastAsia" w:ascii="Times New Roman" w:hAnsi="Times New Roman" w:eastAsia="方正仿宋_GBK" w:cs="方正仿宋_GBK"/>
          <w:b w:val="0"/>
          <w:bCs w:val="0"/>
          <w:color w:val="auto"/>
          <w:kern w:val="0"/>
          <w:sz w:val="32"/>
          <w:szCs w:val="32"/>
          <w:highlight w:val="none"/>
          <w:shd w:val="clear" w:color="auto" w:fill="FFFFFF"/>
          <w:lang w:val="en-US" w:eastAsia="zh-CN"/>
        </w:rPr>
        <w:t>上年结转和结余</w:t>
      </w:r>
      <w:r>
        <w:rPr>
          <w:rFonts w:hint="eastAsia" w:eastAsia="方正仿宋_GBK" w:cs="方正仿宋_GBK"/>
          <w:b w:val="0"/>
          <w:bCs w:val="0"/>
          <w:color w:val="auto"/>
          <w:kern w:val="0"/>
          <w:sz w:val="32"/>
          <w:szCs w:val="32"/>
          <w:highlight w:val="none"/>
          <w:shd w:val="clear" w:color="auto" w:fill="FFFFFF"/>
          <w:lang w:val="en-US" w:eastAsia="zh-CN"/>
        </w:rPr>
        <w:t>为3523.31元，</w:t>
      </w:r>
      <w:r>
        <w:rPr>
          <w:rFonts w:hint="eastAsia" w:ascii="Times New Roman" w:hAnsi="Times New Roman" w:eastAsia="方正仿宋_GBK" w:cs="方正仿宋_GBK"/>
          <w:color w:val="000000" w:themeColor="text1"/>
          <w:sz w:val="32"/>
          <w:szCs w:val="32"/>
          <w:highlight w:val="none"/>
          <w14:textFill>
            <w14:solidFill>
              <w14:schemeClr w14:val="tx1"/>
            </w14:solidFill>
          </w14:textFill>
        </w:rPr>
        <w:t>调整后支出预算为1899305.84</w:t>
      </w:r>
      <w:r>
        <w:rPr>
          <w:rFonts w:hint="eastAsia" w:eastAsia="方正仿宋_GBK" w:cs="方正仿宋_GBK"/>
          <w:color w:val="000000" w:themeColor="text1"/>
          <w:sz w:val="32"/>
          <w:szCs w:val="32"/>
          <w:highlight w:val="none"/>
          <w:lang w:eastAsia="zh-CN"/>
          <w14:textFill>
            <w14:solidFill>
              <w14:schemeClr w14:val="tx1"/>
            </w14:solidFill>
          </w14:textFill>
        </w:rPr>
        <w:t>元</w:t>
      </w:r>
      <w:r>
        <w:rPr>
          <w:rFonts w:hint="eastAsia" w:ascii="Times New Roman" w:hAnsi="Times New Roman" w:eastAsia="方正仿宋_GBK" w:cs="方正仿宋_GBK"/>
          <w:b w:val="0"/>
          <w:bCs w:val="0"/>
          <w:color w:val="auto"/>
          <w:sz w:val="32"/>
          <w:szCs w:val="32"/>
          <w:highlight w:val="none"/>
        </w:rPr>
        <w:t>；年末支出决算为</w:t>
      </w:r>
      <w:r>
        <w:rPr>
          <w:rFonts w:hint="eastAsia" w:ascii="Times New Roman" w:hAnsi="Times New Roman" w:eastAsia="方正仿宋_GBK" w:cs="方正仿宋_GBK"/>
          <w:b w:val="0"/>
          <w:bCs w:val="0"/>
          <w:color w:val="auto"/>
          <w:sz w:val="32"/>
          <w:szCs w:val="32"/>
          <w:highlight w:val="none"/>
          <w:lang w:val="en-US" w:eastAsia="zh-CN"/>
        </w:rPr>
        <w:t>1899305.84</w:t>
      </w:r>
      <w:r>
        <w:rPr>
          <w:rFonts w:hint="eastAsia" w:ascii="Times New Roman" w:hAnsi="Times New Roman" w:eastAsia="方正仿宋_GBK" w:cs="方正仿宋_GBK"/>
          <w:b w:val="0"/>
          <w:bCs w:val="0"/>
          <w:color w:val="auto"/>
          <w:sz w:val="32"/>
          <w:szCs w:val="32"/>
          <w:highlight w:val="none"/>
        </w:rPr>
        <w:t>万元</w:t>
      </w:r>
      <w:r>
        <w:rPr>
          <w:rFonts w:hint="eastAsia" w:ascii="Times New Roman" w:hAnsi="Times New Roman" w:eastAsia="方正仿宋_GBK" w:cs="方正仿宋_GBK"/>
          <w:b w:val="0"/>
          <w:bCs w:val="0"/>
          <w:color w:val="auto"/>
          <w:sz w:val="32"/>
          <w:szCs w:val="32"/>
          <w:highlight w:val="none"/>
          <w:lang w:eastAsia="zh-CN"/>
        </w:rPr>
        <w:t>，</w:t>
      </w:r>
      <w:r>
        <w:rPr>
          <w:rFonts w:hint="eastAsia" w:ascii="Times New Roman" w:hAnsi="Times New Roman" w:eastAsia="方正仿宋_GBK" w:cs="方正仿宋_GBK"/>
          <w:b w:val="0"/>
          <w:bCs w:val="0"/>
          <w:color w:val="auto"/>
          <w:sz w:val="32"/>
          <w:szCs w:val="32"/>
          <w:highlight w:val="none"/>
          <w:lang w:val="en-US" w:eastAsia="zh-CN"/>
        </w:rPr>
        <w:t>无</w:t>
      </w:r>
      <w:r>
        <w:rPr>
          <w:rFonts w:hint="eastAsia" w:ascii="Times New Roman" w:hAnsi="Times New Roman" w:eastAsia="方正仿宋_GBK" w:cs="方正仿宋_GBK"/>
          <w:b w:val="0"/>
          <w:bCs w:val="0"/>
          <w:color w:val="auto"/>
          <w:sz w:val="32"/>
          <w:szCs w:val="32"/>
          <w:highlight w:val="none"/>
          <w:lang w:eastAsia="zh-CN"/>
        </w:rPr>
        <w:t>年末结转和结余。</w:t>
      </w:r>
    </w:p>
    <w:p>
      <w:pPr>
        <w:pStyle w:val="2"/>
        <w:pageBreakBefore w:val="0"/>
        <w:widowControl w:val="0"/>
        <w:kinsoku/>
        <w:wordWrap/>
        <w:overflowPunct/>
        <w:topLinePunct w:val="0"/>
        <w:autoSpaceDE/>
        <w:autoSpaceDN/>
        <w:bidi w:val="0"/>
        <w:adjustRightInd/>
        <w:snapToGrid/>
        <w:spacing w:before="0" w:after="0" w:line="594" w:lineRule="exact"/>
        <w:ind w:firstLine="640" w:firstLineChars="200"/>
        <w:textAlignment w:val="auto"/>
        <w:outlineLvl w:val="0"/>
        <w:rPr>
          <w:rFonts w:hint="default" w:ascii="Times New Roman" w:hAnsi="Times New Roman" w:eastAsia="方正黑体_GBK" w:cs="Times New Roman"/>
          <w:b w:val="0"/>
          <w:bCs w:val="0"/>
          <w:kern w:val="2"/>
          <w:sz w:val="32"/>
          <w:szCs w:val="32"/>
          <w:lang w:val="en-US" w:eastAsia="zh-CN" w:bidi="ar-SA"/>
        </w:rPr>
      </w:pPr>
      <w:bookmarkStart w:id="19" w:name="_Toc16199"/>
      <w:bookmarkStart w:id="20" w:name="_Toc31930"/>
      <w:bookmarkStart w:id="21" w:name="_Toc17301"/>
      <w:r>
        <w:rPr>
          <w:rFonts w:hint="eastAsia" w:ascii="Times New Roman" w:hAnsi="Times New Roman" w:eastAsia="方正黑体_GBK" w:cs="Times New Roman"/>
          <w:b w:val="0"/>
          <w:bCs w:val="0"/>
          <w:kern w:val="2"/>
          <w:sz w:val="32"/>
          <w:szCs w:val="32"/>
          <w:lang w:val="en-US" w:eastAsia="zh-CN" w:bidi="ar-SA"/>
        </w:rPr>
        <w:t>二、主要成效</w:t>
      </w:r>
      <w:bookmarkEnd w:id="19"/>
      <w:bookmarkEnd w:id="20"/>
      <w:bookmarkEnd w:id="21"/>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一）提升了数字城管系统平台治理效能。一是全面增强问题巡查力度。持续强化33.18平方公里覆盖区域，548个万米单元网格，公用设施、交通设施、市容环境设施、园林绿化的5大类87小类共319996个城市部件的监测和管理，以及市容环境、宣传广告、施工管理、街面秩序等5大类65小类的城市事件问题进行及时、精确、高效的采集和整治，切实提高城市管理品质。二是全面壮大采集队伍建设。7月起，数字城管平台充分运用环卫、园林、市政、执法等行业人员覆盖面广、工作时间长等管理优势，创新组建数字城管信息采集兼职队伍，全面提高城市问题发现及采集能力，共同狙击各类城市管理问题，优化提升城市管理效能和品质。</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二）持续做好“12319”民生服务热线。2022年，共成功受理重庆热线电话576件（含:12319、41555319、41512319等热线），办结576件，结案率100%；受理网络舆情25件（含：政府公开信箱、网络留言交办单），办结25件，结案率100%。</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三）加速了城市综合管理服务平台建设。完成城市综合管理服务平台及四大行业系统建设项目已财政评审工作；编制完成智慧市容环卫、智慧园林绿化系统建设项目系统详细设计方案，并通过局智慧城管领导小组评审等。</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color w:val="FF0000"/>
          <w:sz w:val="32"/>
          <w:szCs w:val="32"/>
          <w:lang w:val="en-US" w:eastAsia="zh-CN"/>
        </w:rPr>
      </w:pPr>
      <w:r>
        <w:rPr>
          <w:rFonts w:hint="eastAsia" w:eastAsia="方正仿宋_GBK"/>
          <w:color w:val="000000" w:themeColor="text1"/>
          <w:sz w:val="32"/>
          <w:szCs w:val="32"/>
          <w:lang w:val="en-US" w:eastAsia="zh-CN"/>
          <w14:textFill>
            <w14:solidFill>
              <w14:schemeClr w14:val="tx1"/>
            </w14:solidFill>
          </w14:textFill>
        </w:rPr>
        <w:t>（四）纵深推进了“城市综合管理巡查”长效开展。2022年，全区共开展“城市综合管理巡查”5994次，区领导48次，局领导班子684次，街镇领导3674次，局属相关科室及二级机构负责人巡查1549次，联合整治39次，共巡查发现各类城市管理问题27534件，处置27534件，办结率100%；其中，受理“城市综合管理巡查—千里眼群 ”城市问题8411件，办结8184件，办结率97.3%。</w:t>
      </w:r>
    </w:p>
    <w:p>
      <w:pPr>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eastAsia="方正黑体_GBK"/>
          <w:sz w:val="32"/>
          <w:szCs w:val="32"/>
        </w:rPr>
      </w:pPr>
      <w:bookmarkStart w:id="22" w:name="_Toc30990"/>
      <w:bookmarkStart w:id="23" w:name="_Toc9176"/>
      <w:bookmarkStart w:id="24" w:name="_Toc32716"/>
      <w:r>
        <w:rPr>
          <w:rFonts w:hint="eastAsia" w:eastAsia="方正黑体_GBK"/>
          <w:sz w:val="32"/>
          <w:szCs w:val="32"/>
        </w:rPr>
        <w:t>三、绩效</w:t>
      </w:r>
      <w:r>
        <w:rPr>
          <w:rFonts w:eastAsia="方正黑体_GBK"/>
          <w:sz w:val="32"/>
          <w:szCs w:val="32"/>
        </w:rPr>
        <w:t>评价情况及结论</w:t>
      </w:r>
      <w:bookmarkEnd w:id="22"/>
      <w:bookmarkEnd w:id="23"/>
      <w:bookmarkEnd w:id="24"/>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根据《</w:t>
      </w:r>
      <w:r>
        <w:rPr>
          <w:rFonts w:hint="eastAsia" w:eastAsia="方正仿宋_GBK"/>
          <w:color w:val="000000" w:themeColor="text1"/>
          <w:sz w:val="32"/>
          <w:szCs w:val="32"/>
          <w:lang w:val="en-US" w:eastAsia="zh-CN"/>
          <w14:textFill>
            <w14:solidFill>
              <w14:schemeClr w14:val="tx1"/>
            </w14:solidFill>
          </w14:textFill>
        </w:rPr>
        <w:t>重庆市璧山区区智慧城市管理指挥中心</w:t>
      </w:r>
      <w:r>
        <w:rPr>
          <w:rFonts w:hint="eastAsia" w:eastAsia="方正仿宋_GBK"/>
          <w:sz w:val="32"/>
          <w:szCs w:val="32"/>
        </w:rPr>
        <w:t>2022年度部门整体支出绩效自评表》中的指标体系分析情况，</w:t>
      </w:r>
      <w:r>
        <w:rPr>
          <w:rFonts w:hint="eastAsia" w:eastAsia="方正仿宋_GBK"/>
          <w:color w:val="000000" w:themeColor="text1"/>
          <w:sz w:val="32"/>
          <w:szCs w:val="32"/>
          <w:lang w:val="en-US" w:eastAsia="zh-CN"/>
          <w14:textFill>
            <w14:solidFill>
              <w14:schemeClr w14:val="tx1"/>
            </w14:solidFill>
          </w14:textFill>
        </w:rPr>
        <w:t>重庆市璧山区区智慧城市管理指挥中心</w:t>
      </w: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年度部门整体支出绩效自评总得分</w:t>
      </w:r>
      <w:r>
        <w:rPr>
          <w:rFonts w:hint="eastAsia" w:eastAsia="方正仿宋_GBK"/>
          <w:color w:val="000000" w:themeColor="text1"/>
          <w:sz w:val="32"/>
          <w:szCs w:val="32"/>
          <w:lang w:val="en-US" w:eastAsia="zh-CN"/>
          <w14:textFill>
            <w14:solidFill>
              <w14:schemeClr w14:val="tx1"/>
            </w14:solidFill>
          </w14:textFill>
        </w:rPr>
        <w:t>93.74</w:t>
      </w:r>
      <w:r>
        <w:rPr>
          <w:rFonts w:hint="eastAsia" w:eastAsia="方正仿宋_GBK"/>
          <w:sz w:val="32"/>
          <w:szCs w:val="32"/>
        </w:rPr>
        <w:t>分，等级为“</w:t>
      </w:r>
      <w:r>
        <w:rPr>
          <w:rFonts w:hint="eastAsia" w:eastAsia="方正仿宋_GBK"/>
          <w:color w:val="000000" w:themeColor="text1"/>
          <w:sz w:val="32"/>
          <w:szCs w:val="32"/>
          <w:lang w:val="en-US" w:eastAsia="zh-CN"/>
          <w14:textFill>
            <w14:solidFill>
              <w14:schemeClr w14:val="tx1"/>
            </w14:solidFill>
          </w14:textFill>
        </w:rPr>
        <w:t>优</w:t>
      </w:r>
      <w:r>
        <w:rPr>
          <w:rFonts w:hint="eastAsia" w:eastAsia="方正仿宋_GBK"/>
          <w:sz w:val="32"/>
          <w:szCs w:val="32"/>
        </w:rPr>
        <w:t>”。具体得分情况如表1所示。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94"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9"/>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25"/>
        <w:gridCol w:w="1457"/>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指标名称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方正仿宋_GBK" w:cs="方正仿宋_GBK"/>
                <w:i w:val="0"/>
                <w:iCs w:val="0"/>
                <w:color w:val="auto"/>
                <w:kern w:val="0"/>
                <w:sz w:val="24"/>
                <w:szCs w:val="24"/>
                <w:u w:val="none"/>
                <w:lang w:val="en-US" w:eastAsia="zh-CN" w:bidi="ar"/>
              </w:rPr>
            </w:pPr>
            <w:r>
              <w:rPr>
                <w:rFonts w:hint="eastAsia" w:ascii="Times New Roman" w:hAnsi="Times New Roman" w:eastAsia="方正仿宋_GBK" w:cs="方正仿宋_GBK"/>
                <w:i w:val="0"/>
                <w:iCs w:val="0"/>
                <w:color w:val="auto"/>
                <w:kern w:val="0"/>
                <w:sz w:val="24"/>
                <w:szCs w:val="24"/>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预算执行率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sz w:val="24"/>
                <w:szCs w:val="24"/>
                <w:u w:val="none"/>
                <w:lang w:val="en-US"/>
              </w:rPr>
            </w:pPr>
            <w:r>
              <w:rPr>
                <w:rFonts w:hint="eastAsia" w:eastAsia="仿宋" w:cs="仿宋"/>
                <w:i w:val="0"/>
                <w:iCs w:val="0"/>
                <w:color w:val="auto"/>
                <w:kern w:val="0"/>
                <w:sz w:val="24"/>
                <w:szCs w:val="24"/>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sz w:val="24"/>
                <w:szCs w:val="24"/>
                <w:u w:val="none"/>
                <w:lang w:val="en-US" w:eastAsia="zh-C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预决算信息公开率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sz w:val="24"/>
                <w:szCs w:val="24"/>
                <w:u w:val="none"/>
                <w:lang w:val="en-US" w:eastAsia="zh-CN"/>
              </w:rPr>
            </w:pPr>
            <w:r>
              <w:rPr>
                <w:rFonts w:hint="eastAsia" w:eastAsia="仿宋" w:cs="仿宋"/>
                <w:i w:val="0"/>
                <w:iCs w:val="0"/>
                <w:color w:val="auto"/>
                <w:sz w:val="24"/>
                <w:szCs w:val="24"/>
                <w:u w:val="none"/>
                <w:lang w:val="en-US" w:eastAsia="zh-CN"/>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sz w:val="24"/>
                <w:szCs w:val="24"/>
                <w:u w:val="none"/>
                <w:lang w:val="en-US" w:eastAsia="zh-C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12319、数字城管、“马路办公--千里眼”每月案件处理总量</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sz w:val="24"/>
                <w:szCs w:val="24"/>
                <w:u w:val="none"/>
                <w:lang w:val="en-US" w:eastAsia="zh-CN"/>
              </w:rPr>
              <w:t>15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sz w:val="24"/>
                <w:szCs w:val="24"/>
                <w:u w:val="none"/>
                <w:lang w:val="en-US" w:eastAsia="zh-C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12319、数字城管、“马路办公--千里眼”案件按时处置率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rPr>
            </w:pPr>
            <w:r>
              <w:rPr>
                <w:rFonts w:hint="eastAsia" w:eastAsia="仿宋" w:cs="仿宋"/>
                <w:i w:val="0"/>
                <w:iCs w:val="0"/>
                <w:color w:val="auto"/>
                <w:sz w:val="24"/>
                <w:szCs w:val="24"/>
                <w:u w:val="none"/>
                <w:lang w:val="en-US" w:eastAsia="zh-CN"/>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sz w:val="24"/>
                <w:szCs w:val="24"/>
                <w:u w:val="none"/>
                <w:lang w:val="en-US" w:eastAsia="zh-C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12319、数字城管、“马路办公--千里眼”案件按时结案率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rPr>
            </w:pPr>
            <w:r>
              <w:rPr>
                <w:rFonts w:hint="eastAsia" w:eastAsia="仿宋" w:cs="仿宋"/>
                <w:i w:val="0"/>
                <w:iCs w:val="0"/>
                <w:color w:val="auto"/>
                <w:sz w:val="24"/>
                <w:szCs w:val="24"/>
                <w:u w:val="none"/>
                <w:lang w:val="en-US" w:eastAsia="zh-CN"/>
              </w:rPr>
              <w:t>15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sz w:val="24"/>
                <w:szCs w:val="24"/>
                <w:u w:val="none"/>
                <w:lang w:val="en-US" w:eastAsia="zh-C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12319舆情投诉问题回复率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rPr>
            </w:pPr>
            <w:r>
              <w:rPr>
                <w:rFonts w:hint="eastAsia" w:eastAsia="仿宋" w:cs="仿宋"/>
                <w:i w:val="0"/>
                <w:iCs w:val="0"/>
                <w:color w:val="auto"/>
                <w:kern w:val="0"/>
                <w:sz w:val="24"/>
                <w:szCs w:val="24"/>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智慧城管系统运行故障率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rPr>
            </w:pPr>
            <w:r>
              <w:rPr>
                <w:rFonts w:hint="eastAsia" w:eastAsia="仿宋" w:cs="仿宋"/>
                <w:i w:val="0"/>
                <w:iCs w:val="0"/>
                <w:color w:val="auto"/>
                <w:kern w:val="0"/>
                <w:sz w:val="24"/>
                <w:szCs w:val="24"/>
                <w:u w:val="none"/>
                <w:lang w:val="en-US" w:eastAsia="zh-CN" w:bidi="ar"/>
              </w:rPr>
              <w:t>15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工作成效市级考核</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rPr>
            </w:pPr>
            <w:r>
              <w:rPr>
                <w:rFonts w:hint="eastAsia" w:eastAsia="仿宋" w:cs="仿宋"/>
                <w:i w:val="0"/>
                <w:iCs w:val="0"/>
                <w:color w:val="auto"/>
                <w:kern w:val="0"/>
                <w:sz w:val="24"/>
                <w:szCs w:val="24"/>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ascii="Times New Roman" w:hAnsi="Times New Roman" w:eastAsia="仿宋" w:cs="仿宋"/>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kern w:val="0"/>
                <w:sz w:val="24"/>
                <w:szCs w:val="24"/>
                <w:u w:val="none"/>
                <w:lang w:bidi="ar"/>
              </w:rPr>
            </w:pPr>
            <w:r>
              <w:rPr>
                <w:rFonts w:hint="eastAsia" w:ascii="方正仿宋_GBK" w:hAnsi="方正仿宋_GBK" w:eastAsia="方正仿宋_GBK" w:cs="方正仿宋_GBK"/>
                <w:color w:val="auto"/>
                <w:kern w:val="0"/>
                <w:sz w:val="24"/>
                <w:szCs w:val="24"/>
                <w:u w:val="none"/>
                <w:lang w:val="en-US" w:eastAsia="zh-CN" w:bidi="ar"/>
              </w:rPr>
              <w:t>提高数字城管人员工作水平，提升工作态度</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sz w:val="24"/>
                <w:szCs w:val="24"/>
                <w:u w:val="none"/>
              </w:rPr>
            </w:pPr>
            <w:r>
              <w:rPr>
                <w:rFonts w:hint="eastAsia" w:eastAsia="仿宋" w:cs="仿宋"/>
                <w:i w:val="0"/>
                <w:iCs w:val="0"/>
                <w:color w:val="auto"/>
                <w:kern w:val="0"/>
                <w:sz w:val="24"/>
                <w:szCs w:val="24"/>
                <w:u w:val="none"/>
                <w:lang w:val="en-US" w:eastAsia="zh-CN" w:bidi="ar"/>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eastAsia="仿宋" w:cs="仿宋"/>
                <w:i w:val="0"/>
                <w:iCs w:val="0"/>
                <w:color w:val="auto"/>
                <w:kern w:val="0"/>
                <w:sz w:val="24"/>
                <w:szCs w:val="24"/>
                <w:u w:val="none"/>
                <w:lang w:val="en-US" w:eastAsia="zh-CN" w:bidi="ar"/>
              </w:rPr>
              <w:t>80</w:t>
            </w:r>
            <w:r>
              <w:rPr>
                <w:rFonts w:hint="eastAsia" w:ascii="Times New Roman" w:hAnsi="Times New Roman" w:eastAsia="仿宋" w:cs="仿宋"/>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服务对象满意度</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sz w:val="24"/>
                <w:szCs w:val="24"/>
                <w:u w:val="none"/>
                <w:lang w:val="en-US"/>
              </w:rPr>
            </w:pPr>
            <w:r>
              <w:rPr>
                <w:rFonts w:hint="eastAsia" w:ascii="Times New Roman" w:hAnsi="Times New Roman" w:eastAsia="仿宋" w:cs="仿宋"/>
                <w:i w:val="0"/>
                <w:iCs w:val="0"/>
                <w:color w:val="auto"/>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default" w:ascii="Times New Roman" w:hAnsi="Times New Roman" w:eastAsia="仿宋" w:cs="仿宋"/>
                <w:i w:val="0"/>
                <w:iCs w:val="0"/>
                <w:color w:val="auto"/>
                <w:kern w:val="2"/>
                <w:sz w:val="24"/>
                <w:szCs w:val="24"/>
                <w:u w:val="none"/>
                <w:lang w:val="en-US" w:eastAsia="zh-CN" w:bidi="ar-SA"/>
              </w:rPr>
            </w:pPr>
            <w:r>
              <w:rPr>
                <w:rFonts w:hint="eastAsia" w:eastAsia="仿宋" w:cs="仿宋"/>
                <w:i w:val="0"/>
                <w:iCs w:val="0"/>
                <w:color w:val="auto"/>
                <w:kern w:val="0"/>
                <w:sz w:val="24"/>
                <w:szCs w:val="24"/>
                <w:u w:val="none"/>
                <w:lang w:val="en-US" w:eastAsia="zh-CN" w:bidi="ar"/>
              </w:rPr>
              <w:t>4.47</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4" w:lineRule="exact"/>
              <w:jc w:val="center"/>
              <w:textAlignment w:val="center"/>
              <w:rPr>
                <w:rFonts w:hint="eastAsia" w:ascii="Times New Roman" w:hAnsi="Times New Roman" w:eastAsia="仿宋" w:cs="仿宋"/>
                <w:i w:val="0"/>
                <w:iCs w:val="0"/>
                <w:color w:val="auto"/>
                <w:kern w:val="0"/>
                <w:sz w:val="24"/>
                <w:szCs w:val="24"/>
                <w:u w:val="none"/>
                <w:lang w:val="en-US" w:eastAsia="zh-CN" w:bidi="ar"/>
              </w:rPr>
            </w:pPr>
            <w:r>
              <w:rPr>
                <w:rFonts w:hint="eastAsia" w:eastAsia="仿宋" w:cs="仿宋"/>
                <w:i w:val="0"/>
                <w:iCs w:val="0"/>
                <w:color w:val="auto"/>
                <w:kern w:val="0"/>
                <w:sz w:val="24"/>
                <w:szCs w:val="24"/>
                <w:u w:val="none"/>
                <w:lang w:val="en-US" w:eastAsia="zh-CN" w:bidi="ar"/>
              </w:rPr>
              <w:t>47.74</w:t>
            </w:r>
            <w:r>
              <w:rPr>
                <w:rFonts w:hint="eastAsia" w:ascii="Times New Roman" w:hAnsi="Times New Roman" w:eastAsia="仿宋" w:cs="仿宋"/>
                <w:i w:val="0"/>
                <w:iCs w:val="0"/>
                <w:color w:val="auto"/>
                <w:kern w:val="0"/>
                <w:sz w:val="24"/>
                <w:szCs w:val="24"/>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1、预算执行率分析</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按照年初设定绩效目标预算执行率不得低于9</w:t>
      </w:r>
      <w:r>
        <w:rPr>
          <w:rFonts w:hint="eastAsia" w:eastAsia="方正仿宋_GBK"/>
          <w:color w:val="000000" w:themeColor="text1"/>
          <w:sz w:val="32"/>
          <w:szCs w:val="32"/>
          <w:lang w:val="en-US" w:eastAsia="zh-CN"/>
          <w14:textFill>
            <w14:solidFill>
              <w14:schemeClr w14:val="tx1"/>
            </w14:solidFill>
          </w14:textFill>
        </w:rPr>
        <w:t>5</w:t>
      </w:r>
      <w:r>
        <w:rPr>
          <w:rFonts w:hint="eastAsia"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年初预算数为</w:t>
      </w:r>
      <w:r>
        <w:rPr>
          <w:rFonts w:hint="eastAsia" w:eastAsia="方正仿宋_GBK"/>
          <w:color w:val="000000" w:themeColor="text1"/>
          <w:sz w:val="32"/>
          <w:szCs w:val="32"/>
          <w14:textFill>
            <w14:solidFill>
              <w14:schemeClr w14:val="tx1"/>
            </w14:solidFill>
          </w14:textFill>
        </w:rPr>
        <w:t>2646592.44</w:t>
      </w:r>
      <w:r>
        <w:rPr>
          <w:rFonts w:hint="eastAsia" w:ascii="方正仿宋_GBK" w:eastAsia="方正仿宋_GBK"/>
          <w:color w:val="000000" w:themeColor="text1"/>
          <w:sz w:val="32"/>
          <w:szCs w:val="32"/>
          <w14:textFill>
            <w14:solidFill>
              <w14:schemeClr w14:val="tx1"/>
            </w14:solidFill>
          </w14:textFill>
        </w:rPr>
        <w:t>元，全年调整数为</w:t>
      </w:r>
      <w:r>
        <w:rPr>
          <w:rFonts w:hint="eastAsia" w:eastAsia="方正仿宋_GBK"/>
          <w:color w:val="000000" w:themeColor="text1"/>
          <w:sz w:val="32"/>
          <w:szCs w:val="32"/>
          <w14:textFill>
            <w14:solidFill>
              <w14:schemeClr w14:val="tx1"/>
            </w14:solidFill>
          </w14:textFill>
        </w:rPr>
        <w:t>1899305.84</w:t>
      </w:r>
      <w:r>
        <w:rPr>
          <w:rFonts w:hint="eastAsia" w:ascii="方正仿宋_GBK" w:eastAsia="方正仿宋_GBK"/>
          <w:color w:val="000000" w:themeColor="text1"/>
          <w:sz w:val="32"/>
          <w:szCs w:val="32"/>
          <w14:textFill>
            <w14:solidFill>
              <w14:schemeClr w14:val="tx1"/>
            </w14:solidFill>
          </w14:textFill>
        </w:rPr>
        <w:t>元，预算执行数为</w:t>
      </w:r>
      <w:r>
        <w:rPr>
          <w:rFonts w:hint="eastAsia" w:eastAsia="方正仿宋_GBK"/>
          <w:color w:val="000000" w:themeColor="text1"/>
          <w:sz w:val="32"/>
          <w:szCs w:val="32"/>
          <w14:textFill>
            <w14:solidFill>
              <w14:schemeClr w14:val="tx1"/>
            </w14:solidFill>
          </w14:textFill>
        </w:rPr>
        <w:t>1899305.84</w:t>
      </w:r>
      <w:r>
        <w:rPr>
          <w:rFonts w:hint="eastAsia" w:ascii="方正仿宋_GBK" w:eastAsia="方正仿宋_GBK"/>
          <w:color w:val="000000" w:themeColor="text1"/>
          <w:sz w:val="32"/>
          <w:szCs w:val="32"/>
          <w14:textFill>
            <w14:solidFill>
              <w14:schemeClr w14:val="tx1"/>
            </w14:solidFill>
          </w14:textFill>
        </w:rPr>
        <w:t>元</w:t>
      </w:r>
      <w:r>
        <w:rPr>
          <w:rFonts w:hint="eastAsia" w:eastAsia="方正仿宋_GBK"/>
          <w:color w:val="000000" w:themeColor="text1"/>
          <w:sz w:val="32"/>
          <w:szCs w:val="32"/>
          <w14:textFill>
            <w14:solidFill>
              <w14:schemeClr w14:val="tx1"/>
            </w14:solidFill>
          </w14:textFill>
        </w:rPr>
        <w:t>，预算执行率为</w:t>
      </w:r>
      <w:r>
        <w:rPr>
          <w:rFonts w:hint="eastAsia" w:eastAsia="方正仿宋_GBK"/>
          <w:color w:val="000000" w:themeColor="text1"/>
          <w:sz w:val="32"/>
          <w:szCs w:val="32"/>
          <w:lang w:val="en-US" w:eastAsia="zh-CN"/>
          <w14:textFill>
            <w14:solidFill>
              <w14:schemeClr w14:val="tx1"/>
            </w14:solidFill>
          </w14:textFill>
        </w:rPr>
        <w:t>100</w:t>
      </w:r>
      <w:r>
        <w:rPr>
          <w:rFonts w:hint="eastAsia" w:eastAsia="方正仿宋_GBK"/>
          <w:color w:val="000000" w:themeColor="text1"/>
          <w:sz w:val="32"/>
          <w:szCs w:val="32"/>
          <w14:textFill>
            <w14:solidFill>
              <w14:schemeClr w14:val="tx1"/>
            </w14:solidFill>
          </w14:textFill>
        </w:rPr>
        <w:t>%，根据评价标准，该指标得100%权重分。</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2、预决算公开率分析</w:t>
      </w:r>
    </w:p>
    <w:p>
      <w:pPr>
        <w:pageBreakBefore w:val="0"/>
        <w:kinsoku/>
        <w:wordWrap/>
        <w:overflowPunct/>
        <w:topLinePunct w:val="0"/>
        <w:autoSpaceDE/>
        <w:autoSpaceDN/>
        <w:bidi w:val="0"/>
        <w:spacing w:line="594" w:lineRule="exact"/>
        <w:ind w:firstLine="640" w:firstLineChars="200"/>
        <w:rPr>
          <w:rFonts w:hint="eastAsia" w:eastAsia="方正仿宋_GBK"/>
          <w:color w:val="FF0000"/>
          <w:sz w:val="32"/>
          <w:szCs w:val="32"/>
        </w:rPr>
      </w:pPr>
      <w:r>
        <w:rPr>
          <w:rFonts w:hint="eastAsia" w:eastAsia="方正仿宋_GBK"/>
          <w:color w:val="000000" w:themeColor="text1"/>
          <w:sz w:val="32"/>
          <w:szCs w:val="32"/>
          <w14:textFill>
            <w14:solidFill>
              <w14:schemeClr w14:val="tx1"/>
            </w14:solidFill>
          </w14:textFill>
        </w:rPr>
        <w:t>按照相关文件规定，单位预决算信息需严格按照要求进行公开，202</w:t>
      </w:r>
      <w:r>
        <w:rPr>
          <w:rFonts w:hint="eastAsia" w:eastAsia="方正仿宋_GBK"/>
          <w:color w:val="000000" w:themeColor="text1"/>
          <w:sz w:val="32"/>
          <w:szCs w:val="32"/>
          <w:lang w:val="en-US" w:eastAsia="zh-CN"/>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年按时完成了预决算公开，财政资金使用情况公开透明。根据评价标准，该指标得100%权重分。</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3</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12319”、数字城管、“马路办公--千里眼”每月案件处理总量分析</w:t>
      </w:r>
    </w:p>
    <w:p>
      <w:pPr>
        <w:pageBreakBefore w:val="0"/>
        <w:kinsoku/>
        <w:wordWrap/>
        <w:overflowPunct/>
        <w:topLinePunct w:val="0"/>
        <w:autoSpaceDE/>
        <w:autoSpaceDN/>
        <w:bidi w:val="0"/>
        <w:spacing w:line="594" w:lineRule="exact"/>
        <w:ind w:firstLine="640" w:firstLineChars="200"/>
        <w:rPr>
          <w:rFonts w:hint="eastAsia" w:eastAsia="方正仿宋_GBK"/>
          <w:color w:val="FF0000"/>
          <w:sz w:val="32"/>
          <w:szCs w:val="32"/>
        </w:rPr>
      </w:pPr>
      <w:r>
        <w:rPr>
          <w:rFonts w:hint="eastAsia" w:eastAsia="方正仿宋_GBK"/>
          <w:color w:val="000000" w:themeColor="text1"/>
          <w:sz w:val="32"/>
          <w:szCs w:val="32"/>
          <w14:textFill>
            <w14:solidFill>
              <w14:schemeClr w14:val="tx1"/>
            </w14:solidFill>
          </w14:textFill>
        </w:rPr>
        <w:t>202</w:t>
      </w:r>
      <w:r>
        <w:rPr>
          <w:rFonts w:hint="eastAsia" w:eastAsia="方正仿宋_GBK"/>
          <w:color w:val="000000" w:themeColor="text1"/>
          <w:sz w:val="32"/>
          <w:szCs w:val="32"/>
          <w:lang w:val="en-US" w:eastAsia="zh-CN"/>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年，</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12319”、数字城管、“马路办公--千里眼”每月案件处理总量完成了年初设定绩效目标。</w:t>
      </w:r>
      <w:r>
        <w:rPr>
          <w:rFonts w:hint="eastAsia" w:eastAsia="方正仿宋_GBK"/>
          <w:color w:val="000000" w:themeColor="text1"/>
          <w:sz w:val="32"/>
          <w:szCs w:val="32"/>
          <w14:textFill>
            <w14:solidFill>
              <w14:schemeClr w14:val="tx1"/>
            </w14:solidFill>
          </w14:textFill>
        </w:rPr>
        <w:t>根据评价标准，该指标得100%权重分。</w:t>
      </w:r>
    </w:p>
    <w:p>
      <w:pPr>
        <w:pageBreakBefore w:val="0"/>
        <w:kinsoku/>
        <w:wordWrap/>
        <w:overflowPunct/>
        <w:topLinePunct w:val="0"/>
        <w:autoSpaceDE/>
        <w:autoSpaceDN/>
        <w:bidi w:val="0"/>
        <w:spacing w:line="594" w:lineRule="exact"/>
        <w:ind w:firstLine="640" w:firstLineChars="200"/>
        <w:rPr>
          <w:rFonts w:hint="eastAsia" w:eastAsia="方正仿宋_GBK"/>
          <w:color w:val="FF0000"/>
          <w:sz w:val="32"/>
          <w:szCs w:val="32"/>
          <w:highlight w:val="none"/>
        </w:rPr>
      </w:pPr>
      <w:r>
        <w:rPr>
          <w:rFonts w:hint="eastAsia" w:eastAsia="方正仿宋_GBK"/>
          <w:color w:val="000000" w:themeColor="text1"/>
          <w:sz w:val="32"/>
          <w:szCs w:val="32"/>
          <w:highlight w:val="none"/>
          <w:lang w:val="en-US" w:eastAsia="zh-CN"/>
          <w14:textFill>
            <w14:solidFill>
              <w14:schemeClr w14:val="tx1"/>
            </w14:solidFill>
          </w14:textFill>
        </w:rPr>
        <w:t>4</w:t>
      </w:r>
      <w:r>
        <w:rPr>
          <w:rFonts w:hint="eastAsia" w:eastAsia="方正仿宋_GBK"/>
          <w:color w:val="000000" w:themeColor="text1"/>
          <w:sz w:val="32"/>
          <w:szCs w:val="32"/>
          <w:highlight w:val="none"/>
          <w14:textFill>
            <w14:solidFill>
              <w14:schemeClr w14:val="tx1"/>
            </w14:solidFill>
          </w14:textFill>
        </w:rPr>
        <w:t>、</w:t>
      </w:r>
      <w:r>
        <w:rPr>
          <w:rFonts w:hint="eastAsia" w:eastAsia="方正仿宋_GBK"/>
          <w:color w:val="000000" w:themeColor="text1"/>
          <w:sz w:val="32"/>
          <w:szCs w:val="32"/>
          <w:highlight w:val="none"/>
          <w:lang w:eastAsia="zh-CN"/>
          <w14:textFill>
            <w14:solidFill>
              <w14:schemeClr w14:val="tx1"/>
            </w14:solidFill>
          </w14:textFill>
        </w:rPr>
        <w:t>“</w:t>
      </w:r>
      <w:r>
        <w:rPr>
          <w:rFonts w:hint="eastAsia" w:eastAsia="方正仿宋_GBK"/>
          <w:color w:val="000000" w:themeColor="text1"/>
          <w:sz w:val="32"/>
          <w:szCs w:val="32"/>
          <w:highlight w:val="none"/>
          <w:lang w:val="en-US" w:eastAsia="zh-CN"/>
          <w14:textFill>
            <w14:solidFill>
              <w14:schemeClr w14:val="tx1"/>
            </w14:solidFill>
          </w14:textFill>
        </w:rPr>
        <w:t>12319”、数字城管、“马路办公--千里眼”案件按时处置率分析</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2022年单位按时处置“</w:t>
      </w:r>
      <w:r>
        <w:rPr>
          <w:rFonts w:hint="eastAsia" w:eastAsia="方正仿宋_GBK"/>
          <w:color w:val="000000" w:themeColor="text1"/>
          <w:sz w:val="32"/>
          <w:szCs w:val="32"/>
          <w:highlight w:val="none"/>
          <w:lang w:val="en-US" w:eastAsia="zh-CN"/>
          <w14:textFill>
            <w14:solidFill>
              <w14:schemeClr w14:val="tx1"/>
            </w14:solidFill>
          </w14:textFill>
        </w:rPr>
        <w:t>12319”、数字城管、“马路办公--千里眼”案件</w:t>
      </w:r>
      <w:r>
        <w:rPr>
          <w:rFonts w:hint="eastAsia" w:eastAsia="方正仿宋_GBK"/>
          <w:color w:val="000000" w:themeColor="text1"/>
          <w:sz w:val="32"/>
          <w:szCs w:val="32"/>
          <w:lang w:eastAsia="zh-CN"/>
          <w14:textFill>
            <w14:solidFill>
              <w14:schemeClr w14:val="tx1"/>
            </w14:solidFill>
          </w14:textFill>
        </w:rPr>
        <w:t>，使案件按时处置率</w:t>
      </w:r>
      <w:r>
        <w:rPr>
          <w:rFonts w:hint="eastAsia" w:eastAsia="方正仿宋_GBK"/>
          <w:color w:val="000000" w:themeColor="text1"/>
          <w:sz w:val="32"/>
          <w:szCs w:val="32"/>
          <w14:textFill>
            <w14:solidFill>
              <w14:schemeClr w14:val="tx1"/>
            </w14:solidFill>
          </w14:textFill>
        </w:rPr>
        <w:t>完成</w:t>
      </w:r>
      <w:r>
        <w:rPr>
          <w:rFonts w:hint="eastAsia" w:eastAsia="方正仿宋_GBK"/>
          <w:color w:val="000000" w:themeColor="text1"/>
          <w:sz w:val="32"/>
          <w:szCs w:val="32"/>
          <w:lang w:eastAsia="zh-CN"/>
          <w14:textFill>
            <w14:solidFill>
              <w14:schemeClr w14:val="tx1"/>
            </w14:solidFill>
          </w14:textFill>
        </w:rPr>
        <w:t>了</w:t>
      </w:r>
      <w:r>
        <w:rPr>
          <w:rFonts w:hint="eastAsia" w:eastAsia="方正仿宋_GBK"/>
          <w:color w:val="000000" w:themeColor="text1"/>
          <w:sz w:val="32"/>
          <w:szCs w:val="32"/>
          <w14:textFill>
            <w14:solidFill>
              <w14:schemeClr w14:val="tx1"/>
            </w14:solidFill>
          </w14:textFill>
        </w:rPr>
        <w:t>年初绩效目标。根据评价标准，该指标得</w:t>
      </w:r>
      <w:r>
        <w:rPr>
          <w:rFonts w:hint="eastAsia" w:eastAsia="方正仿宋_GBK"/>
          <w:color w:val="000000" w:themeColor="text1"/>
          <w:sz w:val="32"/>
          <w:szCs w:val="32"/>
          <w:lang w:val="en-US" w:eastAsia="zh-CN"/>
          <w14:textFill>
            <w14:solidFill>
              <w14:schemeClr w14:val="tx1"/>
            </w14:solidFill>
          </w14:textFill>
        </w:rPr>
        <w:t>100</w:t>
      </w:r>
      <w:r>
        <w:rPr>
          <w:rFonts w:hint="eastAsia" w:eastAsia="方正仿宋_GBK"/>
          <w:color w:val="000000" w:themeColor="text1"/>
          <w:sz w:val="32"/>
          <w:szCs w:val="32"/>
          <w14:textFill>
            <w14:solidFill>
              <w14:schemeClr w14:val="tx1"/>
            </w14:solidFill>
          </w14:textFill>
        </w:rPr>
        <w:t>%权重分。</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5</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12319”、数字城管、“马路办公--千里眼”案件按时结案率分析</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2022年单位按时对“12319”、数字城管、“马路办公</w:t>
      </w:r>
      <w:r>
        <w:rPr>
          <w:rFonts w:hint="eastAsia" w:eastAsia="方正仿宋_GBK"/>
          <w:color w:val="000000" w:themeColor="text1"/>
          <w:sz w:val="32"/>
          <w:szCs w:val="32"/>
          <w:highlight w:val="none"/>
          <w:lang w:val="en-US" w:eastAsia="zh-CN"/>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千里眼”案件进行结案</w:t>
      </w:r>
      <w:r>
        <w:rPr>
          <w:rFonts w:hint="eastAsia" w:eastAsia="方正仿宋_GBK"/>
          <w:color w:val="000000" w:themeColor="text1"/>
          <w:sz w:val="32"/>
          <w:szCs w:val="32"/>
          <w:lang w:eastAsia="zh-CN"/>
          <w14:textFill>
            <w14:solidFill>
              <w14:schemeClr w14:val="tx1"/>
            </w14:solidFill>
          </w14:textFill>
        </w:rPr>
        <w:t>，使案件按时结案率</w:t>
      </w:r>
      <w:r>
        <w:rPr>
          <w:rFonts w:hint="eastAsia" w:eastAsia="方正仿宋_GBK"/>
          <w:color w:val="000000" w:themeColor="text1"/>
          <w:sz w:val="32"/>
          <w:szCs w:val="32"/>
          <w14:textFill>
            <w14:solidFill>
              <w14:schemeClr w14:val="tx1"/>
            </w14:solidFill>
          </w14:textFill>
        </w:rPr>
        <w:t>完成了年初绩效目标。根据评价标准，该指标得100%权重分。</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6</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12319舆情投诉问题回复率分析</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2022年</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单位共</w:t>
      </w:r>
      <w:r>
        <w:rPr>
          <w:rFonts w:hint="eastAsia" w:eastAsia="方正仿宋_GBK"/>
          <w:color w:val="000000" w:themeColor="text1"/>
          <w:sz w:val="32"/>
          <w:szCs w:val="32"/>
          <w14:textFill>
            <w14:solidFill>
              <w14:schemeClr w14:val="tx1"/>
            </w14:solidFill>
          </w14:textFill>
        </w:rPr>
        <w:t>受理网络舆情25件（含：政府公开信箱、网络留言交办单），办结25件，结案率100%。根据评价标准，该指标得100%权重分。</w:t>
      </w:r>
    </w:p>
    <w:p>
      <w:pPr>
        <w:pageBreakBefore w:val="0"/>
        <w:numPr>
          <w:numId w:val="0"/>
        </w:numPr>
        <w:tabs>
          <w:tab w:val="left" w:pos="0"/>
        </w:tabs>
        <w:kinsoku/>
        <w:wordWrap/>
        <w:overflowPunct/>
        <w:topLinePunct w:val="0"/>
        <w:autoSpaceDE/>
        <w:autoSpaceDN/>
        <w:bidi w:val="0"/>
        <w:spacing w:line="594" w:lineRule="exact"/>
        <w:ind w:firstLine="640" w:firstLineChars="200"/>
        <w:rPr>
          <w:rFonts w:hint="eastAsia" w:eastAsia="方正仿宋_GBK"/>
          <w:color w:val="000000" w:themeColor="text1"/>
          <w:sz w:val="32"/>
          <w:szCs w:val="32"/>
          <w:lang w:val="en-US" w:eastAsia="zh-CN"/>
          <w14:textFill>
            <w14:solidFill>
              <w14:schemeClr w14:val="tx1"/>
            </w14:solidFill>
          </w14:textFill>
        </w:rPr>
      </w:pPr>
      <w:bookmarkStart w:id="31" w:name="_GoBack"/>
      <w:bookmarkEnd w:id="31"/>
      <w:r>
        <w:rPr>
          <w:rFonts w:hint="eastAsia" w:eastAsia="方正仿宋_GBK"/>
          <w:color w:val="000000" w:themeColor="text1"/>
          <w:sz w:val="32"/>
          <w:szCs w:val="32"/>
          <w:lang w:val="en-US" w:eastAsia="zh-CN"/>
          <w14:textFill>
            <w14:solidFill>
              <w14:schemeClr w14:val="tx1"/>
            </w14:solidFill>
          </w14:textFill>
        </w:rPr>
        <w:t>7、智慧城管系统运行故障率分析</w:t>
      </w:r>
    </w:p>
    <w:p>
      <w:pPr>
        <w:pageBreakBefore w:val="0"/>
        <w:numPr>
          <w:ilvl w:val="0"/>
          <w:numId w:val="0"/>
        </w:numPr>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智慧城管系统运行故障率</w:t>
      </w:r>
      <w:r>
        <w:rPr>
          <w:rFonts w:hint="eastAsia" w:eastAsia="方正仿宋_GBK"/>
          <w:color w:val="000000" w:themeColor="text1"/>
          <w:sz w:val="32"/>
          <w:szCs w:val="32"/>
          <w14:textFill>
            <w14:solidFill>
              <w14:schemeClr w14:val="tx1"/>
            </w14:solidFill>
          </w14:textFill>
        </w:rPr>
        <w:t>完成了年初绩效目标</w:t>
      </w:r>
      <w:r>
        <w:rPr>
          <w:rFonts w:hint="eastAsia" w:eastAsia="方正仿宋_GBK"/>
          <w:color w:val="auto"/>
          <w:sz w:val="32"/>
          <w:szCs w:val="32"/>
          <w:lang w:val="en-US" w:eastAsia="zh-CN"/>
        </w:rPr>
        <w:t>，</w:t>
      </w:r>
      <w:r>
        <w:rPr>
          <w:rFonts w:hint="eastAsia" w:eastAsia="方正仿宋_GBK"/>
          <w:color w:val="000000" w:themeColor="text1"/>
          <w:sz w:val="32"/>
          <w:szCs w:val="32"/>
          <w14:textFill>
            <w14:solidFill>
              <w14:schemeClr w14:val="tx1"/>
            </w14:solidFill>
          </w14:textFill>
        </w:rPr>
        <w:t>根据评价标准，该指标得100%权重分。</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8</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工作成效市级考核分析</w:t>
      </w:r>
    </w:p>
    <w:p>
      <w:pPr>
        <w:pageBreakBefore w:val="0"/>
        <w:kinsoku/>
        <w:wordWrap/>
        <w:overflowPunct/>
        <w:topLinePunct w:val="0"/>
        <w:autoSpaceDE/>
        <w:autoSpaceDN/>
        <w:bidi w:val="0"/>
        <w:spacing w:line="594" w:lineRule="exact"/>
        <w:ind w:firstLine="640" w:firstLineChars="200"/>
        <w:rPr>
          <w:rFonts w:hint="eastAsia" w:eastAsia="方正仿宋_GBK"/>
          <w:color w:val="FF0000"/>
          <w:sz w:val="32"/>
          <w:szCs w:val="32"/>
        </w:rPr>
      </w:pPr>
      <w:r>
        <w:rPr>
          <w:rFonts w:hint="eastAsia" w:eastAsia="方正仿宋_GBK"/>
          <w:color w:val="000000" w:themeColor="text1"/>
          <w:sz w:val="32"/>
          <w:szCs w:val="32"/>
          <w:lang w:val="en-US" w:eastAsia="zh-CN"/>
          <w14:textFill>
            <w14:solidFill>
              <w14:schemeClr w14:val="tx1"/>
            </w14:solidFill>
          </w14:textFill>
        </w:rPr>
        <w:t>2022年单位工作成效考核达到市级考核标准。</w:t>
      </w:r>
      <w:r>
        <w:rPr>
          <w:rFonts w:hint="eastAsia" w:eastAsia="方正仿宋_GBK"/>
          <w:color w:val="000000" w:themeColor="text1"/>
          <w:sz w:val="32"/>
          <w:szCs w:val="32"/>
          <w14:textFill>
            <w14:solidFill>
              <w14:schemeClr w14:val="tx1"/>
            </w14:solidFill>
          </w14:textFill>
        </w:rPr>
        <w:t>根据评价标准，该指标得100%权重分。</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9</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提高数字城管人员工作水平，提升工作态度分析</w:t>
      </w:r>
    </w:p>
    <w:p>
      <w:pPr>
        <w:pageBreakBefore w:val="0"/>
        <w:kinsoku/>
        <w:wordWrap/>
        <w:overflowPunct/>
        <w:topLinePunct w:val="0"/>
        <w:autoSpaceDE/>
        <w:autoSpaceDN/>
        <w:bidi w:val="0"/>
        <w:spacing w:line="594" w:lineRule="exact"/>
        <w:ind w:firstLine="640" w:firstLineChars="200"/>
        <w:rPr>
          <w:rFonts w:hint="eastAsia" w:eastAsia="方正仿宋_GBK"/>
          <w:color w:val="FF0000"/>
          <w:sz w:val="32"/>
          <w:szCs w:val="32"/>
        </w:rPr>
      </w:pPr>
      <w:r>
        <w:rPr>
          <w:rFonts w:hint="eastAsia" w:eastAsia="方正仿宋_GBK"/>
          <w:color w:val="000000" w:themeColor="text1"/>
          <w:sz w:val="32"/>
          <w:szCs w:val="32"/>
          <w14:textFill>
            <w14:solidFill>
              <w14:schemeClr w14:val="tx1"/>
            </w14:solidFill>
          </w14:textFill>
        </w:rPr>
        <w:t>202</w:t>
      </w:r>
      <w:r>
        <w:rPr>
          <w:rFonts w:hint="eastAsia" w:eastAsia="方正仿宋_GBK"/>
          <w:color w:val="000000" w:themeColor="text1"/>
          <w:sz w:val="32"/>
          <w:szCs w:val="32"/>
          <w:lang w:val="en-US" w:eastAsia="zh-CN"/>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年</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对数字城管工作重视程度不够，经办人员责任意识淡薄、工作态度敷衍，造成案件受理、处置不及时等情况发生，导致超期未处置案件数增多。</w:t>
      </w:r>
      <w:r>
        <w:rPr>
          <w:rFonts w:hint="eastAsia" w:eastAsia="方正仿宋_GBK"/>
          <w:color w:val="000000" w:themeColor="text1"/>
          <w:sz w:val="32"/>
          <w:szCs w:val="32"/>
          <w14:textFill>
            <w14:solidFill>
              <w14:schemeClr w14:val="tx1"/>
            </w14:solidFill>
          </w14:textFill>
        </w:rPr>
        <w:t>根据评价标准，该指标得</w:t>
      </w:r>
      <w:r>
        <w:rPr>
          <w:rFonts w:hint="eastAsia" w:eastAsia="方正仿宋_GBK"/>
          <w:color w:val="000000" w:themeColor="text1"/>
          <w:sz w:val="32"/>
          <w:szCs w:val="32"/>
          <w:lang w:val="en-US" w:eastAsia="zh-CN"/>
          <w14:textFill>
            <w14:solidFill>
              <w14:schemeClr w14:val="tx1"/>
            </w14:solidFill>
          </w14:textFill>
        </w:rPr>
        <w:t>80</w:t>
      </w:r>
      <w:r>
        <w:rPr>
          <w:rFonts w:hint="eastAsia" w:eastAsia="方正仿宋_GBK"/>
          <w:color w:val="000000" w:themeColor="text1"/>
          <w:sz w:val="32"/>
          <w:szCs w:val="32"/>
          <w14:textFill>
            <w14:solidFill>
              <w14:schemeClr w14:val="tx1"/>
            </w14:solidFill>
          </w14:textFill>
        </w:rPr>
        <w:t>%权重分。</w:t>
      </w:r>
    </w:p>
    <w:p>
      <w:pPr>
        <w:pageBreakBefore w:val="0"/>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lang w:val="en-US" w:eastAsia="zh-CN"/>
          <w14:textFill>
            <w14:solidFill>
              <w14:schemeClr w14:val="tx1"/>
            </w14:solidFill>
          </w14:textFill>
        </w:rPr>
        <w:t>0</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服务</w:t>
      </w:r>
      <w:r>
        <w:rPr>
          <w:rFonts w:hint="eastAsia" w:eastAsia="方正仿宋_GBK"/>
          <w:color w:val="000000" w:themeColor="text1"/>
          <w:sz w:val="32"/>
          <w:szCs w:val="32"/>
          <w14:textFill>
            <w14:solidFill>
              <w14:schemeClr w14:val="tx1"/>
            </w14:solidFill>
          </w14:textFill>
        </w:rPr>
        <w:t>对象满意度分析</w:t>
      </w:r>
    </w:p>
    <w:p>
      <w:pPr>
        <w:pageBreakBefore w:val="0"/>
        <w:kinsoku/>
        <w:wordWrap/>
        <w:overflowPunct/>
        <w:topLinePunct w:val="0"/>
        <w:autoSpaceDE/>
        <w:autoSpaceDN/>
        <w:bidi w:val="0"/>
        <w:spacing w:line="594" w:lineRule="exact"/>
        <w:ind w:firstLine="640" w:firstLineChars="200"/>
        <w:rPr>
          <w:rFonts w:hint="default"/>
          <w:lang w:val="en-US" w:eastAsia="zh-CN"/>
        </w:rPr>
      </w:pPr>
      <w:r>
        <w:rPr>
          <w:rFonts w:hint="eastAsia" w:eastAsia="方正仿宋_GBK"/>
          <w:color w:val="000000" w:themeColor="text1"/>
          <w:sz w:val="32"/>
          <w:szCs w:val="32"/>
          <w:lang w:eastAsia="zh-CN"/>
          <w14:textFill>
            <w14:solidFill>
              <w14:schemeClr w14:val="tx1"/>
            </w14:solidFill>
          </w14:textFill>
        </w:rPr>
        <w:t>未做好关于</w:t>
      </w:r>
      <w:r>
        <w:rPr>
          <w:rFonts w:hint="eastAsia" w:eastAsia="方正仿宋_GBK"/>
          <w:color w:val="000000" w:themeColor="text1"/>
          <w:sz w:val="32"/>
          <w:szCs w:val="32"/>
          <w14:textFill>
            <w14:solidFill>
              <w14:schemeClr w14:val="tx1"/>
            </w14:solidFill>
          </w14:textFill>
        </w:rPr>
        <w:t>12319城管舆情市民投诉问题办理的沟通、答疑、解释、宣传工作，导致案件处置完毕后</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市民</w:t>
      </w:r>
      <w:r>
        <w:rPr>
          <w:rFonts w:hint="eastAsia" w:eastAsia="方正仿宋_GBK"/>
          <w:color w:val="000000" w:themeColor="text1"/>
          <w:sz w:val="32"/>
          <w:szCs w:val="32"/>
          <w:lang w:eastAsia="zh-CN"/>
          <w14:textFill>
            <w14:solidFill>
              <w14:schemeClr w14:val="tx1"/>
            </w14:solidFill>
          </w14:textFill>
        </w:rPr>
        <w:t>群众</w:t>
      </w:r>
      <w:r>
        <w:rPr>
          <w:rFonts w:hint="eastAsia" w:eastAsia="方正仿宋_GBK"/>
          <w:color w:val="000000" w:themeColor="text1"/>
          <w:sz w:val="32"/>
          <w:szCs w:val="32"/>
          <w14:textFill>
            <w14:solidFill>
              <w14:schemeClr w14:val="tx1"/>
            </w14:solidFill>
          </w14:textFill>
        </w:rPr>
        <w:t>回访满意度不高</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根据评价标准，该指标得</w:t>
      </w:r>
      <w:r>
        <w:rPr>
          <w:rFonts w:hint="eastAsia" w:eastAsia="方正仿宋_GBK" w:cs="Times New Roman"/>
          <w:i w:val="0"/>
          <w:iCs w:val="0"/>
          <w:color w:val="000000" w:themeColor="text1"/>
          <w:kern w:val="2"/>
          <w:sz w:val="32"/>
          <w:szCs w:val="32"/>
          <w:u w:val="none"/>
          <w:lang w:val="en-US" w:eastAsia="zh-CN" w:bidi="ar"/>
          <w14:textFill>
            <w14:solidFill>
              <w14:schemeClr w14:val="tx1"/>
            </w14:solidFill>
          </w14:textFill>
        </w:rPr>
        <w:t>47.74</w:t>
      </w:r>
      <w:r>
        <w:rPr>
          <w:rFonts w:hint="eastAsia" w:ascii="Times New Roman" w:hAnsi="Times New Roman" w:eastAsia="方正仿宋_GBK" w:cs="Times New Roman"/>
          <w:i w:val="0"/>
          <w:iCs w:val="0"/>
          <w:color w:val="000000" w:themeColor="text1"/>
          <w:kern w:val="2"/>
          <w:sz w:val="32"/>
          <w:szCs w:val="32"/>
          <w:u w:val="none"/>
          <w:lang w:val="en-US" w:eastAsia="zh-CN" w:bidi="ar"/>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权重分。</w:t>
      </w:r>
    </w:p>
    <w:p>
      <w:pPr>
        <w:pageBreakBefore w:val="0"/>
        <w:kinsoku/>
        <w:wordWrap/>
        <w:overflowPunct/>
        <w:topLinePunct w:val="0"/>
        <w:autoSpaceDE/>
        <w:autoSpaceDN/>
        <w:bidi w:val="0"/>
        <w:spacing w:line="594" w:lineRule="exact"/>
        <w:ind w:firstLine="640" w:firstLineChars="200"/>
        <w:outlineLvl w:val="0"/>
        <w:rPr>
          <w:rFonts w:hint="eastAsia" w:eastAsia="方正黑体_GBK"/>
          <w:sz w:val="32"/>
          <w:szCs w:val="32"/>
        </w:rPr>
      </w:pPr>
      <w:bookmarkStart w:id="25" w:name="_Toc10189"/>
      <w:bookmarkStart w:id="26" w:name="_Toc26904"/>
      <w:bookmarkStart w:id="27" w:name="_Toc5289"/>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bookmarkEnd w:id="25"/>
      <w:bookmarkEnd w:id="26"/>
      <w:bookmarkEnd w:id="27"/>
    </w:p>
    <w:p>
      <w:pPr>
        <w:pageBreakBefore w:val="0"/>
        <w:numPr>
          <w:ilvl w:val="0"/>
          <w:numId w:val="0"/>
        </w:numPr>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lang w:val="en-US" w:eastAsia="zh-CN"/>
          <w14:textFill>
            <w14:solidFill>
              <w14:schemeClr w14:val="tx1"/>
            </w14:solidFill>
          </w14:textFill>
        </w:rPr>
        <w:t>数字城管人员的工作水平有待提高，工作态度有待提升。</w:t>
      </w:r>
    </w:p>
    <w:p>
      <w:pPr>
        <w:pageBreakBefore w:val="0"/>
        <w:numPr>
          <w:ilvl w:val="0"/>
          <w:numId w:val="0"/>
        </w:numPr>
        <w:kinsoku/>
        <w:wordWrap/>
        <w:overflowPunct/>
        <w:topLinePunct w:val="0"/>
        <w:autoSpaceDE/>
        <w:autoSpaceDN/>
        <w:bidi w:val="0"/>
        <w:spacing w:line="594" w:lineRule="exact"/>
        <w:ind w:firstLine="640" w:firstLineChars="200"/>
        <w:rPr>
          <w:rFonts w:hint="eastAsia" w:eastAsia="方正仿宋_GBK"/>
          <w:color w:val="000000" w:themeColor="text1"/>
          <w:sz w:val="32"/>
          <w:szCs w:val="32"/>
          <w:lang w:eastAsia="zh-CN"/>
          <w14:textFill>
            <w14:solidFill>
              <w14:schemeClr w14:val="tx1"/>
            </w14:solidFill>
          </w14:textFill>
        </w:rPr>
      </w:pPr>
      <w:r>
        <w:rPr>
          <w:rFonts w:hint="eastAsia" w:eastAsia="方正仿宋_GBK"/>
          <w:color w:val="000000" w:themeColor="text1"/>
          <w:sz w:val="32"/>
          <w:szCs w:val="32"/>
          <w:lang w:eastAsia="zh-CN"/>
          <w14:textFill>
            <w14:solidFill>
              <w14:schemeClr w14:val="tx1"/>
            </w14:solidFill>
          </w14:textFill>
        </w:rPr>
        <w:t>因对数字城管工作重视程度不高，且经办工作人员责任意识淡薄，工作态度敷衍，未及时受理与处置案件，所以导致超期未处置案件数增多。</w:t>
      </w:r>
    </w:p>
    <w:p>
      <w:pPr>
        <w:pageBreakBefore w:val="0"/>
        <w:numPr>
          <w:ilvl w:val="0"/>
          <w:numId w:val="0"/>
        </w:numPr>
        <w:kinsoku/>
        <w:wordWrap/>
        <w:overflowPunct/>
        <w:topLinePunct w:val="0"/>
        <w:autoSpaceDE/>
        <w:autoSpaceDN/>
        <w:bidi w:val="0"/>
        <w:spacing w:line="594" w:lineRule="exact"/>
        <w:ind w:firstLine="640" w:firstLineChars="200"/>
        <w:rPr>
          <w:rFonts w:hint="eastAsia"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val="en-US" w:eastAsia="zh-CN"/>
          <w14:textFill>
            <w14:solidFill>
              <w14:schemeClr w14:val="tx1"/>
            </w14:solidFill>
          </w14:textFill>
        </w:rPr>
        <w:t xml:space="preserve">2、市民对12319城管舆情投诉处理的回访满意度不高。 </w:t>
      </w:r>
    </w:p>
    <w:p>
      <w:pPr>
        <w:pageBreakBefore w:val="0"/>
        <w:numPr>
          <w:ilvl w:val="0"/>
          <w:numId w:val="0"/>
        </w:numPr>
        <w:kinsoku/>
        <w:wordWrap/>
        <w:overflowPunct/>
        <w:topLinePunct w:val="0"/>
        <w:autoSpaceDE/>
        <w:autoSpaceDN/>
        <w:bidi w:val="0"/>
        <w:spacing w:line="594" w:lineRule="exact"/>
        <w:ind w:firstLine="640" w:firstLineChars="200"/>
        <w:rPr>
          <w:rFonts w:hint="eastAsia" w:eastAsia="方正仿宋_GBK"/>
          <w:color w:val="000000" w:themeColor="text1"/>
          <w:sz w:val="32"/>
          <w:szCs w:val="32"/>
          <w:lang w:val="en-US" w:eastAsia="zh-CN"/>
          <w14:textFill>
            <w14:solidFill>
              <w14:schemeClr w14:val="tx1"/>
            </w14:solidFill>
          </w14:textFill>
        </w:rPr>
      </w:pPr>
      <w:r>
        <w:rPr>
          <w:rFonts w:hint="eastAsia" w:eastAsia="方正仿宋_GBK"/>
          <w:color w:val="000000" w:themeColor="text1"/>
          <w:sz w:val="32"/>
          <w:szCs w:val="32"/>
          <w:lang w:eastAsia="zh-CN"/>
          <w14:textFill>
            <w14:solidFill>
              <w14:schemeClr w14:val="tx1"/>
            </w14:solidFill>
          </w14:textFill>
        </w:rPr>
        <w:t>未做好关于</w:t>
      </w:r>
      <w:r>
        <w:rPr>
          <w:rFonts w:hint="eastAsia" w:eastAsia="方正仿宋_GBK"/>
          <w:color w:val="000000" w:themeColor="text1"/>
          <w:sz w:val="32"/>
          <w:szCs w:val="32"/>
          <w14:textFill>
            <w14:solidFill>
              <w14:schemeClr w14:val="tx1"/>
            </w14:solidFill>
          </w14:textFill>
        </w:rPr>
        <w:t>12319城管舆情市民投诉问题办理的沟通、答疑、解释、宣传工作</w:t>
      </w:r>
      <w:r>
        <w:rPr>
          <w:rFonts w:hint="eastAsia" w:eastAsia="方正仿宋_GBK"/>
          <w:color w:val="000000" w:themeColor="text1"/>
          <w:sz w:val="32"/>
          <w:szCs w:val="32"/>
          <w:lang w:val="en-US" w:eastAsia="zh-CN"/>
          <w14:textFill>
            <w14:solidFill>
              <w14:schemeClr w14:val="tx1"/>
            </w14:solidFill>
          </w14:textFill>
        </w:rPr>
        <w:t>，从而导致案件处理完后市民的回访满意度不高。</w:t>
      </w:r>
    </w:p>
    <w:p>
      <w:pPr>
        <w:pageBreakBefore w:val="0"/>
        <w:kinsoku/>
        <w:wordWrap/>
        <w:overflowPunct/>
        <w:topLinePunct w:val="0"/>
        <w:autoSpaceDE/>
        <w:autoSpaceDN/>
        <w:bidi w:val="0"/>
        <w:spacing w:line="594" w:lineRule="exact"/>
        <w:ind w:firstLine="640" w:firstLineChars="200"/>
        <w:outlineLvl w:val="0"/>
        <w:rPr>
          <w:rFonts w:hint="eastAsia" w:eastAsia="方正黑体_GBK"/>
          <w:sz w:val="32"/>
          <w:szCs w:val="32"/>
        </w:rPr>
      </w:pPr>
      <w:bookmarkStart w:id="28" w:name="_Toc15593"/>
      <w:bookmarkStart w:id="29" w:name="_Toc20296"/>
      <w:bookmarkStart w:id="30" w:name="_Toc6409"/>
      <w:r>
        <w:rPr>
          <w:rFonts w:hint="eastAsia" w:eastAsia="方正黑体_GBK"/>
          <w:sz w:val="32"/>
          <w:szCs w:val="32"/>
        </w:rPr>
        <w:t>五、有关建议</w:t>
      </w:r>
      <w:bookmarkEnd w:id="28"/>
      <w:bookmarkEnd w:id="29"/>
      <w:bookmarkEnd w:id="30"/>
    </w:p>
    <w:p>
      <w:pPr>
        <w:pageBreakBefore w:val="0"/>
        <w:numPr>
          <w:ilvl w:val="0"/>
          <w:numId w:val="0"/>
        </w:numPr>
        <w:kinsoku/>
        <w:wordWrap/>
        <w:overflowPunct/>
        <w:topLinePunct w:val="0"/>
        <w:autoSpaceDE/>
        <w:autoSpaceDN/>
        <w:bidi w:val="0"/>
        <w:spacing w:line="594" w:lineRule="exact"/>
        <w:ind w:firstLine="640" w:firstLineChars="200"/>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lang w:eastAsia="zh-CN"/>
          <w14:textFill>
            <w14:solidFill>
              <w14:schemeClr w14:val="tx1"/>
            </w14:solidFill>
          </w14:textFill>
        </w:rPr>
        <w:t>提高数字城管工作的重视程度，加强对工作人员的培训，强化经办工作人员的责任意识，提高工作水平</w:t>
      </w:r>
      <w:r>
        <w:rPr>
          <w:rFonts w:hint="eastAsia" w:eastAsia="方正仿宋_GBK"/>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pacing w:line="594" w:lineRule="exact"/>
        <w:ind w:firstLine="640" w:firstLineChars="200"/>
        <w:rPr>
          <w:rFonts w:hint="default" w:eastAsia="方正仿宋_GBK"/>
          <w:lang w:val="en-US" w:eastAsia="zh-CN"/>
        </w:rPr>
      </w:pPr>
      <w:r>
        <w:rPr>
          <w:rFonts w:hint="eastAsia" w:eastAsia="方正仿宋_GBK"/>
          <w:color w:val="000000" w:themeColor="text1"/>
          <w:sz w:val="32"/>
          <w:szCs w:val="32"/>
          <w:lang w:val="en-US" w:eastAsia="zh-CN"/>
          <w14:textFill>
            <w14:solidFill>
              <w14:schemeClr w14:val="tx1"/>
            </w14:solidFill>
          </w14:textFill>
        </w:rPr>
        <w:t>2、加强与市民群众的沟通、答疑、解释等工作，做好12319城管舆情宣传工作，提升市民回访满意度。</w:t>
      </w:r>
    </w:p>
    <w:p>
      <w:pPr>
        <w:pageBreakBefore w:val="0"/>
        <w:numPr>
          <w:ilvl w:val="0"/>
          <w:numId w:val="0"/>
        </w:numPr>
        <w:kinsoku/>
        <w:wordWrap/>
        <w:overflowPunct/>
        <w:topLinePunct w:val="0"/>
        <w:autoSpaceDE/>
        <w:autoSpaceDN/>
        <w:bidi w:val="0"/>
        <w:spacing w:line="594" w:lineRule="exact"/>
        <w:ind w:firstLine="420" w:firstLineChars="200"/>
        <w:rPr>
          <w:rFonts w:hint="default" w:eastAsia="方正仿宋_GBK"/>
          <w:lang w:val="en-US" w:eastAsia="zh-CN"/>
        </w:rPr>
      </w:pPr>
    </w:p>
    <w:sectPr>
      <w:footerReference r:id="rId5" w:type="default"/>
      <w:pgSz w:w="11906" w:h="16838"/>
      <w:pgMar w:top="1588" w:right="1474" w:bottom="1588"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C4FEA5"/>
    <w:multiLevelType w:val="singleLevel"/>
    <w:tmpl w:val="FDC4FE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OGE2NWI0MGM5YmZkY2ExYmM2ODlkMGRiYWEyNGY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3173C9"/>
    <w:rsid w:val="015F00FD"/>
    <w:rsid w:val="04800500"/>
    <w:rsid w:val="06711E11"/>
    <w:rsid w:val="077F1302"/>
    <w:rsid w:val="081D1247"/>
    <w:rsid w:val="08332819"/>
    <w:rsid w:val="0AC736EC"/>
    <w:rsid w:val="0BDA39AA"/>
    <w:rsid w:val="0BDD7AB9"/>
    <w:rsid w:val="0BFC7F7C"/>
    <w:rsid w:val="0C7B586A"/>
    <w:rsid w:val="0CCD48BE"/>
    <w:rsid w:val="0DC54B63"/>
    <w:rsid w:val="0E4F1A2E"/>
    <w:rsid w:val="0EC57F43"/>
    <w:rsid w:val="10B26366"/>
    <w:rsid w:val="12B207DE"/>
    <w:rsid w:val="137B21E9"/>
    <w:rsid w:val="16041350"/>
    <w:rsid w:val="16116966"/>
    <w:rsid w:val="18115FA7"/>
    <w:rsid w:val="19075736"/>
    <w:rsid w:val="19137AFC"/>
    <w:rsid w:val="1921046B"/>
    <w:rsid w:val="1AAC51C3"/>
    <w:rsid w:val="1BAD4238"/>
    <w:rsid w:val="1DC15D79"/>
    <w:rsid w:val="208771C0"/>
    <w:rsid w:val="2089317B"/>
    <w:rsid w:val="20C20786"/>
    <w:rsid w:val="22606964"/>
    <w:rsid w:val="22883309"/>
    <w:rsid w:val="233955DD"/>
    <w:rsid w:val="238910E7"/>
    <w:rsid w:val="25853A70"/>
    <w:rsid w:val="271D04C4"/>
    <w:rsid w:val="271D6716"/>
    <w:rsid w:val="274250E7"/>
    <w:rsid w:val="2EFF12A7"/>
    <w:rsid w:val="3161000A"/>
    <w:rsid w:val="333E1EEE"/>
    <w:rsid w:val="35C24D78"/>
    <w:rsid w:val="36696EFF"/>
    <w:rsid w:val="36E56B24"/>
    <w:rsid w:val="38082ACA"/>
    <w:rsid w:val="38BD1B36"/>
    <w:rsid w:val="398F5188"/>
    <w:rsid w:val="3BC60CD2"/>
    <w:rsid w:val="3BEA6610"/>
    <w:rsid w:val="3C357C06"/>
    <w:rsid w:val="3D4C0D14"/>
    <w:rsid w:val="3E562EEA"/>
    <w:rsid w:val="3FA05CDE"/>
    <w:rsid w:val="41A32010"/>
    <w:rsid w:val="42786A9F"/>
    <w:rsid w:val="429F402B"/>
    <w:rsid w:val="441A605F"/>
    <w:rsid w:val="451F1453"/>
    <w:rsid w:val="46461D61"/>
    <w:rsid w:val="4687248D"/>
    <w:rsid w:val="480F56C7"/>
    <w:rsid w:val="48295997"/>
    <w:rsid w:val="4E1F552A"/>
    <w:rsid w:val="4EB943FF"/>
    <w:rsid w:val="4F7F656F"/>
    <w:rsid w:val="5181771E"/>
    <w:rsid w:val="51A1531D"/>
    <w:rsid w:val="52293911"/>
    <w:rsid w:val="532946DA"/>
    <w:rsid w:val="54360319"/>
    <w:rsid w:val="548968E9"/>
    <w:rsid w:val="55596E28"/>
    <w:rsid w:val="55AA4D69"/>
    <w:rsid w:val="57503A11"/>
    <w:rsid w:val="590375C7"/>
    <w:rsid w:val="59C97EB4"/>
    <w:rsid w:val="59D40607"/>
    <w:rsid w:val="5A377E82"/>
    <w:rsid w:val="5E5665FB"/>
    <w:rsid w:val="5ED54C05"/>
    <w:rsid w:val="5F8E5F1A"/>
    <w:rsid w:val="5F9E149B"/>
    <w:rsid w:val="5FFA615F"/>
    <w:rsid w:val="61E0223F"/>
    <w:rsid w:val="62677710"/>
    <w:rsid w:val="631C0863"/>
    <w:rsid w:val="64300B2F"/>
    <w:rsid w:val="65C71020"/>
    <w:rsid w:val="67386679"/>
    <w:rsid w:val="67697E63"/>
    <w:rsid w:val="67D22629"/>
    <w:rsid w:val="688852DE"/>
    <w:rsid w:val="694110E9"/>
    <w:rsid w:val="69831701"/>
    <w:rsid w:val="6B67752D"/>
    <w:rsid w:val="6BE04BE9"/>
    <w:rsid w:val="6C990D0E"/>
    <w:rsid w:val="6E0C4284"/>
    <w:rsid w:val="6F5002D8"/>
    <w:rsid w:val="7318735E"/>
    <w:rsid w:val="73A843E5"/>
    <w:rsid w:val="74253AE1"/>
    <w:rsid w:val="74546174"/>
    <w:rsid w:val="762B132A"/>
    <w:rsid w:val="76A40D13"/>
    <w:rsid w:val="7B142F6C"/>
    <w:rsid w:val="7C381C46"/>
    <w:rsid w:val="7EA5419C"/>
    <w:rsid w:val="7FCE1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toc 3"/>
    <w:basedOn w:val="1"/>
    <w:next w:val="1"/>
    <w:semiHidden/>
    <w:unhideWhenUsed/>
    <w:qFormat/>
    <w:uiPriority w:val="39"/>
    <w:pPr>
      <w:ind w:left="840" w:leftChars="4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character" w:styleId="11">
    <w:name w:val="page number"/>
    <w:basedOn w:val="10"/>
    <w:qFormat/>
    <w:uiPriority w:val="0"/>
  </w:style>
  <w:style w:type="paragraph" w:styleId="12">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10"/>
    <w:link w:val="6"/>
    <w:qFormat/>
    <w:uiPriority w:val="99"/>
    <w:rPr>
      <w:rFonts w:ascii="Times New Roman" w:hAnsi="Times New Roman" w:eastAsia="宋体" w:cs="Times New Roman"/>
      <w:sz w:val="18"/>
      <w:szCs w:val="18"/>
    </w:rPr>
  </w:style>
  <w:style w:type="character" w:customStyle="1" w:styleId="14">
    <w:name w:val="页脚 Char"/>
    <w:basedOn w:val="10"/>
    <w:link w:val="5"/>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3288</Words>
  <Characters>3728</Characters>
  <Lines>1</Lines>
  <Paragraphs>1</Paragraphs>
  <TotalTime>4</TotalTime>
  <ScaleCrop>false</ScaleCrop>
  <LinksUpToDate>false</LinksUpToDate>
  <CharactersWithSpaces>3766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2020-04-20T16:58:00Z</dcterms:created>
  <dc:creator>Administrator</dc:creator>
  <cp:lastModifiedBy>suma</cp:lastModifiedBy>
  <cp:lastPrinted>2020-04-20T16:58:00Z</cp:lastPrinted>
  <dcterms:modified xsi:type="dcterms:W3CDTF">2023-09-13T14:43:29Z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48329ADE754F4F9D8C827E2579D0CA6C</vt:lpwstr>
  </property>
</Properties>
</file>