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bookmarkStart w:id="1" w:name="_GoBack"/>
      <w:bookmarkEnd w:id="1"/>
    </w:p>
    <w:p>
      <w:pPr>
        <w:spacing w:line="596" w:lineRule="exact"/>
        <w:jc w:val="center"/>
        <w:rPr>
          <w:rFonts w:eastAsia="方正小标宋_GBK"/>
          <w:sz w:val="44"/>
          <w:szCs w:val="32"/>
        </w:rPr>
      </w:pPr>
      <w:r>
        <w:rPr>
          <w:rFonts w:hint="eastAsia" w:eastAsia="方正小标宋_GBK"/>
          <w:sz w:val="44"/>
          <w:szCs w:val="32"/>
        </w:rPr>
        <w:t>重庆市璧山区市政设施所</w:t>
      </w:r>
    </w:p>
    <w:p>
      <w:pPr>
        <w:pStyle w:val="13"/>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3"/>
        <w:spacing w:line="594" w:lineRule="exact"/>
        <w:ind w:left="357" w:firstLine="640"/>
        <w:rPr>
          <w:rFonts w:eastAsia="方正仿宋_GBK"/>
          <w:sz w:val="32"/>
          <w:szCs w:val="32"/>
        </w:rPr>
      </w:pP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（一）部门（单位）基本情况</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1、部门（单位）职级</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重庆市璧山区市政设施所是区政府工作部门，为正科级。</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2、内设机构及编制</w:t>
      </w:r>
    </w:p>
    <w:p>
      <w:pPr>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重庆市璧山区市政设施所编制机构为1个，人员编制29人（实有人数29人），退休职工1人，临聘人员54人。</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3、部门（单位）职能职责</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（1）重庆市璧山区市政设施所为重庆市璧山区城市管理局下属全额拨款事业单位。主要负责为维护城市市政设施提供服务。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（2）宣传贯彻执行国家和地方有关市政公用设施维护管理的法律、法规、规章和政策。</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（3）协助主管部门做好编制城市市政基础设施建设、维护的中长期发展规划和年度计划的事务性工作。参与城市市政基础设施项目的竣工验收。</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（4）承担城区道路、桥梁、隧道、公园、广场等市政设施的维护。</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（5）承担规定权限内的城区窨井及窨井盖的日常维护。</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（6）承担城市功能照明、景观照明等城市照明设施的维护。</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（7）承担规定范围内的功能照明、景观照明等基础设施的建设任务。</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（8）承担主管部门交办的其他事项。</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（二）预算及支出情况</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2022年财政资金年初支出预算为38505727.29元，年中调整预算为28136457.03元，</w:t>
      </w: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rPr>
        <w:t>上年结转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年末支出决算为28136457.03元，</w:t>
      </w: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rPr>
        <w:t>年末结转和结余。</w:t>
      </w:r>
    </w:p>
    <w:p>
      <w:pPr>
        <w:spacing w:line="594" w:lineRule="exact"/>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二、主要成效</w:t>
      </w:r>
    </w:p>
    <w:p>
      <w:pPr>
        <w:pStyle w:val="4"/>
        <w:tabs>
          <w:tab w:val="left" w:pos="7140"/>
        </w:tabs>
        <w:spacing w:line="594" w:lineRule="exact"/>
        <w:ind w:right="-172" w:rightChars="-82" w:firstLine="630" w:firstLineChars="0"/>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bCs w:val="0"/>
          <w:sz w:val="32"/>
          <w:szCs w:val="32"/>
        </w:rPr>
        <w:t>圆满完成2022年春节迎春灯饰氛围营造工作，</w:t>
      </w:r>
      <w:r>
        <w:rPr>
          <w:rFonts w:hint="default" w:ascii="Times New Roman" w:hAnsi="Times New Roman" w:eastAsia="方正仿宋_GBK" w:cs="Times New Roman"/>
          <w:b w:val="0"/>
          <w:sz w:val="32"/>
          <w:szCs w:val="32"/>
        </w:rPr>
        <w:t>完成1个重要节点、2个城市出入口、3个主要广场、4条主干道、5个主要公园的迎春灯饰氛围营造，共搭设</w:t>
      </w:r>
      <w:r>
        <w:rPr>
          <w:rFonts w:hint="default" w:ascii="Times New Roman" w:hAnsi="Times New Roman" w:eastAsia="方正仿宋_GBK" w:cs="Times New Roman"/>
          <w:b w:val="0"/>
          <w:bCs w:val="0"/>
          <w:sz w:val="32"/>
          <w:szCs w:val="32"/>
        </w:rPr>
        <w:t>灯笼22000余个、灯饰小品16000余个、满天星180000余串、灯组200余组，营造喜庆、祥和的节日氛围</w:t>
      </w:r>
      <w:r>
        <w:rPr>
          <w:rFonts w:hint="default" w:ascii="Times New Roman" w:hAnsi="Times New Roman" w:eastAsia="方正仿宋_GBK" w:cs="Times New Roman"/>
          <w:b w:val="0"/>
          <w:kern w:val="0"/>
          <w:sz w:val="32"/>
          <w:szCs w:val="32"/>
        </w:rPr>
        <w:t>。</w:t>
      </w:r>
    </w:p>
    <w:p>
      <w:pPr>
        <w:pStyle w:val="4"/>
        <w:tabs>
          <w:tab w:val="left" w:pos="7140"/>
        </w:tabs>
        <w:spacing w:line="594" w:lineRule="exact"/>
        <w:ind w:right="-172" w:rightChars="-82"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sz w:val="32"/>
          <w:szCs w:val="32"/>
        </w:rPr>
        <w:t>2022年新改建路灯3698盏，主次干道装灯率达100%。</w:t>
      </w:r>
      <w:r>
        <w:rPr>
          <w:rFonts w:hint="default" w:ascii="Times New Roman" w:hAnsi="Times New Roman" w:eastAsia="方正仿宋_GBK" w:cs="Times New Roman"/>
          <w:b w:val="0"/>
          <w:bCs/>
          <w:sz w:val="32"/>
          <w:szCs w:val="32"/>
        </w:rPr>
        <w:t>大力推进绿色照明改造。积极推广应用低碳环保、高效节能、安全舒适的LED节能光源，完成剑山路、登云路、枫香路、聚金大道等3100盏绿色照明改造。</w:t>
      </w:r>
    </w:p>
    <w:p>
      <w:pPr>
        <w:pStyle w:val="4"/>
        <w:tabs>
          <w:tab w:val="left" w:pos="7140"/>
        </w:tabs>
        <w:spacing w:line="594" w:lineRule="exact"/>
        <w:ind w:right="-172" w:rightChars="-82" w:firstLine="640" w:firstLineChars="200"/>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持续开展照明盲区整治。以</w:t>
      </w:r>
      <w:r>
        <w:rPr>
          <w:rFonts w:hint="eastAsia" w:ascii="方正仿宋_GBK" w:hAnsi="方正仿宋_GBK" w:eastAsia="方正仿宋_GBK" w:cs="方正仿宋_GBK"/>
          <w:b w:val="0"/>
          <w:sz w:val="32"/>
          <w:szCs w:val="32"/>
        </w:rPr>
        <w:t>“补短板、强基础、惠民生”为目标</w:t>
      </w:r>
      <w:r>
        <w:rPr>
          <w:rFonts w:hint="default" w:ascii="Times New Roman" w:hAnsi="Times New Roman" w:eastAsia="方正仿宋_GBK" w:cs="Times New Roman"/>
          <w:b w:val="0"/>
          <w:sz w:val="32"/>
          <w:szCs w:val="32"/>
        </w:rPr>
        <w:t>，及时解决群众反映的热点难点问题，大力消除城市路灯</w:t>
      </w:r>
      <w:r>
        <w:rPr>
          <w:rFonts w:hint="eastAsia" w:ascii="方正仿宋_GBK" w:hAnsi="方正仿宋_GBK" w:eastAsia="方正仿宋_GBK" w:cs="方正仿宋_GBK"/>
          <w:b w:val="0"/>
          <w:sz w:val="32"/>
          <w:szCs w:val="32"/>
        </w:rPr>
        <w:t>照明“暗盲区”，在双星立交桥、两岔河公园、金山花园支巷、</w:t>
      </w:r>
      <w:r>
        <w:rPr>
          <w:rFonts w:hint="default" w:ascii="Times New Roman" w:hAnsi="Times New Roman" w:eastAsia="方正仿宋_GBK" w:cs="Times New Roman"/>
          <w:b w:val="0"/>
          <w:sz w:val="32"/>
          <w:szCs w:val="32"/>
        </w:rPr>
        <w:t>石山路等新增安装路灯103盏。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规范城市照明设施管理，提高功能照明维护水平，</w:t>
      </w:r>
      <w:r>
        <w:rPr>
          <w:rFonts w:hint="default" w:ascii="Times New Roman" w:hAnsi="Times New Roman" w:eastAsia="方正仿宋_GBK" w:cs="Times New Roman"/>
          <w:bCs/>
          <w:sz w:val="32"/>
          <w:szCs w:val="32"/>
        </w:rPr>
        <w:t>对城区公园以及近年来新改建路灯实施编号管理，</w:t>
      </w:r>
      <w:r>
        <w:rPr>
          <w:rFonts w:hint="default" w:ascii="Times New Roman" w:hAnsi="Times New Roman" w:eastAsia="方正仿宋_GBK" w:cs="Times New Roman"/>
          <w:sz w:val="32"/>
          <w:szCs w:val="32"/>
        </w:rPr>
        <w:t>完成秀湖公园、新立路、钨山路等4915块路灯杆、变压器及控制柜编号管理，有效提升照明设施故障发现率和检修率。</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进一步美化城市形象，有效改善市容环境，完成金剑路、璧青路、东林大道等1859根陈旧、脏污、锈蚀、褪色路灯杆翻新刷漆工作，营造整洁美观、庄重大方、协调统一的城市色彩。</w:t>
      </w:r>
      <w:r>
        <w:rPr>
          <w:rFonts w:hint="default" w:ascii="Times New Roman" w:hAnsi="Times New Roman" w:eastAsia="方正仿宋_GBK" w:cs="Times New Roman"/>
          <w:bCs/>
          <w:sz w:val="32"/>
          <w:szCs w:val="32"/>
        </w:rPr>
        <w:t>强化管理机制，加大巡查力度，加强城市道路照明日常维护，全年共计检修维护故障路灯11000余盏；修复损坏、裸露线缆180余处；更换、补充破损路灯井盖300余块；恢复肇事车辆撞坏路灯杆17根，确保功能照明设施完好率和亮灯率均达到99%以上。</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加强对璧山隧道排水设施、洞门、人行通道门、照明设施等进行安全隐患排查，2022以来日常巡查3000余次，劝阻步行进入隧道230人，劝导摩托车、三轮车进入隧道约2500辆，拖移故障车辆出隧道80余次，捡拾洞内散落物约0.9吨，捡拾遗弃共享单车、电瓶车60余辆，确保璧山隧道安全正常通行。</w:t>
      </w:r>
    </w:p>
    <w:p>
      <w:pPr>
        <w:spacing w:line="594" w:lineRule="exact"/>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三、绩效评价情况及结论</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根据《重庆市璧山区市政设施所2022年度部门整体支出绩效自评表》中的指标体系分析情况，重庆市璧山区市政设施所2022年度部门整体支出绩效自评总得分97.5分，等级</w:t>
      </w:r>
      <w:r>
        <w:rPr>
          <w:rFonts w:hint="eastAsia" w:ascii="方正仿宋_GBK" w:hAnsi="方正仿宋_GBK" w:eastAsia="方正仿宋_GBK" w:cs="方正仿宋_GBK"/>
          <w:sz w:val="32"/>
          <w:szCs w:val="32"/>
        </w:rPr>
        <w:t>为“优”。</w:t>
      </w:r>
      <w:r>
        <w:rPr>
          <w:rFonts w:hint="default" w:ascii="Times New Roman" w:hAnsi="Times New Roman" w:eastAsia="方正仿宋_GBK" w:cs="Times New Roman"/>
          <w:sz w:val="32"/>
          <w:szCs w:val="32"/>
        </w:rPr>
        <w:t>具体得分情况如表1所示。</w:t>
      </w:r>
    </w:p>
    <w:p>
      <w:pPr>
        <w:widowControl/>
        <w:spacing w:line="594" w:lineRule="exact"/>
        <w:jc w:val="left"/>
        <w:textAlignment w:val="auto"/>
        <w:rPr>
          <w:rFonts w:hint="default" w:ascii="Times New Roman" w:hAnsi="Times New Roman" w:eastAsia="方正仿宋_GBK" w:cs="Times New Roman"/>
          <w:kern w:val="0"/>
          <w:sz w:val="28"/>
          <w:szCs w:val="28"/>
          <w:shd w:val="clear" w:color="auto" w:fill="FFFFFF"/>
        </w:rPr>
      </w:pPr>
      <w:r>
        <w:rPr>
          <w:rFonts w:hint="default" w:ascii="Times New Roman" w:hAnsi="Times New Roman" w:eastAsia="方正仿宋_GBK" w:cs="Times New Roman"/>
          <w:kern w:val="0"/>
          <w:sz w:val="28"/>
          <w:szCs w:val="28"/>
          <w:shd w:val="clear" w:color="auto" w:fill="FFFFFF"/>
        </w:rPr>
        <w:br w:type="page"/>
      </w:r>
    </w:p>
    <w:p>
      <w:pPr>
        <w:widowControl/>
        <w:spacing w:line="594" w:lineRule="exact"/>
        <w:jc w:val="center"/>
        <w:textAlignment w:val="center"/>
        <w:rPr>
          <w:rFonts w:hint="default" w:ascii="Times New Roman" w:hAnsi="Times New Roman" w:eastAsia="方正仿宋_GBK" w:cs="Times New Roman"/>
          <w:kern w:val="0"/>
          <w:sz w:val="28"/>
          <w:szCs w:val="28"/>
          <w:shd w:val="clear" w:color="auto" w:fill="FFFFFF"/>
        </w:rPr>
      </w:pPr>
      <w:r>
        <w:rPr>
          <w:rFonts w:hint="default" w:ascii="Times New Roman" w:hAnsi="Times New Roman" w:eastAsia="方正仿宋_GBK" w:cs="Times New Roman"/>
          <w:kern w:val="0"/>
          <w:sz w:val="28"/>
          <w:szCs w:val="28"/>
          <w:shd w:val="clear" w:color="auto" w:fill="FFFFFF"/>
        </w:rPr>
        <w:t>表1：指标得分情况</w:t>
      </w:r>
    </w:p>
    <w:tbl>
      <w:tblPr>
        <w:tblStyle w:val="7"/>
        <w:tblW w:w="8183" w:type="dxa"/>
        <w:jc w:val="center"/>
        <w:tblLayout w:type="fixed"/>
        <w:tblCellMar>
          <w:top w:w="0" w:type="dxa"/>
          <w:left w:w="108" w:type="dxa"/>
          <w:bottom w:w="0" w:type="dxa"/>
          <w:right w:w="108" w:type="dxa"/>
        </w:tblCellMar>
      </w:tblPr>
      <w:tblGrid>
        <w:gridCol w:w="3844"/>
        <w:gridCol w:w="1447"/>
        <w:gridCol w:w="1447"/>
        <w:gridCol w:w="1445"/>
      </w:tblGrid>
      <w:tr>
        <w:tblPrEx>
          <w:tblCellMar>
            <w:top w:w="0" w:type="dxa"/>
            <w:left w:w="108" w:type="dxa"/>
            <w:bottom w:w="0" w:type="dxa"/>
            <w:right w:w="108" w:type="dxa"/>
          </w:tblCellMar>
        </w:tblPrEx>
        <w:trPr>
          <w:trHeight w:val="433"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指标名称</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权重</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得分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得分率</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路灯及景观灯饰电费缴存率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路灯维护数量</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路灯亮灯率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路灯设施完好率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璧山隧道及实际管护的附属设施</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景观灯饰亮灯率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景观灯饰设施完好率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预算执行率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项目绩效管理率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2.5</w:t>
            </w:r>
          </w:p>
        </w:tc>
        <w:tc>
          <w:tcPr>
            <w:tcW w:w="144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50%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单位预决算编制及时率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r>
        <w:tblPrEx>
          <w:tblCellMar>
            <w:top w:w="0" w:type="dxa"/>
            <w:left w:w="108" w:type="dxa"/>
            <w:bottom w:w="0" w:type="dxa"/>
            <w:right w:w="108" w:type="dxa"/>
          </w:tblCellMar>
        </w:tblPrEx>
        <w:trPr>
          <w:trHeight w:val="428" w:hRule="atLeast"/>
          <w:jc w:val="center"/>
        </w:trPr>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服务对象满意度</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100%</w:t>
            </w:r>
          </w:p>
        </w:tc>
      </w:tr>
    </w:tbl>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1、路灯及景观灯饰电费缴存率</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完成2022年所有路灯及景观灯饰电费缴存，保障了路灯及景观灯饰正常运行，保障了市民正常出行安全，提升了城市形象。根据评价标准，该指标得100%权重分。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2、路灯维护数量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对区住房城乡建委、服务业发展区管委会、璧城街道、璧泉街道配套建设移交的8个生态停车场、登云路、石山路、吕凤子路等路灯进行了维护管理，保障维护数量，达到年初目标。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3、路灯亮灯率</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2022年亮灯率均达到99%以上，年初目标亮灯率达到98%以上，城市道路照明作为必不可少的市政公用设施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直接关系到广大人民群众出行的便利，关系到城市夜间交通安全和治安环境，景观亮灯也是必不可少。亮灯率反映了道路照明的整体运行状况，项目执行情况良好。根据评价标准，该指标得100%权重分。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4、路灯设施完好率</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年共计检修维护故障路灯11000余盏；修复损坏、裸露线缆180余处；更换、补充破损路灯井盖300余块；恢复肇事车辆撞坏路灯杆17根，确保功能照明设施完好率和亮灯率均达到99%以上，保障了照明设施的正常运行，防范各类安全事故发生，确保路灯亮灯率和设施完好率，全面提升城区亮化环境，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5、璧山隧道及实际管护的附属设施</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成对璧山隧道排水设施、洞门、人行通道门、照明设施等进行安全隐患排查，2022以来日常巡查3000余次，劝阻步行进入隧道230人，劝导摩托车、三轮车进入隧道约2500辆，拖移故障车辆出隧道80余次，捡拾洞内散落物约0.9吨，捡拾遗弃共享单车、电瓶车60余辆，确保璧山隧道安全正常通行，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6、景观灯饰亮灯率</w:t>
      </w:r>
    </w:p>
    <w:p>
      <w:pPr>
        <w:spacing w:line="594" w:lineRule="exact"/>
        <w:ind w:firstLine="64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加大对城区市场化维护楼宇灯饰和璧南河河堤景观灯饰巡查力度，督促景观照明市场化维护施工单位落实维修责任，按时检修、及时维护，严把质量关，确保整体灯饰效果。二是加强对社会单位景观照明设施维护监管力度，发放灯饰检修通知70余份，督促金科·中央公园城、秀湖鹭岛、碧桂园小区完成配套楼宇灯饰检修，确保景观照明设施完好率和亮灯率均达到95%以上，根据评价标准，该指标得100%权重分。</w:t>
      </w:r>
    </w:p>
    <w:p>
      <w:pPr>
        <w:pStyle w:val="13"/>
        <w:numPr>
          <w:ilvl w:val="-1"/>
          <w:numId w:val="0"/>
        </w:numPr>
        <w:spacing w:line="594" w:lineRule="exact"/>
        <w:ind w:left="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景观灯饰设施完好率</w:t>
      </w:r>
    </w:p>
    <w:p>
      <w:pPr>
        <w:spacing w:line="594" w:lineRule="exact"/>
        <w:ind w:left="0" w:firstLine="640" w:firstLineChars="200"/>
        <w:rPr>
          <w:rFonts w:hint="default" w:ascii="Times New Roman" w:hAnsi="Times New Roman" w:eastAsia="方正仿宋_GBK" w:cs="Times New Roman"/>
          <w:sz w:val="32"/>
          <w:szCs w:val="32"/>
        </w:rPr>
      </w:pPr>
      <w:bookmarkStart w:id="0" w:name="OLE_LINK1"/>
      <w:r>
        <w:rPr>
          <w:rFonts w:hint="default" w:ascii="Times New Roman" w:hAnsi="Times New Roman" w:eastAsia="方正仿宋_GBK" w:cs="Times New Roman"/>
          <w:sz w:val="32"/>
          <w:szCs w:val="32"/>
        </w:rPr>
        <w:t>2022年景观照明设施完好率和亮灯率均达到95%以上</w:t>
      </w:r>
      <w:bookmarkEnd w:id="0"/>
      <w:r>
        <w:rPr>
          <w:rFonts w:hint="default" w:ascii="Times New Roman" w:hAnsi="Times New Roman" w:eastAsia="方正仿宋_GBK" w:cs="Times New Roman"/>
          <w:sz w:val="32"/>
          <w:szCs w:val="32"/>
        </w:rPr>
        <w:t>，根据评价标准，该指标得100%权重分。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8、预算执行率</w:t>
      </w:r>
    </w:p>
    <w:p>
      <w:pPr>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按照年初设定绩效目标预算执行率不得低于100%，完成预算执行率为100%，及时发放了人员经费、公用经费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保障了我单位正常运转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体现了预算编制的准确性及科学性。根据评价标准，该指标得100%权重分。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9、项目绩效管理率</w:t>
      </w:r>
    </w:p>
    <w:p>
      <w:pPr>
        <w:spacing w:line="594" w:lineRule="exact"/>
        <w:ind w:firstLine="640" w:firstLineChars="200"/>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项目绩效管理率达到了95%，年初绩效目标为100%，部分绩效没有达到年初预计绩效目标（路灯及隧道维修费里面持续推进市政设施改善色彩管控没有达到预计目标，还有待继续改善），加强绩效目标的管理，继续完成未达到的目标。根据评价标准，该指标得50%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10、单位预决算编制及时率</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按照主管部门要求，完整及时编制预决算，编制</w:t>
      </w:r>
      <w:r>
        <w:rPr>
          <w:rFonts w:hint="default"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rPr>
        <w:t>率达到100%根据评价标准，该指标得100%权重分。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11、服务对象满意度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按照服务满意度进行综合分析，服务对象对服务人员的工作态度和服务内容表示满意，服务对象满意度为90%，达到了年初满意度的目标。根据评价标准，该指标得100%权重分。</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四、需重点关注的问题</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项目绩效管理率达到了95%，年初绩效目标为100%，部分绩效没有达到年初预计绩效目标，路灯及隧道维修费项目里面持续推进市政设施改善色彩管控没有达到预计目标，工程作业车辆运行维护费里面改善城区综合品质没有达到绩效目标。</w:t>
      </w:r>
    </w:p>
    <w:p>
      <w:pPr>
        <w:numPr>
          <w:ilvl w:val="-1"/>
          <w:numId w:val="0"/>
        </w:numPr>
        <w:spacing w:line="594" w:lineRule="exact"/>
        <w:ind w:left="0" w:leftChars="0"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rPr>
        <w:t>有关建议</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推进市政设施色彩管控进一步美化城市形象，有效改善市容环境，完成金剑路、璧青路、东林大道等陈旧、脏污、锈蚀、褪色路灯杆翻新刷漆工作，营造整洁美观、庄重大方、协调统一的城市色彩。对城区综合品质进一步进行完善、绿色照明进行改造、照明盲区进行整治、灯杆编号进行管理，进行常态精细管理。</w:t>
      </w:r>
    </w:p>
    <w:p>
      <w:pPr>
        <w:rPr>
          <w:rFonts w:hint="default" w:eastAsia="方正仿宋_GBK"/>
          <w:szCs w:val="21"/>
        </w:rPr>
      </w:pPr>
    </w:p>
    <w:p>
      <w:pPr>
        <w:rPr>
          <w:rFonts w:hint="default" w:eastAsia="方正仿宋_GBK"/>
          <w:szCs w:val="21"/>
        </w:rPr>
      </w:pPr>
    </w:p>
    <w:p>
      <w:pPr>
        <w:rPr>
          <w:rFonts w:hint="default" w:eastAsia="方正仿宋_GBK"/>
          <w:szCs w:val="21"/>
        </w:rPr>
      </w:pPr>
    </w:p>
    <w:p>
      <w:pPr>
        <w:rPr>
          <w:rFonts w:hint="default" w:eastAsia="方正仿宋_GBK"/>
          <w:szCs w:val="21"/>
        </w:rPr>
      </w:pPr>
    </w:p>
    <w:p>
      <w:pPr>
        <w:spacing w:line="596" w:lineRule="exact"/>
        <w:ind w:firstLine="640" w:firstLineChars="200"/>
        <w:rPr>
          <w:rFonts w:hint="default" w:ascii="Times New Roman" w:hAnsi="Times New Roman" w:eastAsia="方正仿宋_GBK"/>
          <w:sz w:val="32"/>
          <w:szCs w:val="32"/>
        </w:rPr>
      </w:pPr>
    </w:p>
    <w:p>
      <w:pPr>
        <w:spacing w:line="596" w:lineRule="exact"/>
        <w:ind w:firstLine="640" w:firstLineChars="200"/>
        <w:rPr>
          <w:rFonts w:hint="default" w:ascii="Times New Roman" w:hAnsi="Times New Roman" w:eastAsia="方正仿宋_GBK"/>
          <w:sz w:val="32"/>
          <w:szCs w:val="32"/>
        </w:rPr>
      </w:pPr>
    </w:p>
    <w:p>
      <w:pPr>
        <w:pStyle w:val="13"/>
        <w:spacing w:line="596" w:lineRule="exact"/>
        <w:ind w:left="1360" w:firstLine="0" w:firstLineChars="0"/>
        <w:rPr>
          <w:rFonts w:hint="default" w:ascii="Times New Roman" w:hAnsi="Times New Roman" w:eastAsia="方正仿宋_GBK"/>
          <w:sz w:val="32"/>
          <w:szCs w:val="32"/>
        </w:rPr>
      </w:pPr>
    </w:p>
    <w:p>
      <w:pPr>
        <w:pStyle w:val="13"/>
        <w:spacing w:line="596" w:lineRule="exact"/>
        <w:ind w:left="1360" w:firstLine="0" w:firstLineChars="0"/>
        <w:rPr>
          <w:rFonts w:hint="default" w:ascii="Times New Roman" w:hAnsi="Times New Roman" w:eastAsia="方正仿宋_GBK"/>
          <w:sz w:val="32"/>
          <w:szCs w:val="32"/>
        </w:rPr>
      </w:pPr>
    </w:p>
    <w:p>
      <w:pPr>
        <w:spacing w:line="596" w:lineRule="exact"/>
        <w:ind w:firstLine="640" w:firstLineChars="200"/>
        <w:rPr>
          <w:rFonts w:hint="default" w:ascii="Times New Roman" w:hAnsi="Times New Roman" w:eastAsia="方正仿宋_GBK"/>
          <w:sz w:val="32"/>
          <w:szCs w:val="32"/>
        </w:rPr>
      </w:pPr>
    </w:p>
    <w:sectPr>
      <w:headerReference r:id="rId3" w:type="default"/>
      <w:footerReference r:id="rId4" w:type="default"/>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0OTI2ODRkY2MzOTE3ZjdlYzVhMWQyZDk2MDZjZDMifQ=="/>
    <w:docVar w:name="KSO_WPS_MARK_KEY" w:val="00e543a2-18b1-43e5-b994-b394a15e0224"/>
  </w:docVars>
  <w:rsids>
    <w:rsidRoot w:val="00806865"/>
    <w:rsid w:val="00043A15"/>
    <w:rsid w:val="000575E2"/>
    <w:rsid w:val="00063B15"/>
    <w:rsid w:val="0009607E"/>
    <w:rsid w:val="000B0744"/>
    <w:rsid w:val="000B5DB9"/>
    <w:rsid w:val="000C0972"/>
    <w:rsid w:val="000C1656"/>
    <w:rsid w:val="000F5047"/>
    <w:rsid w:val="001704BB"/>
    <w:rsid w:val="00171AB3"/>
    <w:rsid w:val="00186E2E"/>
    <w:rsid w:val="001A1093"/>
    <w:rsid w:val="001C3D64"/>
    <w:rsid w:val="001C641A"/>
    <w:rsid w:val="001C6822"/>
    <w:rsid w:val="001D7D99"/>
    <w:rsid w:val="001E256D"/>
    <w:rsid w:val="001E2D5B"/>
    <w:rsid w:val="00247BB1"/>
    <w:rsid w:val="002571F7"/>
    <w:rsid w:val="002641A6"/>
    <w:rsid w:val="002834C5"/>
    <w:rsid w:val="00285B73"/>
    <w:rsid w:val="0028660A"/>
    <w:rsid w:val="00293914"/>
    <w:rsid w:val="002C141E"/>
    <w:rsid w:val="002D3ED2"/>
    <w:rsid w:val="002F6627"/>
    <w:rsid w:val="00304656"/>
    <w:rsid w:val="003058AB"/>
    <w:rsid w:val="00323824"/>
    <w:rsid w:val="00333D24"/>
    <w:rsid w:val="0034410B"/>
    <w:rsid w:val="003532F1"/>
    <w:rsid w:val="00357647"/>
    <w:rsid w:val="00365C0E"/>
    <w:rsid w:val="003710B2"/>
    <w:rsid w:val="00381982"/>
    <w:rsid w:val="00381F5B"/>
    <w:rsid w:val="00384864"/>
    <w:rsid w:val="00391B05"/>
    <w:rsid w:val="003B01B9"/>
    <w:rsid w:val="003E4915"/>
    <w:rsid w:val="003E75C4"/>
    <w:rsid w:val="00401B11"/>
    <w:rsid w:val="00422429"/>
    <w:rsid w:val="0043034C"/>
    <w:rsid w:val="00443E03"/>
    <w:rsid w:val="00487348"/>
    <w:rsid w:val="00487C87"/>
    <w:rsid w:val="00497B55"/>
    <w:rsid w:val="004C051C"/>
    <w:rsid w:val="004E07B9"/>
    <w:rsid w:val="00516F77"/>
    <w:rsid w:val="00517952"/>
    <w:rsid w:val="00517F1D"/>
    <w:rsid w:val="00547BAD"/>
    <w:rsid w:val="00550210"/>
    <w:rsid w:val="005516E1"/>
    <w:rsid w:val="00563118"/>
    <w:rsid w:val="00575A97"/>
    <w:rsid w:val="005A221A"/>
    <w:rsid w:val="005B5ED1"/>
    <w:rsid w:val="005C6BE9"/>
    <w:rsid w:val="00601307"/>
    <w:rsid w:val="00606BA5"/>
    <w:rsid w:val="00640748"/>
    <w:rsid w:val="006417E5"/>
    <w:rsid w:val="0064309B"/>
    <w:rsid w:val="00661A0D"/>
    <w:rsid w:val="006651F4"/>
    <w:rsid w:val="00671BB5"/>
    <w:rsid w:val="00675355"/>
    <w:rsid w:val="006772C6"/>
    <w:rsid w:val="00692E95"/>
    <w:rsid w:val="006C7720"/>
    <w:rsid w:val="006C793C"/>
    <w:rsid w:val="006D100A"/>
    <w:rsid w:val="006E6E29"/>
    <w:rsid w:val="00704B56"/>
    <w:rsid w:val="00725E01"/>
    <w:rsid w:val="00732DA5"/>
    <w:rsid w:val="00770339"/>
    <w:rsid w:val="0077453E"/>
    <w:rsid w:val="0079497F"/>
    <w:rsid w:val="007B27A0"/>
    <w:rsid w:val="007B7EB0"/>
    <w:rsid w:val="007C2693"/>
    <w:rsid w:val="007D04AB"/>
    <w:rsid w:val="007D7B0E"/>
    <w:rsid w:val="007E54DF"/>
    <w:rsid w:val="007E7E72"/>
    <w:rsid w:val="00806211"/>
    <w:rsid w:val="00806865"/>
    <w:rsid w:val="0081273A"/>
    <w:rsid w:val="0082343D"/>
    <w:rsid w:val="00831BF0"/>
    <w:rsid w:val="00837D1D"/>
    <w:rsid w:val="00844EE6"/>
    <w:rsid w:val="00871B89"/>
    <w:rsid w:val="00880010"/>
    <w:rsid w:val="008A7625"/>
    <w:rsid w:val="008D02AF"/>
    <w:rsid w:val="008D25A0"/>
    <w:rsid w:val="009108DF"/>
    <w:rsid w:val="00954CF8"/>
    <w:rsid w:val="00965D2C"/>
    <w:rsid w:val="00974291"/>
    <w:rsid w:val="009A23DE"/>
    <w:rsid w:val="009B12BE"/>
    <w:rsid w:val="00A1196F"/>
    <w:rsid w:val="00A27343"/>
    <w:rsid w:val="00A3725D"/>
    <w:rsid w:val="00A45BE4"/>
    <w:rsid w:val="00A609B3"/>
    <w:rsid w:val="00AD0DAD"/>
    <w:rsid w:val="00AF31E0"/>
    <w:rsid w:val="00AF4F38"/>
    <w:rsid w:val="00B05A8A"/>
    <w:rsid w:val="00B07031"/>
    <w:rsid w:val="00B17BC3"/>
    <w:rsid w:val="00B34D05"/>
    <w:rsid w:val="00B35A15"/>
    <w:rsid w:val="00B767CD"/>
    <w:rsid w:val="00B85927"/>
    <w:rsid w:val="00BA45C8"/>
    <w:rsid w:val="00BC3295"/>
    <w:rsid w:val="00BC3330"/>
    <w:rsid w:val="00BD1848"/>
    <w:rsid w:val="00BF6FF2"/>
    <w:rsid w:val="00C00644"/>
    <w:rsid w:val="00C31CE4"/>
    <w:rsid w:val="00C40965"/>
    <w:rsid w:val="00C50537"/>
    <w:rsid w:val="00C746C4"/>
    <w:rsid w:val="00C77086"/>
    <w:rsid w:val="00C858DD"/>
    <w:rsid w:val="00CD33CE"/>
    <w:rsid w:val="00CF26C3"/>
    <w:rsid w:val="00D610B4"/>
    <w:rsid w:val="00D86135"/>
    <w:rsid w:val="00DB4F10"/>
    <w:rsid w:val="00E05A32"/>
    <w:rsid w:val="00E11CE4"/>
    <w:rsid w:val="00E225F8"/>
    <w:rsid w:val="00E25A0F"/>
    <w:rsid w:val="00E33F86"/>
    <w:rsid w:val="00E42BE7"/>
    <w:rsid w:val="00E55405"/>
    <w:rsid w:val="00E72086"/>
    <w:rsid w:val="00E91393"/>
    <w:rsid w:val="00EB0A75"/>
    <w:rsid w:val="00EF2A45"/>
    <w:rsid w:val="00F037F2"/>
    <w:rsid w:val="00F363A6"/>
    <w:rsid w:val="00F70C2E"/>
    <w:rsid w:val="00F85444"/>
    <w:rsid w:val="00F9262E"/>
    <w:rsid w:val="00F93438"/>
    <w:rsid w:val="00FA41F0"/>
    <w:rsid w:val="00FA579C"/>
    <w:rsid w:val="00FD0041"/>
    <w:rsid w:val="00FE38F2"/>
    <w:rsid w:val="0BDD7AB9"/>
    <w:rsid w:val="0C7B586A"/>
    <w:rsid w:val="12B207DE"/>
    <w:rsid w:val="137B21E9"/>
    <w:rsid w:val="17AF0948"/>
    <w:rsid w:val="1C703032"/>
    <w:rsid w:val="3D4C0D14"/>
    <w:rsid w:val="3F3D030E"/>
    <w:rsid w:val="427903FA"/>
    <w:rsid w:val="481E2F40"/>
    <w:rsid w:val="4DF01EAE"/>
    <w:rsid w:val="532946DA"/>
    <w:rsid w:val="55596E28"/>
    <w:rsid w:val="67AAA256"/>
    <w:rsid w:val="6AF6C41C"/>
    <w:rsid w:val="7DE3B1CF"/>
    <w:rsid w:val="7ECF313B"/>
    <w:rsid w:val="EFDA4855"/>
    <w:rsid w:val="FFFF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4"/>
    <w:unhideWhenUsed/>
    <w:qFormat/>
    <w:uiPriority w:val="99"/>
    <w:pPr>
      <w:spacing w:line="500" w:lineRule="exact"/>
      <w:ind w:firstLine="301" w:firstLineChars="100"/>
    </w:pPr>
    <w:rPr>
      <w:b/>
      <w:bCs/>
      <w:sz w:val="28"/>
      <w:szCs w:val="2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paragraph" w:styleId="10">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字符"/>
    <w:basedOn w:val="8"/>
    <w:link w:val="6"/>
    <w:qFormat/>
    <w:uiPriority w:val="99"/>
    <w:rPr>
      <w:rFonts w:ascii="Times New Roman" w:hAnsi="Times New Roman" w:eastAsia="宋体" w:cs="Times New Roman"/>
      <w:sz w:val="18"/>
      <w:szCs w:val="18"/>
    </w:rPr>
  </w:style>
  <w:style w:type="character" w:customStyle="1" w:styleId="12">
    <w:name w:val="页脚 字符"/>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正文文本缩进 字符"/>
    <w:basedOn w:val="8"/>
    <w:link w:val="4"/>
    <w:qFormat/>
    <w:uiPriority w:val="99"/>
    <w:rPr>
      <w:rFonts w:ascii="Times New Roman" w:hAnsi="Times New Roman" w:eastAsia="宋体" w:cs="Times New Roman"/>
      <w:b/>
      <w:bCs/>
      <w:kern w:val="2"/>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2946</Words>
  <Characters>3218</Characters>
  <Lines>24</Lines>
  <Paragraphs>6</Paragraphs>
  <TotalTime>317</TotalTime>
  <ScaleCrop>false</ScaleCrop>
  <LinksUpToDate>false</LinksUpToDate>
  <CharactersWithSpaces>3220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2023-03-24T10:19:00Z</dcterms:created>
  <dc:creator>Administrator</dc:creator>
  <cp:lastModifiedBy>suma</cp:lastModifiedBy>
  <cp:lastPrinted>2023-04-01T10:37:00Z</cp:lastPrinted>
  <dcterms:modified xsi:type="dcterms:W3CDTF">2023-09-19T14:00:54Z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ECB59C6144234ED6840E3DA4DDBBE844</vt:lpwstr>
  </property>
</Properties>
</file>