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仿宋_GBK" w:eastAsia="方正仿宋_GBK"/>
          <w:sz w:val="32"/>
          <w:szCs w:val="32"/>
        </w:rPr>
      </w:pPr>
      <w:r>
        <w:rPr>
          <w:rFonts w:hint="eastAsia" w:ascii="方正仿宋_GBK" w:eastAsia="方正仿宋_GBK"/>
          <w:sz w:val="32"/>
          <w:szCs w:val="32"/>
        </w:rPr>
        <w:t>附件4</w:t>
      </w:r>
    </w:p>
    <w:p>
      <w:pPr>
        <w:spacing w:line="596" w:lineRule="exact"/>
        <w:jc w:val="center"/>
        <w:rPr>
          <w:rFonts w:eastAsia="方正小标宋_GBK"/>
          <w:sz w:val="44"/>
          <w:szCs w:val="32"/>
        </w:rPr>
      </w:pPr>
      <w:r>
        <w:rPr>
          <w:rFonts w:hint="eastAsia" w:eastAsia="方正小标宋_GBK"/>
          <w:sz w:val="44"/>
          <w:szCs w:val="32"/>
        </w:rPr>
        <w:t>重庆市璧山区园林绿化管理所</w:t>
      </w:r>
    </w:p>
    <w:p>
      <w:pPr>
        <w:spacing w:line="596" w:lineRule="exact"/>
        <w:jc w:val="center"/>
        <w:rPr>
          <w:rFonts w:eastAsia="方正小标宋_GBK"/>
          <w:sz w:val="44"/>
          <w:szCs w:val="32"/>
        </w:rPr>
      </w:pPr>
      <w:r>
        <w:rPr>
          <w:rFonts w:hint="eastAsia" w:eastAsia="方正小标宋_GBK"/>
          <w:sz w:val="44"/>
          <w:szCs w:val="32"/>
        </w:rPr>
        <w:t>2022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7"/>
        <w:spacing w:line="596" w:lineRule="exact"/>
        <w:ind w:left="357" w:firstLine="640"/>
        <w:rPr>
          <w:rFonts w:eastAsia="方正仿宋_GBK"/>
          <w:sz w:val="32"/>
          <w:szCs w:val="32"/>
        </w:rPr>
      </w:pPr>
    </w:p>
    <w:p>
      <w:pPr>
        <w:keepNext w:val="0"/>
        <w:keepLines w:val="0"/>
        <w:pageBreakBefore w:val="0"/>
        <w:kinsoku/>
        <w:wordWrap/>
        <w:overflowPunct/>
        <w:topLinePunct w:val="0"/>
        <w:autoSpaceDE/>
        <w:autoSpaceDN/>
        <w:bidi w:val="0"/>
        <w:spacing w:line="594" w:lineRule="exact"/>
        <w:ind w:firstLine="640" w:firstLineChars="200"/>
        <w:outlineLvl w:val="0"/>
        <w:rPr>
          <w:rFonts w:eastAsia="方正黑体_GBK"/>
          <w:sz w:val="32"/>
          <w:szCs w:val="32"/>
        </w:rPr>
      </w:pPr>
      <w:bookmarkStart w:id="0" w:name="_Toc15122"/>
      <w:r>
        <w:rPr>
          <w:rFonts w:eastAsia="方正黑体_GBK"/>
          <w:sz w:val="32"/>
          <w:szCs w:val="32"/>
        </w:rPr>
        <w:t>一、基本</w:t>
      </w:r>
      <w:r>
        <w:rPr>
          <w:rFonts w:hint="eastAsia" w:eastAsia="方正黑体_GBK"/>
          <w:sz w:val="32"/>
          <w:szCs w:val="32"/>
        </w:rPr>
        <w:t>情况</w:t>
      </w:r>
      <w:bookmarkEnd w:id="0"/>
    </w:p>
    <w:p>
      <w:pPr>
        <w:keepNext w:val="0"/>
        <w:keepLines w:val="0"/>
        <w:pageBreakBefore w:val="0"/>
        <w:kinsoku/>
        <w:wordWrap/>
        <w:overflowPunct/>
        <w:topLinePunct w:val="0"/>
        <w:autoSpaceDE/>
        <w:autoSpaceDN/>
        <w:bidi w:val="0"/>
        <w:spacing w:line="594" w:lineRule="exact"/>
        <w:ind w:firstLine="640" w:firstLineChars="200"/>
        <w:outlineLvl w:val="1"/>
        <w:rPr>
          <w:rFonts w:hint="eastAsia" w:ascii="方正楷体_GBK" w:hAnsi="方正楷体_GBK" w:eastAsia="方正楷体_GBK" w:cs="方正楷体_GBK"/>
          <w:sz w:val="32"/>
          <w:szCs w:val="32"/>
        </w:rPr>
      </w:pPr>
      <w:bookmarkStart w:id="1" w:name="_Toc2160"/>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color w:val="000000" w:themeColor="text1"/>
          <w:sz w:val="32"/>
          <w:szCs w:val="32"/>
        </w:rPr>
        <w:t>部门（单位）</w:t>
      </w:r>
      <w:r>
        <w:rPr>
          <w:rFonts w:hint="eastAsia" w:ascii="方正楷体_GBK" w:hAnsi="方正楷体_GBK" w:eastAsia="方正楷体_GBK" w:cs="方正楷体_GBK"/>
          <w:sz w:val="32"/>
          <w:szCs w:val="32"/>
        </w:rPr>
        <w:t>基本情况。</w:t>
      </w:r>
      <w:bookmarkEnd w:id="1"/>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1、部门</w:t>
      </w:r>
      <w:r>
        <w:rPr>
          <w:rFonts w:hint="eastAsia" w:eastAsia="方正仿宋_GBK"/>
          <w:color w:val="000000" w:themeColor="text1"/>
          <w:sz w:val="32"/>
          <w:szCs w:val="32"/>
        </w:rPr>
        <w:t>（单位）</w:t>
      </w:r>
      <w:r>
        <w:rPr>
          <w:rFonts w:hint="eastAsia" w:eastAsia="方正仿宋_GBK"/>
          <w:sz w:val="32"/>
          <w:szCs w:val="32"/>
        </w:rPr>
        <w:t>职级</w:t>
      </w:r>
    </w:p>
    <w:p>
      <w:pPr>
        <w:keepNext w:val="0"/>
        <w:keepLines w:val="0"/>
        <w:pageBreakBefore w:val="0"/>
        <w:kinsoku/>
        <w:wordWrap/>
        <w:overflowPunct/>
        <w:topLinePunct w:val="0"/>
        <w:autoSpaceDE/>
        <w:autoSpaceDN/>
        <w:bidi w:val="0"/>
        <w:spacing w:line="594" w:lineRule="exact"/>
        <w:ind w:firstLine="640" w:firstLineChars="200"/>
        <w:rPr>
          <w:rFonts w:hint="eastAsia" w:eastAsia="方正仿宋_GBK"/>
          <w:sz w:val="32"/>
          <w:szCs w:val="32"/>
          <w:lang w:eastAsia="zh-CN"/>
        </w:rPr>
      </w:pPr>
      <w:r>
        <w:rPr>
          <w:rFonts w:hint="eastAsia" w:eastAsia="方正仿宋_GBK"/>
          <w:sz w:val="32"/>
          <w:szCs w:val="32"/>
        </w:rPr>
        <w:t>重庆市璧山区园林绿化管理所为重庆市璧山区城市管理局管理的财政全额补助公益一类事业单位，按正科级管理</w:t>
      </w:r>
      <w:r>
        <w:rPr>
          <w:rFonts w:hint="eastAsia" w:eastAsia="方正仿宋_GBK"/>
          <w:sz w:val="32"/>
          <w:szCs w:val="32"/>
          <w:lang w:eastAsia="zh-CN"/>
        </w:rPr>
        <w:t>。</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2、内设机构及编制</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重庆市璧山区园林绿化管理所为独立核算事业单位，核定编制38人（其中干部32人，工人6人），实有人数36人（其中干部34人，工人2人）。</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3、部门</w:t>
      </w:r>
      <w:r>
        <w:rPr>
          <w:rFonts w:hint="eastAsia" w:eastAsia="方正仿宋_GBK"/>
          <w:color w:val="000000" w:themeColor="text1"/>
          <w:sz w:val="32"/>
          <w:szCs w:val="32"/>
        </w:rPr>
        <w:t>（单位）</w:t>
      </w:r>
      <w:r>
        <w:rPr>
          <w:rFonts w:hint="eastAsia" w:eastAsia="方正仿宋_GBK"/>
          <w:sz w:val="32"/>
          <w:szCs w:val="32"/>
        </w:rPr>
        <w:t>职能职责</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（1）宣传贯彻国家和地方关于园林绿化的法律、法规、规章和政策；</w:t>
      </w:r>
    </w:p>
    <w:p>
      <w:pPr>
        <w:keepNext w:val="0"/>
        <w:keepLines w:val="0"/>
        <w:pageBreakBefore w:val="0"/>
        <w:kinsoku/>
        <w:wordWrap/>
        <w:overflowPunct/>
        <w:topLinePunct w:val="0"/>
        <w:autoSpaceDE/>
        <w:autoSpaceDN/>
        <w:bidi w:val="0"/>
        <w:spacing w:line="594" w:lineRule="exact"/>
        <w:ind w:left="638" w:leftChars="304"/>
        <w:rPr>
          <w:rFonts w:eastAsia="方正仿宋_GBK"/>
          <w:sz w:val="32"/>
          <w:szCs w:val="32"/>
        </w:rPr>
      </w:pPr>
      <w:r>
        <w:rPr>
          <w:rFonts w:hint="eastAsia" w:eastAsia="方正仿宋_GBK"/>
          <w:sz w:val="32"/>
          <w:szCs w:val="32"/>
        </w:rPr>
        <w:t>（2）制定绿化养护质量标准和城市园林绿化专业技术规范；（3）承担城区规定范围内的园林绿化建设；</w:t>
      </w:r>
    </w:p>
    <w:p>
      <w:pPr>
        <w:keepNext w:val="0"/>
        <w:keepLines w:val="0"/>
        <w:pageBreakBefore w:val="0"/>
        <w:kinsoku/>
        <w:wordWrap/>
        <w:overflowPunct/>
        <w:topLinePunct w:val="0"/>
        <w:autoSpaceDE/>
        <w:autoSpaceDN/>
        <w:bidi w:val="0"/>
        <w:spacing w:line="594" w:lineRule="exact"/>
        <w:ind w:left="638" w:leftChars="304"/>
        <w:rPr>
          <w:rFonts w:eastAsia="方正仿宋_GBK"/>
          <w:sz w:val="32"/>
          <w:szCs w:val="32"/>
        </w:rPr>
      </w:pPr>
      <w:r>
        <w:rPr>
          <w:rFonts w:hint="eastAsia" w:eastAsia="方正仿宋_GBK"/>
          <w:sz w:val="32"/>
          <w:szCs w:val="32"/>
        </w:rPr>
        <w:t>（4）城区公共园林绿化的日常养护管理；</w:t>
      </w:r>
    </w:p>
    <w:p>
      <w:pPr>
        <w:keepNext w:val="0"/>
        <w:keepLines w:val="0"/>
        <w:pageBreakBefore w:val="0"/>
        <w:kinsoku/>
        <w:wordWrap/>
        <w:overflowPunct/>
        <w:topLinePunct w:val="0"/>
        <w:autoSpaceDE/>
        <w:autoSpaceDN/>
        <w:bidi w:val="0"/>
        <w:spacing w:line="594" w:lineRule="exact"/>
        <w:ind w:left="638" w:leftChars="304"/>
        <w:rPr>
          <w:rFonts w:eastAsia="方正仿宋_GBK"/>
          <w:sz w:val="32"/>
          <w:szCs w:val="32"/>
        </w:rPr>
      </w:pPr>
      <w:r>
        <w:rPr>
          <w:rFonts w:hint="eastAsia" w:eastAsia="方正仿宋_GBK"/>
          <w:sz w:val="32"/>
          <w:szCs w:val="32"/>
        </w:rPr>
        <w:t>（5）编制区级绿地系统规划和绿线划定；</w:t>
      </w:r>
    </w:p>
    <w:p>
      <w:pPr>
        <w:keepNext w:val="0"/>
        <w:keepLines w:val="0"/>
        <w:pageBreakBefore w:val="0"/>
        <w:kinsoku/>
        <w:wordWrap/>
        <w:overflowPunct/>
        <w:topLinePunct w:val="0"/>
        <w:autoSpaceDE/>
        <w:autoSpaceDN/>
        <w:bidi w:val="0"/>
        <w:spacing w:line="594" w:lineRule="exact"/>
        <w:ind w:left="638" w:leftChars="304"/>
        <w:rPr>
          <w:rFonts w:eastAsia="方正仿宋_GBK"/>
          <w:sz w:val="32"/>
          <w:szCs w:val="32"/>
        </w:rPr>
      </w:pPr>
      <w:r>
        <w:rPr>
          <w:rFonts w:hint="eastAsia" w:eastAsia="方正仿宋_GBK"/>
          <w:sz w:val="32"/>
          <w:szCs w:val="32"/>
        </w:rPr>
        <w:t>（6）城市古树名木保护管理；</w:t>
      </w:r>
    </w:p>
    <w:p>
      <w:pPr>
        <w:keepNext w:val="0"/>
        <w:keepLines w:val="0"/>
        <w:pageBreakBefore w:val="0"/>
        <w:kinsoku/>
        <w:wordWrap/>
        <w:overflowPunct/>
        <w:topLinePunct w:val="0"/>
        <w:autoSpaceDE/>
        <w:autoSpaceDN/>
        <w:bidi w:val="0"/>
        <w:spacing w:line="594" w:lineRule="exact"/>
        <w:ind w:left="638" w:leftChars="304"/>
        <w:rPr>
          <w:rFonts w:eastAsia="方正仿宋_GBK"/>
          <w:sz w:val="32"/>
          <w:szCs w:val="32"/>
        </w:rPr>
      </w:pPr>
      <w:r>
        <w:rPr>
          <w:rFonts w:hint="eastAsia" w:eastAsia="方正仿宋_GBK"/>
          <w:sz w:val="32"/>
          <w:szCs w:val="32"/>
        </w:rPr>
        <w:t>（7）城市义务植树活动；</w:t>
      </w:r>
    </w:p>
    <w:p>
      <w:pPr>
        <w:keepNext w:val="0"/>
        <w:keepLines w:val="0"/>
        <w:pageBreakBefore w:val="0"/>
        <w:kinsoku/>
        <w:wordWrap/>
        <w:overflowPunct/>
        <w:topLinePunct w:val="0"/>
        <w:autoSpaceDE/>
        <w:autoSpaceDN/>
        <w:bidi w:val="0"/>
        <w:spacing w:line="594" w:lineRule="exact"/>
        <w:ind w:left="638" w:leftChars="304"/>
        <w:rPr>
          <w:rFonts w:eastAsia="方正仿宋_GBK"/>
          <w:sz w:val="32"/>
          <w:szCs w:val="32"/>
        </w:rPr>
      </w:pPr>
      <w:r>
        <w:rPr>
          <w:rFonts w:hint="eastAsia" w:eastAsia="方正仿宋_GBK"/>
          <w:sz w:val="32"/>
          <w:szCs w:val="32"/>
        </w:rPr>
        <w:t>（8）对各镇（街道）园林绿化的业务指导；</w:t>
      </w:r>
    </w:p>
    <w:p>
      <w:pPr>
        <w:keepNext w:val="0"/>
        <w:keepLines w:val="0"/>
        <w:pageBreakBefore w:val="0"/>
        <w:kinsoku/>
        <w:wordWrap/>
        <w:overflowPunct/>
        <w:topLinePunct w:val="0"/>
        <w:autoSpaceDE/>
        <w:autoSpaceDN/>
        <w:bidi w:val="0"/>
        <w:spacing w:line="594" w:lineRule="exact"/>
        <w:ind w:left="638" w:leftChars="304"/>
        <w:rPr>
          <w:rFonts w:eastAsia="方正仿宋_GBK"/>
          <w:sz w:val="32"/>
          <w:szCs w:val="32"/>
        </w:rPr>
      </w:pPr>
      <w:r>
        <w:rPr>
          <w:rFonts w:hint="eastAsia" w:eastAsia="方正仿宋_GBK"/>
          <w:sz w:val="32"/>
          <w:szCs w:val="32"/>
        </w:rPr>
        <w:t>（9）园林绿化工程招投标、定额、质量管理；生态、园林创建技术指导；</w:t>
      </w:r>
    </w:p>
    <w:p>
      <w:pPr>
        <w:keepNext w:val="0"/>
        <w:keepLines w:val="0"/>
        <w:pageBreakBefore w:val="0"/>
        <w:kinsoku/>
        <w:wordWrap/>
        <w:overflowPunct/>
        <w:topLinePunct w:val="0"/>
        <w:autoSpaceDE/>
        <w:autoSpaceDN/>
        <w:bidi w:val="0"/>
        <w:spacing w:line="594" w:lineRule="exact"/>
        <w:ind w:left="638" w:leftChars="304"/>
        <w:rPr>
          <w:rFonts w:eastAsia="方正仿宋_GBK"/>
          <w:sz w:val="32"/>
          <w:szCs w:val="32"/>
        </w:rPr>
      </w:pPr>
      <w:r>
        <w:rPr>
          <w:rFonts w:hint="eastAsia" w:eastAsia="方正仿宋_GBK"/>
          <w:sz w:val="32"/>
          <w:szCs w:val="32"/>
        </w:rPr>
        <w:t>（10）苗圃基地建设管理，组织花卉、苗木培育生产；</w:t>
      </w:r>
    </w:p>
    <w:p>
      <w:pPr>
        <w:keepNext w:val="0"/>
        <w:keepLines w:val="0"/>
        <w:pageBreakBefore w:val="0"/>
        <w:kinsoku/>
        <w:wordWrap/>
        <w:overflowPunct/>
        <w:topLinePunct w:val="0"/>
        <w:autoSpaceDE/>
        <w:autoSpaceDN/>
        <w:bidi w:val="0"/>
        <w:spacing w:line="594" w:lineRule="exact"/>
        <w:ind w:left="638" w:leftChars="304"/>
        <w:rPr>
          <w:rFonts w:eastAsia="方正仿宋_GBK"/>
          <w:sz w:val="32"/>
          <w:szCs w:val="32"/>
        </w:rPr>
      </w:pPr>
      <w:r>
        <w:rPr>
          <w:rFonts w:hint="eastAsia" w:eastAsia="方正仿宋_GBK"/>
          <w:sz w:val="32"/>
          <w:szCs w:val="32"/>
        </w:rPr>
        <w:t>（11）城区公共绿地节点美化和花卉摆放等。</w:t>
      </w:r>
    </w:p>
    <w:p>
      <w:pPr>
        <w:keepNext w:val="0"/>
        <w:keepLines w:val="0"/>
        <w:pageBreakBefore w:val="0"/>
        <w:kinsoku/>
        <w:wordWrap/>
        <w:overflowPunct/>
        <w:topLinePunct w:val="0"/>
        <w:autoSpaceDE/>
        <w:autoSpaceDN/>
        <w:bidi w:val="0"/>
        <w:spacing w:line="594" w:lineRule="exact"/>
        <w:ind w:firstLine="640" w:firstLineChars="200"/>
        <w:outlineLvl w:val="1"/>
        <w:rPr>
          <w:rFonts w:hint="eastAsia" w:ascii="方正楷体_GBK" w:hAnsi="方正楷体_GBK" w:eastAsia="方正楷体_GBK" w:cs="方正楷体_GBK"/>
          <w:sz w:val="32"/>
          <w:szCs w:val="32"/>
        </w:rPr>
      </w:pPr>
      <w:bookmarkStart w:id="2" w:name="_Toc345"/>
      <w:bookmarkStart w:id="3" w:name="_Toc8052"/>
      <w:r>
        <w:rPr>
          <w:rFonts w:hint="eastAsia" w:ascii="方正楷体_GBK" w:hAnsi="方正楷体_GBK" w:eastAsia="方正楷体_GBK" w:cs="方正楷体_GBK"/>
          <w:sz w:val="32"/>
          <w:szCs w:val="32"/>
        </w:rPr>
        <w:t>（二）预算及支出情况</w:t>
      </w:r>
      <w:bookmarkEnd w:id="2"/>
      <w:bookmarkEnd w:id="3"/>
    </w:p>
    <w:p>
      <w:pPr>
        <w:keepNext w:val="0"/>
        <w:keepLines w:val="0"/>
        <w:pageBreakBefore w:val="0"/>
        <w:kinsoku/>
        <w:wordWrap/>
        <w:overflowPunct/>
        <w:topLinePunct w:val="0"/>
        <w:autoSpaceDE/>
        <w:autoSpaceDN/>
        <w:bidi w:val="0"/>
        <w:spacing w:line="594" w:lineRule="exact"/>
        <w:ind w:firstLine="640" w:firstLineChars="200"/>
      </w:pPr>
      <w:r>
        <w:rPr>
          <w:rFonts w:hint="eastAsia" w:hAnsi="方正仿宋_GBK" w:eastAsia="方正仿宋_GBK" w:cs="方正仿宋_GBK"/>
          <w:sz w:val="32"/>
          <w:szCs w:val="32"/>
        </w:rPr>
        <w:t>2022年财政资金年初支出预算为2668.81万元，调整后支出预算为2565.90万元；年末支出决算为2565.90万元。</w:t>
      </w:r>
    </w:p>
    <w:p>
      <w:pPr>
        <w:keepNext w:val="0"/>
        <w:keepLines w:val="0"/>
        <w:pageBreakBefore w:val="0"/>
        <w:kinsoku/>
        <w:wordWrap/>
        <w:overflowPunct/>
        <w:topLinePunct w:val="0"/>
        <w:autoSpaceDE/>
        <w:autoSpaceDN/>
        <w:bidi w:val="0"/>
        <w:spacing w:line="594" w:lineRule="exact"/>
        <w:ind w:firstLine="640" w:firstLineChars="200"/>
        <w:outlineLvl w:val="0"/>
        <w:rPr>
          <w:rFonts w:eastAsia="方正黑体_GBK"/>
          <w:sz w:val="32"/>
          <w:szCs w:val="32"/>
        </w:rPr>
      </w:pPr>
      <w:bookmarkStart w:id="4" w:name="_Toc27776"/>
      <w:r>
        <w:rPr>
          <w:rFonts w:hint="eastAsia" w:eastAsia="方正黑体_GBK"/>
          <w:sz w:val="32"/>
          <w:szCs w:val="32"/>
        </w:rPr>
        <w:t>二</w:t>
      </w:r>
      <w:r>
        <w:rPr>
          <w:rFonts w:eastAsia="方正黑体_GBK"/>
          <w:sz w:val="32"/>
          <w:szCs w:val="32"/>
        </w:rPr>
        <w:t>、</w:t>
      </w:r>
      <w:r>
        <w:rPr>
          <w:rFonts w:hint="eastAsia" w:eastAsia="方正黑体_GBK"/>
          <w:sz w:val="32"/>
          <w:szCs w:val="32"/>
        </w:rPr>
        <w:t>主要成效</w:t>
      </w:r>
      <w:bookmarkEnd w:id="4"/>
    </w:p>
    <w:p>
      <w:pPr>
        <w:pStyle w:val="5"/>
        <w:keepNext w:val="0"/>
        <w:keepLines w:val="0"/>
        <w:pageBreakBefore w:val="0"/>
        <w:kinsoku/>
        <w:wordWrap/>
        <w:overflowPunct/>
        <w:topLinePunct w:val="0"/>
        <w:autoSpaceDE/>
        <w:autoSpaceDN/>
        <w:bidi w:val="0"/>
        <w:spacing w:line="594" w:lineRule="exact"/>
        <w:ind w:firstLine="640" w:firstLineChars="200"/>
        <w:rPr>
          <w:rFonts w:ascii="Times New Roman" w:hAnsi="Times New Roman" w:eastAsia="方正仿宋_GBK" w:cs="Times New Roman"/>
        </w:rPr>
      </w:pPr>
      <w:r>
        <w:rPr>
          <w:rFonts w:hint="eastAsia" w:ascii="Times New Roman" w:hAnsi="Times New Roman" w:eastAsia="方正仿宋_GBK"/>
          <w:snapToGrid w:val="0"/>
          <w:kern w:val="0"/>
          <w:sz w:val="32"/>
          <w:szCs w:val="32"/>
        </w:rPr>
        <w:t>璧山区城市园林绿化工作坚持以</w:t>
      </w:r>
      <w:r>
        <w:rPr>
          <w:rFonts w:hint="eastAsia" w:ascii="Times New Roman" w:hAnsi="Times New Roman" w:eastAsia="方正仿宋_GBK" w:cs="Times New Roman"/>
          <w:sz w:val="32"/>
          <w:szCs w:val="32"/>
        </w:rPr>
        <w:t>“生态优先，绿色发展”为主基调，</w:t>
      </w:r>
      <w:r>
        <w:rPr>
          <w:rFonts w:hint="eastAsia" w:ascii="Times New Roman" w:hAnsi="Times New Roman" w:eastAsia="方正仿宋_GBK"/>
          <w:snapToGrid w:val="0"/>
          <w:kern w:val="0"/>
          <w:sz w:val="32"/>
          <w:szCs w:val="32"/>
        </w:rPr>
        <w:t>持续改善城市环境，全面提升城市品质</w:t>
      </w:r>
      <w:r>
        <w:rPr>
          <w:rFonts w:hint="eastAsia" w:ascii="Times New Roman" w:hAnsi="Times New Roman" w:eastAsia="方正仿宋_GBK"/>
          <w:sz w:val="32"/>
          <w:szCs w:val="32"/>
        </w:rPr>
        <w:t>，推进城市生态园林建设与养护精细化、标准化、规范化管理</w:t>
      </w:r>
      <w:r>
        <w:rPr>
          <w:rFonts w:hint="eastAsia" w:eastAsia="方正仿宋_GBK"/>
          <w:sz w:val="32"/>
          <w:szCs w:val="32"/>
        </w:rPr>
        <w:t>。</w:t>
      </w:r>
      <w:r>
        <w:rPr>
          <w:rFonts w:hint="eastAsia" w:ascii="Times New Roman" w:hAnsi="Times New Roman" w:eastAsia="方正仿宋_GBK" w:cs="Times New Roman"/>
          <w:sz w:val="32"/>
          <w:szCs w:val="32"/>
        </w:rPr>
        <w:t>2022</w:t>
      </w:r>
      <w:r>
        <w:rPr>
          <w:rFonts w:hint="eastAsia" w:eastAsia="方正仿宋_GBK"/>
          <w:sz w:val="32"/>
          <w:szCs w:val="32"/>
        </w:rPr>
        <w:t>年</w:t>
      </w:r>
      <w:r>
        <w:rPr>
          <w:rFonts w:hint="eastAsia" w:ascii="Times New Roman" w:hAnsi="Times New Roman" w:eastAsia="方正仿宋_GBK" w:cs="Times New Roman"/>
          <w:sz w:val="32"/>
          <w:szCs w:val="32"/>
        </w:rPr>
        <w:t>新增口袋公园面积13000平方米</w:t>
      </w:r>
      <w:r>
        <w:rPr>
          <w:rFonts w:hint="eastAsia" w:eastAsia="方正仿宋_GBK"/>
          <w:sz w:val="32"/>
          <w:szCs w:val="32"/>
        </w:rPr>
        <w:t>，</w:t>
      </w:r>
      <w:r>
        <w:rPr>
          <w:rFonts w:hint="eastAsia" w:ascii="Times New Roman" w:hAnsi="Times New Roman" w:eastAsia="方正仿宋_GBK" w:cs="方正仿宋_GBK"/>
          <w:sz w:val="32"/>
          <w:szCs w:val="32"/>
        </w:rPr>
        <w:t>社区体育文化公园</w:t>
      </w:r>
      <w:r>
        <w:rPr>
          <w:rFonts w:hint="eastAsia" w:ascii="Times New Roman" w:hAnsi="Times New Roman" w:eastAsia="方正仿宋_GBK" w:cs="Times New Roman"/>
          <w:sz w:val="32"/>
          <w:szCs w:val="32"/>
        </w:rPr>
        <w:t>面积9600平方米</w:t>
      </w:r>
      <w:r>
        <w:rPr>
          <w:rFonts w:hint="eastAsia" w:eastAsia="方正仿宋_GBK"/>
          <w:sz w:val="32"/>
          <w:szCs w:val="32"/>
        </w:rPr>
        <w:t>，</w:t>
      </w:r>
      <w:r>
        <w:rPr>
          <w:rFonts w:hint="eastAsia" w:ascii="Times New Roman" w:hAnsi="Times New Roman" w:eastAsia="方正仿宋_GBK" w:cs="方正仿宋_GBK"/>
          <w:sz w:val="32"/>
          <w:szCs w:val="32"/>
        </w:rPr>
        <w:t>完善了“公园之城”的建设</w:t>
      </w:r>
      <w:r>
        <w:rPr>
          <w:rFonts w:hint="eastAsia" w:hAnsi="方正楷体_GBK" w:eastAsia="方正楷体_GBK" w:cs="方正楷体_GBK"/>
          <w:sz w:val="32"/>
          <w:szCs w:val="32"/>
        </w:rPr>
        <w:t>。</w:t>
      </w:r>
      <w:r>
        <w:rPr>
          <w:rFonts w:ascii="Times New Roman" w:hAnsi="Times New Roman" w:eastAsia="方正仿宋_GBK" w:cs="Times New Roman"/>
          <w:sz w:val="32"/>
          <w:szCs w:val="32"/>
        </w:rPr>
        <w:t>强化管护措施，绿化补缺提质</w:t>
      </w:r>
      <w:r>
        <w:rPr>
          <w:rFonts w:eastAsia="方正仿宋_GBK"/>
          <w:sz w:val="32"/>
          <w:szCs w:val="32"/>
        </w:rPr>
        <w:t>，</w:t>
      </w:r>
      <w:r>
        <w:rPr>
          <w:rFonts w:ascii="Times New Roman" w:hAnsi="Times New Roman" w:eastAsia="方正仿宋_GBK"/>
          <w:sz w:val="32"/>
          <w:szCs w:val="32"/>
        </w:rPr>
        <w:t>河东路、沿河西路、</w:t>
      </w:r>
      <w:r>
        <w:rPr>
          <w:rFonts w:hint="eastAsia" w:ascii="Times New Roman" w:hAnsi="Times New Roman" w:eastAsia="方正仿宋_GBK"/>
          <w:sz w:val="32"/>
          <w:szCs w:val="32"/>
        </w:rPr>
        <w:t>双星大道</w:t>
      </w:r>
      <w:r>
        <w:rPr>
          <w:rFonts w:ascii="Times New Roman" w:hAnsi="Times New Roman" w:eastAsia="方正仿宋_GBK"/>
          <w:sz w:val="32"/>
          <w:szCs w:val="32"/>
        </w:rPr>
        <w:t>等</w:t>
      </w:r>
      <w:r>
        <w:rPr>
          <w:rFonts w:hint="eastAsia" w:ascii="Times New Roman" w:hAnsi="Times New Roman" w:eastAsia="方正仿宋_GBK"/>
          <w:sz w:val="32"/>
          <w:szCs w:val="32"/>
        </w:rPr>
        <w:t>15</w:t>
      </w:r>
      <w:r>
        <w:rPr>
          <w:rFonts w:ascii="Times New Roman" w:hAnsi="Times New Roman" w:eastAsia="方正仿宋_GBK"/>
          <w:sz w:val="32"/>
          <w:szCs w:val="32"/>
        </w:rPr>
        <w:t>个城市园林绿化补缺提质项目</w:t>
      </w:r>
      <w:r>
        <w:rPr>
          <w:rFonts w:hint="eastAsia" w:ascii="Times New Roman" w:hAnsi="Times New Roman" w:eastAsia="方正仿宋_GBK"/>
          <w:sz w:val="32"/>
          <w:szCs w:val="32"/>
        </w:rPr>
        <w:t>，</w:t>
      </w:r>
      <w:r>
        <w:rPr>
          <w:rFonts w:ascii="Times New Roman" w:hAnsi="Times New Roman" w:eastAsia="方正仿宋_GBK"/>
          <w:sz w:val="32"/>
          <w:szCs w:val="32"/>
        </w:rPr>
        <w:t>补缺提质面积</w:t>
      </w:r>
      <w:r>
        <w:rPr>
          <w:rFonts w:hint="eastAsia" w:ascii="Times New Roman" w:hAnsi="Times New Roman" w:eastAsia="方正仿宋_GBK"/>
          <w:sz w:val="32"/>
          <w:szCs w:val="32"/>
        </w:rPr>
        <w:t>10万</w:t>
      </w:r>
      <w:r>
        <w:rPr>
          <w:rFonts w:ascii="Times New Roman" w:hAnsi="Times New Roman" w:eastAsia="方正仿宋_GBK"/>
          <w:sz w:val="32"/>
          <w:szCs w:val="32"/>
        </w:rPr>
        <w:t>平方米</w:t>
      </w:r>
      <w:r>
        <w:rPr>
          <w:rFonts w:hint="eastAsia" w:eastAsia="方正仿宋_GBK"/>
          <w:b/>
          <w:sz w:val="32"/>
          <w:szCs w:val="32"/>
        </w:rPr>
        <w:t>。</w:t>
      </w:r>
      <w:r>
        <w:rPr>
          <w:rFonts w:hint="eastAsia" w:ascii="Times New Roman" w:hAnsi="Times New Roman" w:eastAsia="方正仿宋_GBK"/>
          <w:snapToGrid w:val="0"/>
          <w:kern w:val="0"/>
          <w:sz w:val="32"/>
          <w:szCs w:val="32"/>
        </w:rPr>
        <w:t>加强古树名木保护</w:t>
      </w:r>
      <w:r>
        <w:rPr>
          <w:rFonts w:hint="eastAsia" w:eastAsia="方正仿宋_GBK"/>
          <w:snapToGrid w:val="0"/>
          <w:kern w:val="0"/>
          <w:sz w:val="32"/>
          <w:szCs w:val="32"/>
        </w:rPr>
        <w:t>，</w:t>
      </w:r>
      <w:r>
        <w:rPr>
          <w:rFonts w:hint="eastAsia" w:ascii="Times New Roman" w:hAnsi="Times New Roman" w:eastAsia="方正仿宋_GBK"/>
          <w:snapToGrid w:val="0"/>
          <w:kern w:val="0"/>
          <w:sz w:val="32"/>
          <w:szCs w:val="32"/>
        </w:rPr>
        <w:t>全面更换补植草（鲜）花</w:t>
      </w:r>
      <w:r>
        <w:rPr>
          <w:rFonts w:hint="eastAsia" w:ascii="Times New Roman" w:hAnsi="Times New Roman" w:eastAsia="方正仿宋_GBK" w:cs="楷体_GB2312"/>
          <w:sz w:val="32"/>
          <w:szCs w:val="32"/>
        </w:rPr>
        <w:t>240万余盆。</w:t>
      </w:r>
      <w:r>
        <w:rPr>
          <w:rFonts w:hint="eastAsia" w:ascii="Times New Roman" w:hAnsi="Times New Roman" w:eastAsia="方正仿宋_GBK" w:cs="Times New Roman"/>
          <w:sz w:val="32"/>
          <w:szCs w:val="32"/>
        </w:rPr>
        <w:t>目前也在加强</w:t>
      </w:r>
      <w:r>
        <w:rPr>
          <w:rFonts w:ascii="Times New Roman" w:hAnsi="Times New Roman" w:eastAsia="方正仿宋_GBK" w:cs="Times New Roman"/>
          <w:sz w:val="32"/>
          <w:szCs w:val="32"/>
        </w:rPr>
        <w:t>开展多样化抗旱工作，科学组织</w:t>
      </w:r>
      <w:r>
        <w:rPr>
          <w:rFonts w:hint="eastAsia" w:ascii="Times New Roman" w:hAnsi="Times New Roman" w:eastAsia="方正仿宋_GBK" w:cs="Times New Roman"/>
          <w:sz w:val="32"/>
          <w:szCs w:val="32"/>
        </w:rPr>
        <w:t>，</w:t>
      </w:r>
      <w:r>
        <w:rPr>
          <w:rFonts w:ascii="Times New Roman" w:hAnsi="Times New Roman" w:eastAsia="方正仿宋_GBK" w:cs="Times New Roman"/>
          <w:snapToGrid w:val="0"/>
          <w:kern w:val="0"/>
          <w:sz w:val="32"/>
          <w:szCs w:val="32"/>
        </w:rPr>
        <w:t>每日出动抗旱人员400余人，洒水车85台，雾炮车13台，浇水4万吨，每日浇灌面积达到</w:t>
      </w:r>
      <w:r>
        <w:rPr>
          <w:rFonts w:hint="eastAsia" w:ascii="Times New Roman" w:hAnsi="Times New Roman" w:eastAsia="方正仿宋_GBK" w:cs="Times New Roman"/>
          <w:sz w:val="32"/>
          <w:szCs w:val="32"/>
        </w:rPr>
        <w:t>450</w:t>
      </w:r>
      <w:r>
        <w:rPr>
          <w:rFonts w:ascii="Times New Roman" w:hAnsi="Times New Roman" w:eastAsia="方正仿宋_GBK" w:cs="Times New Roman"/>
          <w:snapToGrid w:val="0"/>
          <w:kern w:val="0"/>
          <w:sz w:val="32"/>
          <w:szCs w:val="32"/>
        </w:rPr>
        <w:t>万平方米，</w:t>
      </w:r>
      <w:r>
        <w:rPr>
          <w:rFonts w:hint="eastAsia" w:ascii="Times New Roman" w:hAnsi="Times New Roman" w:eastAsia="方正仿宋_GBK" w:cs="Times New Roman"/>
          <w:snapToGrid w:val="0"/>
          <w:kern w:val="0"/>
          <w:sz w:val="32"/>
          <w:szCs w:val="32"/>
        </w:rPr>
        <w:t>有效的显著提高了市民满意度。</w:t>
      </w:r>
    </w:p>
    <w:p>
      <w:pPr>
        <w:keepNext w:val="0"/>
        <w:keepLines w:val="0"/>
        <w:pageBreakBefore w:val="0"/>
        <w:kinsoku/>
        <w:wordWrap/>
        <w:overflowPunct/>
        <w:topLinePunct w:val="0"/>
        <w:autoSpaceDE/>
        <w:autoSpaceDN/>
        <w:bidi w:val="0"/>
        <w:spacing w:line="594" w:lineRule="exact"/>
        <w:ind w:firstLine="640" w:firstLineChars="200"/>
        <w:outlineLvl w:val="0"/>
        <w:rPr>
          <w:rFonts w:eastAsia="方正黑体_GBK"/>
          <w:sz w:val="32"/>
          <w:szCs w:val="32"/>
        </w:rPr>
      </w:pPr>
      <w:bookmarkStart w:id="5" w:name="_Toc24772"/>
      <w:r>
        <w:rPr>
          <w:rFonts w:hint="eastAsia" w:eastAsia="方正黑体_GBK"/>
          <w:sz w:val="32"/>
          <w:szCs w:val="32"/>
        </w:rPr>
        <w:t>三、绩效</w:t>
      </w:r>
      <w:r>
        <w:rPr>
          <w:rFonts w:eastAsia="方正黑体_GBK"/>
          <w:sz w:val="32"/>
          <w:szCs w:val="32"/>
        </w:rPr>
        <w:t>评价情况及结论</w:t>
      </w:r>
      <w:bookmarkEnd w:id="5"/>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根据《重庆市璧山区园林绿化管理所2022年度部门整体支出绩效自评表》中的指标体系分析情况，重庆市璧山区园林绿化管理所2022年度部门整体支出绩效自评总得分99.5分，等级为“优”。具体得分情况如表1所示。</w:t>
      </w:r>
    </w:p>
    <w:p>
      <w:pPr>
        <w:keepNext w:val="0"/>
        <w:keepLines w:val="0"/>
        <w:pageBreakBefore w:val="0"/>
        <w:widowControl/>
        <w:shd w:val="clear" w:color="auto" w:fill="FFFFFF"/>
        <w:kinsoku/>
        <w:wordWrap/>
        <w:overflowPunct/>
        <w:topLinePunct w:val="0"/>
        <w:autoSpaceDE/>
        <w:autoSpaceDN/>
        <w:bidi w:val="0"/>
        <w:adjustRightInd w:val="0"/>
        <w:snapToGrid w:val="0"/>
        <w:spacing w:line="594" w:lineRule="exact"/>
        <w:ind w:firstLine="560" w:firstLineChars="200"/>
        <w:jc w:val="center"/>
        <w:rPr>
          <w:rFonts w:eastAsia="方正仿宋_GBK" w:cs="方正仿宋_GBK"/>
          <w:kern w:val="0"/>
          <w:sz w:val="28"/>
          <w:szCs w:val="28"/>
          <w:shd w:val="clear" w:color="auto" w:fill="FFFFFF"/>
        </w:rPr>
      </w:pPr>
      <w:r>
        <w:rPr>
          <w:rFonts w:hint="eastAsia" w:eastAsia="方正仿宋_GBK" w:cs="方正仿宋_GBK"/>
          <w:kern w:val="0"/>
          <w:sz w:val="28"/>
          <w:szCs w:val="28"/>
          <w:shd w:val="clear" w:color="auto" w:fill="FFFFFF"/>
        </w:rPr>
        <w:t>表 1：指标得分情况</w:t>
      </w:r>
    </w:p>
    <w:tbl>
      <w:tblPr>
        <w:tblStyle w:val="11"/>
        <w:tblW w:w="4413" w:type="pct"/>
        <w:jc w:val="center"/>
        <w:tblLayout w:type="fixed"/>
        <w:tblCellMar>
          <w:top w:w="0" w:type="dxa"/>
          <w:left w:w="108" w:type="dxa"/>
          <w:bottom w:w="0" w:type="dxa"/>
          <w:right w:w="108" w:type="dxa"/>
        </w:tblCellMar>
      </w:tblPr>
      <w:tblGrid>
        <w:gridCol w:w="3727"/>
        <w:gridCol w:w="1457"/>
        <w:gridCol w:w="1457"/>
        <w:gridCol w:w="1456"/>
      </w:tblGrid>
      <w:tr>
        <w:tblPrEx>
          <w:tblCellMar>
            <w:top w:w="0" w:type="dxa"/>
            <w:left w:w="108" w:type="dxa"/>
            <w:bottom w:w="0" w:type="dxa"/>
            <w:right w:w="108" w:type="dxa"/>
          </w:tblCellMar>
        </w:tblPrEx>
        <w:trPr>
          <w:trHeight w:val="462" w:hRule="atLeast"/>
          <w:jc w:val="center"/>
        </w:trPr>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center"/>
              <w:rPr>
                <w:rFonts w:eastAsia="方正仿宋_GBK" w:cs="方正仿宋_GBK"/>
                <w:sz w:val="24"/>
              </w:rPr>
            </w:pPr>
            <w:r>
              <w:rPr>
                <w:rFonts w:hint="eastAsia" w:eastAsia="方正仿宋_GBK" w:cs="方正仿宋_GBK"/>
                <w:kern w:val="0"/>
                <w:sz w:val="24"/>
              </w:rPr>
              <w:t>指标名称</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center"/>
              <w:rPr>
                <w:rFonts w:eastAsia="方正仿宋_GBK" w:cs="方正仿宋_GBK"/>
                <w:sz w:val="24"/>
              </w:rPr>
            </w:pPr>
            <w:r>
              <w:rPr>
                <w:rFonts w:hint="eastAsia" w:eastAsia="方正仿宋_GBK" w:cs="方正仿宋_GBK"/>
                <w:kern w:val="0"/>
                <w:sz w:val="24"/>
              </w:rPr>
              <w:t>权重</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center"/>
              <w:rPr>
                <w:rFonts w:eastAsia="方正仿宋_GBK" w:cs="方正仿宋_GBK"/>
                <w:sz w:val="24"/>
              </w:rPr>
            </w:pPr>
            <w:r>
              <w:rPr>
                <w:rFonts w:hint="eastAsia" w:eastAsia="方正仿宋_GBK" w:cs="方正仿宋_GBK"/>
                <w:kern w:val="0"/>
                <w:sz w:val="24"/>
              </w:rPr>
              <w:t>得分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center"/>
              <w:rPr>
                <w:rFonts w:eastAsia="方正仿宋_GBK" w:cs="方正仿宋_GBK"/>
                <w:kern w:val="0"/>
                <w:sz w:val="24"/>
              </w:rPr>
            </w:pPr>
            <w:r>
              <w:rPr>
                <w:rFonts w:hint="eastAsia" w:eastAsia="方正仿宋_GBK" w:cs="方正仿宋_GBK"/>
                <w:kern w:val="0"/>
                <w:sz w:val="24"/>
              </w:rPr>
              <w:t>得分率</w:t>
            </w:r>
          </w:p>
        </w:tc>
      </w:tr>
      <w:tr>
        <w:tblPrEx>
          <w:tblCellMar>
            <w:top w:w="0" w:type="dxa"/>
            <w:left w:w="108" w:type="dxa"/>
            <w:bottom w:w="0" w:type="dxa"/>
            <w:right w:w="108" w:type="dxa"/>
          </w:tblCellMar>
        </w:tblPrEx>
        <w:trPr>
          <w:trHeight w:val="431" w:hRule="atLeast"/>
          <w:jc w:val="center"/>
        </w:trPr>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rPr>
              <w:t>预算执行率</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sz w:val="24"/>
              </w:rPr>
            </w:pPr>
            <w:r>
              <w:rPr>
                <w:rFonts w:hint="default" w:ascii="Times New Roman" w:hAnsi="Times New Roman" w:eastAsia="仿宋" w:cs="Times New Roman"/>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100%</w:t>
            </w:r>
          </w:p>
        </w:tc>
      </w:tr>
      <w:tr>
        <w:tblPrEx>
          <w:tblCellMar>
            <w:top w:w="0" w:type="dxa"/>
            <w:left w:w="108" w:type="dxa"/>
            <w:bottom w:w="0" w:type="dxa"/>
            <w:right w:w="108" w:type="dxa"/>
          </w:tblCellMar>
        </w:tblPrEx>
        <w:trPr>
          <w:trHeight w:val="456" w:hRule="atLeast"/>
          <w:jc w:val="center"/>
        </w:trPr>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rPr>
              <w:t>预决算信息公开率（涉密信息除外）</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sz w:val="24"/>
              </w:rPr>
            </w:pPr>
            <w:r>
              <w:rPr>
                <w:rFonts w:hint="default" w:ascii="Times New Roman" w:hAnsi="Times New Roman" w:eastAsia="仿宋" w:cs="Times New Roman"/>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100%</w:t>
            </w:r>
          </w:p>
        </w:tc>
      </w:tr>
      <w:tr>
        <w:tblPrEx>
          <w:tblCellMar>
            <w:top w:w="0" w:type="dxa"/>
            <w:left w:w="108" w:type="dxa"/>
            <w:bottom w:w="0" w:type="dxa"/>
            <w:right w:w="108" w:type="dxa"/>
          </w:tblCellMar>
        </w:tblPrEx>
        <w:trPr>
          <w:trHeight w:val="456" w:hRule="atLeast"/>
          <w:jc w:val="center"/>
        </w:trPr>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rPr>
              <w:t>维护城市绿地面积</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sz w:val="24"/>
              </w:rPr>
            </w:pPr>
            <w:r>
              <w:rPr>
                <w:rFonts w:hint="default" w:ascii="Times New Roman" w:hAnsi="Times New Roman" w:eastAsia="仿宋" w:cs="Times New Roman"/>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100%</w:t>
            </w:r>
          </w:p>
        </w:tc>
      </w:tr>
      <w:tr>
        <w:tblPrEx>
          <w:tblCellMar>
            <w:top w:w="0" w:type="dxa"/>
            <w:left w:w="108" w:type="dxa"/>
            <w:bottom w:w="0" w:type="dxa"/>
            <w:right w:w="108" w:type="dxa"/>
          </w:tblCellMar>
        </w:tblPrEx>
        <w:trPr>
          <w:trHeight w:val="456" w:hRule="atLeast"/>
          <w:jc w:val="center"/>
        </w:trPr>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rPr>
              <w:t>维护行道树</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sz w:val="24"/>
              </w:rPr>
            </w:pPr>
            <w:r>
              <w:rPr>
                <w:rFonts w:hint="default" w:ascii="Times New Roman" w:hAnsi="Times New Roman" w:eastAsia="仿宋" w:cs="Times New Roman"/>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100%</w:t>
            </w:r>
          </w:p>
        </w:tc>
      </w:tr>
      <w:tr>
        <w:tblPrEx>
          <w:tblCellMar>
            <w:top w:w="0" w:type="dxa"/>
            <w:left w:w="108" w:type="dxa"/>
            <w:bottom w:w="0" w:type="dxa"/>
            <w:right w:w="108" w:type="dxa"/>
          </w:tblCellMar>
        </w:tblPrEx>
        <w:trPr>
          <w:trHeight w:val="456" w:hRule="atLeast"/>
          <w:jc w:val="center"/>
        </w:trPr>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rPr>
              <w:t>摆放草（鲜）花</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sz w:val="24"/>
              </w:rPr>
            </w:pPr>
            <w:r>
              <w:rPr>
                <w:rFonts w:hint="default" w:ascii="Times New Roman" w:hAnsi="Times New Roman" w:eastAsia="仿宋" w:cs="Times New Roman"/>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100%</w:t>
            </w:r>
          </w:p>
        </w:tc>
      </w:tr>
      <w:tr>
        <w:tblPrEx>
          <w:tblCellMar>
            <w:top w:w="0" w:type="dxa"/>
            <w:left w:w="108" w:type="dxa"/>
            <w:bottom w:w="0" w:type="dxa"/>
            <w:right w:w="108" w:type="dxa"/>
          </w:tblCellMar>
        </w:tblPrEx>
        <w:trPr>
          <w:trHeight w:val="456" w:hRule="atLeast"/>
          <w:jc w:val="center"/>
        </w:trPr>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rPr>
              <w:t>维护绿化管网</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sz w:val="24"/>
              </w:rPr>
            </w:pPr>
            <w:r>
              <w:rPr>
                <w:rFonts w:hint="default" w:ascii="Times New Roman" w:hAnsi="Times New Roman" w:eastAsia="仿宋" w:cs="Times New Roman"/>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100%</w:t>
            </w:r>
          </w:p>
        </w:tc>
      </w:tr>
      <w:tr>
        <w:tblPrEx>
          <w:tblCellMar>
            <w:top w:w="0" w:type="dxa"/>
            <w:left w:w="108" w:type="dxa"/>
            <w:bottom w:w="0" w:type="dxa"/>
            <w:right w:w="108" w:type="dxa"/>
          </w:tblCellMar>
        </w:tblPrEx>
        <w:trPr>
          <w:trHeight w:val="456" w:hRule="atLeast"/>
          <w:jc w:val="center"/>
        </w:trPr>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rPr>
              <w:t>古树名木及古树后备资源保护率</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sz w:val="24"/>
              </w:rPr>
            </w:pPr>
            <w:r>
              <w:rPr>
                <w:rFonts w:hint="default" w:ascii="Times New Roman" w:hAnsi="Times New Roman" w:eastAsia="仿宋" w:cs="Times New Roman"/>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100%</w:t>
            </w:r>
          </w:p>
        </w:tc>
      </w:tr>
      <w:tr>
        <w:tblPrEx>
          <w:tblCellMar>
            <w:top w:w="0" w:type="dxa"/>
            <w:left w:w="108" w:type="dxa"/>
            <w:bottom w:w="0" w:type="dxa"/>
            <w:right w:w="108" w:type="dxa"/>
          </w:tblCellMar>
        </w:tblPrEx>
        <w:trPr>
          <w:trHeight w:val="456" w:hRule="atLeast"/>
          <w:jc w:val="center"/>
        </w:trPr>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rPr>
              <w:t>裸露地绿化覆盖率</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sz w:val="24"/>
              </w:rPr>
            </w:pPr>
            <w:r>
              <w:rPr>
                <w:rFonts w:hint="default" w:ascii="Times New Roman" w:hAnsi="Times New Roman" w:eastAsia="仿宋" w:cs="Times New Roman"/>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100%</w:t>
            </w:r>
          </w:p>
        </w:tc>
      </w:tr>
      <w:tr>
        <w:tblPrEx>
          <w:tblCellMar>
            <w:top w:w="0" w:type="dxa"/>
            <w:left w:w="108" w:type="dxa"/>
            <w:bottom w:w="0" w:type="dxa"/>
            <w:right w:w="108" w:type="dxa"/>
          </w:tblCellMar>
        </w:tblPrEx>
        <w:trPr>
          <w:trHeight w:val="456" w:hRule="atLeast"/>
          <w:jc w:val="center"/>
        </w:trPr>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rPr>
              <w:t>绿化管网完好率</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sz w:val="24"/>
              </w:rPr>
            </w:pPr>
            <w:r>
              <w:rPr>
                <w:rFonts w:hint="default" w:ascii="Times New Roman" w:hAnsi="Times New Roman" w:eastAsia="仿宋" w:cs="Times New Roman"/>
              </w:rPr>
              <w:t>5</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5</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100%</w:t>
            </w:r>
          </w:p>
        </w:tc>
      </w:tr>
      <w:tr>
        <w:tblPrEx>
          <w:tblCellMar>
            <w:top w:w="0" w:type="dxa"/>
            <w:left w:w="108" w:type="dxa"/>
            <w:bottom w:w="0" w:type="dxa"/>
            <w:right w:w="108" w:type="dxa"/>
          </w:tblCellMar>
        </w:tblPrEx>
        <w:trPr>
          <w:trHeight w:val="456" w:hRule="atLeast"/>
          <w:jc w:val="center"/>
        </w:trPr>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rPr>
              <w:t>公园绿地类一级管护完成率</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sz w:val="24"/>
              </w:rPr>
            </w:pPr>
            <w:r>
              <w:rPr>
                <w:rFonts w:hint="default" w:ascii="Times New Roman" w:hAnsi="Times New Roman" w:eastAsia="仿宋" w:cs="Times New Roman"/>
              </w:rPr>
              <w:t>5</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4.5</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90%</w:t>
            </w:r>
          </w:p>
        </w:tc>
      </w:tr>
      <w:tr>
        <w:tblPrEx>
          <w:tblCellMar>
            <w:top w:w="0" w:type="dxa"/>
            <w:left w:w="108" w:type="dxa"/>
            <w:bottom w:w="0" w:type="dxa"/>
            <w:right w:w="108" w:type="dxa"/>
          </w:tblCellMar>
        </w:tblPrEx>
        <w:trPr>
          <w:trHeight w:val="456" w:hRule="atLeast"/>
          <w:jc w:val="center"/>
        </w:trPr>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rPr>
              <w:t>城市景观形象评价</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sz w:val="24"/>
              </w:rPr>
            </w:pPr>
            <w:r>
              <w:rPr>
                <w:rFonts w:hint="default" w:ascii="Times New Roman" w:hAnsi="Times New Roman" w:eastAsia="仿宋" w:cs="Times New Roman"/>
              </w:rPr>
              <w:t>5</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5</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100%</w:t>
            </w:r>
          </w:p>
        </w:tc>
      </w:tr>
      <w:tr>
        <w:tblPrEx>
          <w:tblCellMar>
            <w:top w:w="0" w:type="dxa"/>
            <w:left w:w="108" w:type="dxa"/>
            <w:bottom w:w="0" w:type="dxa"/>
            <w:right w:w="108" w:type="dxa"/>
          </w:tblCellMar>
        </w:tblPrEx>
        <w:trPr>
          <w:trHeight w:val="456" w:hRule="atLeast"/>
          <w:jc w:val="center"/>
        </w:trPr>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rPr>
              <w:t>服务对象满意度</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sz w:val="24"/>
              </w:rPr>
            </w:pPr>
            <w:r>
              <w:rPr>
                <w:rFonts w:hint="default" w:ascii="Times New Roman" w:hAnsi="Times New Roman" w:eastAsia="仿宋" w:cs="Times New Roman"/>
              </w:rPr>
              <w:t>5</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5</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rPr>
              <w:t>100%</w:t>
            </w:r>
          </w:p>
        </w:tc>
      </w:tr>
    </w:tbl>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1、预算执行率分析</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按照年初设定绩效目标预算执行率不得低于95%，2022年执行支出数</w:t>
      </w:r>
      <w:r>
        <w:rPr>
          <w:rFonts w:eastAsia="方正仿宋_GBK"/>
          <w:sz w:val="32"/>
          <w:szCs w:val="32"/>
        </w:rPr>
        <w:t>25659009.75</w:t>
      </w:r>
      <w:r>
        <w:rPr>
          <w:rFonts w:hint="eastAsia" w:eastAsia="方正仿宋_GBK"/>
          <w:sz w:val="32"/>
          <w:szCs w:val="32"/>
        </w:rPr>
        <w:t>元，完成预算执行率为100%，项目执行情况良好，及时发放了人员经费、公用经费，保障了我所正常运转，体现了预算编制的准确性及科学性。根据评价标准，该指标得100%权重分。</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2、预决算公开率分析</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按照相关文件规定，单位预决算信息需严格按照要求进行公开，2022年我所按时完成了预决算公开，财政资金使用情况公开透明。根据评价标准，该指标得100%权重分。</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highlight w:val="yellow"/>
        </w:rPr>
      </w:pPr>
      <w:r>
        <w:rPr>
          <w:rFonts w:hint="eastAsia" w:eastAsia="方正仿宋_GBK"/>
          <w:sz w:val="32"/>
          <w:szCs w:val="32"/>
        </w:rPr>
        <w:t>3、维护城市绿地面积分析</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kern w:val="0"/>
          <w:sz w:val="32"/>
          <w:szCs w:val="32"/>
        </w:rPr>
        <w:t>为进一步强化城市生态宜居性，提升城市健康舒适度，拓宽城市生态空间，通过新建道路绿化、建设口袋公园、立体绿化、城市绿道绿廊等多种途径，进一步增加城市绿量。此外，今年社会单位完成居住小区、生产厂房等配套类绿化项目38项。今年以来，新增城市绿地面积达到269.29万平方米</w:t>
      </w:r>
      <w:r>
        <w:rPr>
          <w:rFonts w:hint="eastAsia" w:eastAsia="方正仿宋_GBK"/>
          <w:sz w:val="32"/>
          <w:szCs w:val="32"/>
        </w:rPr>
        <w:t>。根据评价标准，该指标得100%权重分。</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4、维护行道树分析</w:t>
      </w:r>
    </w:p>
    <w:p>
      <w:pPr>
        <w:keepNext w:val="0"/>
        <w:keepLines w:val="0"/>
        <w:pageBreakBefore w:val="0"/>
        <w:kinsoku/>
        <w:wordWrap/>
        <w:overflowPunct/>
        <w:topLinePunct w:val="0"/>
        <w:autoSpaceDE/>
        <w:autoSpaceDN/>
        <w:bidi w:val="0"/>
        <w:spacing w:line="594" w:lineRule="exact"/>
        <w:ind w:firstLine="640" w:firstLineChars="200"/>
        <w:rPr>
          <w:rFonts w:eastAsia="方正仿宋_GBK"/>
          <w:color w:val="FF0000"/>
          <w:sz w:val="32"/>
          <w:szCs w:val="32"/>
        </w:rPr>
      </w:pPr>
      <w:r>
        <w:rPr>
          <w:rFonts w:hint="eastAsia" w:eastAsia="方正仿宋_GBK"/>
          <w:sz w:val="32"/>
          <w:szCs w:val="32"/>
        </w:rPr>
        <w:t>加强了行道树的科学规范修剪，</w:t>
      </w:r>
      <w:r>
        <w:rPr>
          <w:rFonts w:hint="eastAsia" w:eastAsia="方正仿宋_GBK"/>
          <w:kern w:val="0"/>
          <w:sz w:val="32"/>
          <w:szCs w:val="32"/>
        </w:rPr>
        <w:t>制定《璧山区春季园林乔木修枝整形专项工作</w:t>
      </w:r>
      <w:r>
        <w:rPr>
          <w:rFonts w:hint="eastAsia" w:eastAsia="方正仿宋_GBK"/>
          <w:sz w:val="32"/>
          <w:szCs w:val="32"/>
        </w:rPr>
        <w:t>方案》，充分把握园林植物修剪意义。完成黛山大道、双星大道全段、沿河西路、紫竹二路、东风路、璧铜路、璧渝路、皮鞋城二路、璧青路等主干道路以及全区</w:t>
      </w:r>
      <w:r>
        <w:rPr>
          <w:rFonts w:hint="eastAsia" w:eastAsia="方正仿宋_GBK"/>
          <w:kern w:val="0"/>
          <w:sz w:val="32"/>
          <w:szCs w:val="32"/>
        </w:rPr>
        <w:t>重点公园的</w:t>
      </w:r>
      <w:r>
        <w:rPr>
          <w:rFonts w:hint="eastAsia" w:eastAsia="方正仿宋_GBK"/>
          <w:sz w:val="32"/>
          <w:szCs w:val="32"/>
        </w:rPr>
        <w:t>修枝工作，总计修剪行道树5000余株，林下空间梳理35万平方米。根据评价标准，该指标得100%权重分。</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5、摆放草（鲜）花分析</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在重要节庆前夕，对公园、广场、城区主要道路及重要景观节点集中栽植摆放草（鲜）花，并在其他时段按需补充更换。多采用夏瑾、孔雀草、多头鸡冠花、香彩雀等色彩丰富，形式多样的草（鲜）花品种，其中古道湾公园9200㎡梯田花海累计更换栽植草（鲜）花100万余盆，全区共计更换草（鲜）花240万余盆。根据评价标准，该指标得100%权重分。</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6、维护绿化管网分析</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强化制度管理划定城市绿线并严格实施，落实绿化率执行标准。在城市项目建设上严格审批，坚持规划先行，绿化配套，执行绿化配套工程与建设项目同步设计、同步施工、同步验收，力争使每个建设项目与城市面貌和整体环境协调一致，做到城市绿地系统布局合理、功能健全。加强依法监管，强化日常养护管理，确保绿地总量不减少，该项指标公里数达到了</w:t>
      </w:r>
      <w:r>
        <w:rPr>
          <w:rFonts w:eastAsia="方正仿宋_GBK"/>
          <w:sz w:val="32"/>
          <w:szCs w:val="32"/>
        </w:rPr>
        <w:t>275.5</w:t>
      </w:r>
      <w:r>
        <w:rPr>
          <w:rFonts w:hint="eastAsia" w:eastAsia="方正仿宋_GBK"/>
          <w:sz w:val="32"/>
          <w:szCs w:val="32"/>
        </w:rPr>
        <w:t>公里。根据评价标准，该指标得100%权重分。</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7、古树名木及古树后备资源保护率分析</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经现场调研和勘察，并报经市城市管理局审批，确定我区的古树名木资源有：一级2株，二级77株，后备120株。完成所有古树名木的挂牌工作，并已与各相关管护单位进行了交接工作，完成了年初既定绩效目标。根据评价标准，该指标得100%权重分。</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8、裸露地绿化覆盖率分析</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今年以来，新增城市绿地面积达到269.29万平方米，新增立体绿化覆盖面积6000平方米，新增口袋公园面积13000平方米。完成了年初既定98%的绩效目标。根据评价标准，该指标得100%权重分。</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9、绿化管网完好率分析</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经现场调研和勘察，完成了2022年度地对绿化管网进行检查维护，保障绿化管网完好，正常运行。根据评价标准，该指标得100%权重分。</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10、公园绿地类一级管护完成率分析</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卫生做到全日保洁，保证绿地、广场及游园内清洁。绿化设施维护做到公园设施基本完好，乔木修剪及时，控制病虫害；花灌木绿篱类生长均匀，草坪郁闭度良好；地被、草花生长正常。但由于新增了部分公园绿地，工作范围增大，工作量提升，部分问题不能及时被发现并维护；新增的部分管护工具用品，人员使用也不够熟练。根据评价标准，该指标得90%权重分。</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11、城市景观形象评价分析</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本所完成黄桷坡、祝嘉路停车场旁高斜坡、黛山大道（虎峰大道以南）高斜坡等坡坎崖立体绿化建设，以及“云巴”沿线柱体绿化，将三角滩桥河岸边坡作为2022年新增“坡坎崖”示范点项目进行景观打造。根据评价标准，该指标得100%权重分。</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12、服务对象满意度分析</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按照调查服务对象满意度进行综合分析，服务对象对工作人员的工作态度和调查内容表示满意，服务对象为97%，达到了年初满意度不低于95%的目标。根据评价标准，该指标得100%权重分。</w:t>
      </w:r>
    </w:p>
    <w:p>
      <w:pPr>
        <w:keepNext w:val="0"/>
        <w:keepLines w:val="0"/>
        <w:pageBreakBefore w:val="0"/>
        <w:kinsoku/>
        <w:wordWrap/>
        <w:overflowPunct/>
        <w:topLinePunct w:val="0"/>
        <w:autoSpaceDE/>
        <w:autoSpaceDN/>
        <w:bidi w:val="0"/>
        <w:spacing w:line="594" w:lineRule="exact"/>
        <w:ind w:firstLine="640" w:firstLineChars="200"/>
        <w:outlineLvl w:val="0"/>
        <w:rPr>
          <w:rFonts w:eastAsia="方正黑体_GBK"/>
          <w:sz w:val="32"/>
          <w:szCs w:val="32"/>
        </w:rPr>
      </w:pPr>
      <w:bookmarkStart w:id="6" w:name="_Toc31925"/>
      <w:r>
        <w:rPr>
          <w:rFonts w:hint="eastAsia" w:eastAsia="方正黑体_GBK"/>
          <w:sz w:val="32"/>
          <w:szCs w:val="32"/>
        </w:rPr>
        <w:t>四、需重点关注的问题</w:t>
      </w:r>
      <w:bookmarkEnd w:id="6"/>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1、绿地维护事前准备不太充分</w:t>
      </w:r>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r>
        <w:rPr>
          <w:rFonts w:hint="eastAsia" w:eastAsia="方正仿宋_GBK"/>
          <w:sz w:val="32"/>
          <w:szCs w:val="32"/>
        </w:rPr>
        <w:t>新增了部分公园绿地，工作范围增大，工作量提升，部分问题不能及时被发现并维护，新增的部分管护工具用品，人员使用也不够熟练。</w:t>
      </w:r>
    </w:p>
    <w:p>
      <w:pPr>
        <w:keepNext w:val="0"/>
        <w:keepLines w:val="0"/>
        <w:pageBreakBefore w:val="0"/>
        <w:kinsoku/>
        <w:wordWrap/>
        <w:overflowPunct/>
        <w:topLinePunct w:val="0"/>
        <w:autoSpaceDE/>
        <w:autoSpaceDN/>
        <w:bidi w:val="0"/>
        <w:spacing w:line="594" w:lineRule="exact"/>
        <w:ind w:firstLine="640" w:firstLineChars="200"/>
        <w:outlineLvl w:val="0"/>
        <w:rPr>
          <w:rFonts w:eastAsia="方正黑体_GBK"/>
          <w:sz w:val="32"/>
          <w:szCs w:val="32"/>
        </w:rPr>
      </w:pPr>
      <w:bookmarkStart w:id="7" w:name="_Toc24022"/>
      <w:r>
        <w:rPr>
          <w:rFonts w:hint="eastAsia" w:eastAsia="方正黑体_GBK"/>
          <w:sz w:val="32"/>
          <w:szCs w:val="32"/>
        </w:rPr>
        <w:t>五、有关建议</w:t>
      </w:r>
      <w:bookmarkEnd w:id="7"/>
    </w:p>
    <w:p>
      <w:pPr>
        <w:keepNext w:val="0"/>
        <w:keepLines w:val="0"/>
        <w:pageBreakBefore w:val="0"/>
        <w:kinsoku/>
        <w:wordWrap/>
        <w:overflowPunct/>
        <w:topLinePunct w:val="0"/>
        <w:autoSpaceDE/>
        <w:autoSpaceDN/>
        <w:bidi w:val="0"/>
        <w:spacing w:line="594" w:lineRule="exact"/>
        <w:ind w:firstLine="640" w:firstLineChars="200"/>
        <w:rPr>
          <w:rFonts w:eastAsia="方正仿宋_GBK"/>
          <w:sz w:val="32"/>
          <w:szCs w:val="32"/>
        </w:rPr>
      </w:pPr>
      <w:bookmarkStart w:id="8" w:name="_GoBack"/>
      <w:bookmarkEnd w:id="8"/>
      <w:r>
        <w:rPr>
          <w:rFonts w:hint="eastAsia" w:eastAsia="方正仿宋_GBK"/>
          <w:sz w:val="32"/>
          <w:szCs w:val="32"/>
        </w:rPr>
        <w:t>及时发现公园绿地问题，以便更好的维护和管理，加强学习新事物和知识，加强人员对于新工具物品使用的培训，引进专业人才，以便后续提升工作效率。</w:t>
      </w: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 Light">
    <w:altName w:val="URW Bookman"/>
    <w:panose1 w:val="00000000000000000000"/>
    <w:charset w:val="00"/>
    <w:family w:val="auto"/>
    <w:pitch w:val="default"/>
    <w:sig w:usb0="00000000" w:usb1="00000000" w:usb2="00000000" w:usb3="00000000" w:csb0="00000001" w:csb1="00000000"/>
  </w:font>
  <w:font w:name="Cambria">
    <w:altName w:val="FreeSerif"/>
    <w:panose1 w:val="02040503050406030204"/>
    <w:charset w:val="00"/>
    <w:family w:val="roman"/>
    <w:pitch w:val="default"/>
    <w:sig w:usb0="00000000" w:usb1="00000000" w:usb2="00000000"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2Mzg2YTAyZmVmM2MxMjNhN2RkNWUyMTdkOTRmNjMifQ=="/>
    <w:docVar w:name="KSO_WPS_MARK_KEY" w:val="00e543a2-18b1-43e5-b994-b394a15e0224"/>
  </w:docVars>
  <w:rsids>
    <w:rsidRoot w:val="00806865"/>
    <w:rsid w:val="00043A15"/>
    <w:rsid w:val="000575E2"/>
    <w:rsid w:val="00063B15"/>
    <w:rsid w:val="00067A07"/>
    <w:rsid w:val="00086B8B"/>
    <w:rsid w:val="0009607E"/>
    <w:rsid w:val="000B5DB9"/>
    <w:rsid w:val="000C0972"/>
    <w:rsid w:val="001222D5"/>
    <w:rsid w:val="00171AB3"/>
    <w:rsid w:val="001C3D64"/>
    <w:rsid w:val="001C641A"/>
    <w:rsid w:val="001C6822"/>
    <w:rsid w:val="001E256D"/>
    <w:rsid w:val="001E2D5B"/>
    <w:rsid w:val="002202F6"/>
    <w:rsid w:val="00247BB1"/>
    <w:rsid w:val="002571F7"/>
    <w:rsid w:val="002641A6"/>
    <w:rsid w:val="002834C5"/>
    <w:rsid w:val="00293914"/>
    <w:rsid w:val="00297268"/>
    <w:rsid w:val="002A44CC"/>
    <w:rsid w:val="002C141E"/>
    <w:rsid w:val="002C7454"/>
    <w:rsid w:val="002E2C22"/>
    <w:rsid w:val="002F6627"/>
    <w:rsid w:val="00304656"/>
    <w:rsid w:val="00333D24"/>
    <w:rsid w:val="003340BF"/>
    <w:rsid w:val="0034410B"/>
    <w:rsid w:val="003532F1"/>
    <w:rsid w:val="00357647"/>
    <w:rsid w:val="00365C0E"/>
    <w:rsid w:val="00381982"/>
    <w:rsid w:val="00381F5B"/>
    <w:rsid w:val="00384864"/>
    <w:rsid w:val="003B01B9"/>
    <w:rsid w:val="003B4C86"/>
    <w:rsid w:val="003E4915"/>
    <w:rsid w:val="003E75C4"/>
    <w:rsid w:val="00401B11"/>
    <w:rsid w:val="00422429"/>
    <w:rsid w:val="0043034C"/>
    <w:rsid w:val="00443E03"/>
    <w:rsid w:val="00487348"/>
    <w:rsid w:val="00497B55"/>
    <w:rsid w:val="004A7876"/>
    <w:rsid w:val="004B4787"/>
    <w:rsid w:val="004C051C"/>
    <w:rsid w:val="004D24DF"/>
    <w:rsid w:val="004F1CEC"/>
    <w:rsid w:val="00516F77"/>
    <w:rsid w:val="00547BAD"/>
    <w:rsid w:val="00550210"/>
    <w:rsid w:val="005516E1"/>
    <w:rsid w:val="00563118"/>
    <w:rsid w:val="00571235"/>
    <w:rsid w:val="005A221A"/>
    <w:rsid w:val="005B5ED1"/>
    <w:rsid w:val="005F286F"/>
    <w:rsid w:val="00606BA5"/>
    <w:rsid w:val="006417E5"/>
    <w:rsid w:val="0064309B"/>
    <w:rsid w:val="00671BB5"/>
    <w:rsid w:val="006772C6"/>
    <w:rsid w:val="006C7720"/>
    <w:rsid w:val="006C793C"/>
    <w:rsid w:val="006D100A"/>
    <w:rsid w:val="006E6E29"/>
    <w:rsid w:val="006E7DFC"/>
    <w:rsid w:val="00704B56"/>
    <w:rsid w:val="00725E01"/>
    <w:rsid w:val="00732DA5"/>
    <w:rsid w:val="00744230"/>
    <w:rsid w:val="00770339"/>
    <w:rsid w:val="0077453E"/>
    <w:rsid w:val="00793949"/>
    <w:rsid w:val="0079497F"/>
    <w:rsid w:val="007B27A0"/>
    <w:rsid w:val="007C2693"/>
    <w:rsid w:val="007D04AB"/>
    <w:rsid w:val="007D7B0E"/>
    <w:rsid w:val="007E54DF"/>
    <w:rsid w:val="00806211"/>
    <w:rsid w:val="00806865"/>
    <w:rsid w:val="0081273A"/>
    <w:rsid w:val="0082343D"/>
    <w:rsid w:val="00831BF0"/>
    <w:rsid w:val="00837D1D"/>
    <w:rsid w:val="00844EE6"/>
    <w:rsid w:val="00851781"/>
    <w:rsid w:val="00871B89"/>
    <w:rsid w:val="00880010"/>
    <w:rsid w:val="008A5361"/>
    <w:rsid w:val="008A7625"/>
    <w:rsid w:val="008C1EF5"/>
    <w:rsid w:val="008C78EC"/>
    <w:rsid w:val="008D02AF"/>
    <w:rsid w:val="008D25A0"/>
    <w:rsid w:val="009108DF"/>
    <w:rsid w:val="00974291"/>
    <w:rsid w:val="009A23DE"/>
    <w:rsid w:val="009C7295"/>
    <w:rsid w:val="00A1196F"/>
    <w:rsid w:val="00A27343"/>
    <w:rsid w:val="00A3725D"/>
    <w:rsid w:val="00A45BE4"/>
    <w:rsid w:val="00A653C5"/>
    <w:rsid w:val="00AA0073"/>
    <w:rsid w:val="00AD0DAD"/>
    <w:rsid w:val="00AE23E8"/>
    <w:rsid w:val="00AF31E0"/>
    <w:rsid w:val="00B07031"/>
    <w:rsid w:val="00B17BC3"/>
    <w:rsid w:val="00B34D05"/>
    <w:rsid w:val="00B85927"/>
    <w:rsid w:val="00BC3295"/>
    <w:rsid w:val="00BD1848"/>
    <w:rsid w:val="00BF6FF2"/>
    <w:rsid w:val="00C31CE4"/>
    <w:rsid w:val="00C5069B"/>
    <w:rsid w:val="00C76DDE"/>
    <w:rsid w:val="00C77086"/>
    <w:rsid w:val="00C858DD"/>
    <w:rsid w:val="00CD33CE"/>
    <w:rsid w:val="00CF26C3"/>
    <w:rsid w:val="00CF343E"/>
    <w:rsid w:val="00D0666D"/>
    <w:rsid w:val="00D610B4"/>
    <w:rsid w:val="00D75528"/>
    <w:rsid w:val="00D86135"/>
    <w:rsid w:val="00E05A32"/>
    <w:rsid w:val="00E11CE4"/>
    <w:rsid w:val="00E225F8"/>
    <w:rsid w:val="00E25A0F"/>
    <w:rsid w:val="00E42BE7"/>
    <w:rsid w:val="00E55405"/>
    <w:rsid w:val="00E72086"/>
    <w:rsid w:val="00E91393"/>
    <w:rsid w:val="00E97AA7"/>
    <w:rsid w:val="00EA05F1"/>
    <w:rsid w:val="00EB0A75"/>
    <w:rsid w:val="00EF2A45"/>
    <w:rsid w:val="00F14DF3"/>
    <w:rsid w:val="00F70C2E"/>
    <w:rsid w:val="00F9262E"/>
    <w:rsid w:val="00F93438"/>
    <w:rsid w:val="00FA41F0"/>
    <w:rsid w:val="00FD0041"/>
    <w:rsid w:val="00FE38F2"/>
    <w:rsid w:val="010A6538"/>
    <w:rsid w:val="017740E2"/>
    <w:rsid w:val="025537C3"/>
    <w:rsid w:val="02DC2156"/>
    <w:rsid w:val="033755DF"/>
    <w:rsid w:val="044C50BA"/>
    <w:rsid w:val="058D598A"/>
    <w:rsid w:val="06930D7E"/>
    <w:rsid w:val="06B156A8"/>
    <w:rsid w:val="06C929F2"/>
    <w:rsid w:val="08512C9F"/>
    <w:rsid w:val="098175B4"/>
    <w:rsid w:val="0ACA6D38"/>
    <w:rsid w:val="0B26152B"/>
    <w:rsid w:val="0BDD7AB9"/>
    <w:rsid w:val="0C2030B4"/>
    <w:rsid w:val="0C7B586A"/>
    <w:rsid w:val="0CE560AB"/>
    <w:rsid w:val="0E0B1B42"/>
    <w:rsid w:val="0F464CFE"/>
    <w:rsid w:val="12B207DE"/>
    <w:rsid w:val="137B21E9"/>
    <w:rsid w:val="144B2C98"/>
    <w:rsid w:val="15D62A35"/>
    <w:rsid w:val="15D8055B"/>
    <w:rsid w:val="1A1104E0"/>
    <w:rsid w:val="1BFF4C5A"/>
    <w:rsid w:val="1CC90A05"/>
    <w:rsid w:val="212725D3"/>
    <w:rsid w:val="214B2B37"/>
    <w:rsid w:val="223461D1"/>
    <w:rsid w:val="24C512BC"/>
    <w:rsid w:val="25697422"/>
    <w:rsid w:val="268F2EB8"/>
    <w:rsid w:val="26CA3EF0"/>
    <w:rsid w:val="28165D01"/>
    <w:rsid w:val="28FC05AD"/>
    <w:rsid w:val="29F3375E"/>
    <w:rsid w:val="2B22254D"/>
    <w:rsid w:val="2BBA718F"/>
    <w:rsid w:val="2C0A4D8F"/>
    <w:rsid w:val="2EC857D2"/>
    <w:rsid w:val="31496359"/>
    <w:rsid w:val="31B274B4"/>
    <w:rsid w:val="31E3055C"/>
    <w:rsid w:val="31E90006"/>
    <w:rsid w:val="32C75788"/>
    <w:rsid w:val="33A06705"/>
    <w:rsid w:val="340B0E26"/>
    <w:rsid w:val="3491604D"/>
    <w:rsid w:val="35286293"/>
    <w:rsid w:val="369462C9"/>
    <w:rsid w:val="36D84407"/>
    <w:rsid w:val="38354D2F"/>
    <w:rsid w:val="384F4255"/>
    <w:rsid w:val="3DD11BB1"/>
    <w:rsid w:val="3F634A8A"/>
    <w:rsid w:val="42562684"/>
    <w:rsid w:val="44185E43"/>
    <w:rsid w:val="44A43B7B"/>
    <w:rsid w:val="44BF09B5"/>
    <w:rsid w:val="4A5676C5"/>
    <w:rsid w:val="4E5B174E"/>
    <w:rsid w:val="4EC866B8"/>
    <w:rsid w:val="52AD62F0"/>
    <w:rsid w:val="52E02222"/>
    <w:rsid w:val="532946DA"/>
    <w:rsid w:val="54A3390B"/>
    <w:rsid w:val="55596E28"/>
    <w:rsid w:val="58814298"/>
    <w:rsid w:val="5B490B80"/>
    <w:rsid w:val="5C425CFC"/>
    <w:rsid w:val="5CA442C0"/>
    <w:rsid w:val="5D485594"/>
    <w:rsid w:val="5DF03535"/>
    <w:rsid w:val="5FCF78A6"/>
    <w:rsid w:val="632919C3"/>
    <w:rsid w:val="64C5571C"/>
    <w:rsid w:val="652C7549"/>
    <w:rsid w:val="65AB66C0"/>
    <w:rsid w:val="666674C1"/>
    <w:rsid w:val="68104F00"/>
    <w:rsid w:val="68857BC5"/>
    <w:rsid w:val="688E4077"/>
    <w:rsid w:val="68F505D1"/>
    <w:rsid w:val="691240E0"/>
    <w:rsid w:val="69601EB7"/>
    <w:rsid w:val="6B685053"/>
    <w:rsid w:val="6C7D068A"/>
    <w:rsid w:val="6F866DC3"/>
    <w:rsid w:val="6F8D6E36"/>
    <w:rsid w:val="71DB0956"/>
    <w:rsid w:val="72071122"/>
    <w:rsid w:val="75230B15"/>
    <w:rsid w:val="79751067"/>
    <w:rsid w:val="7D407BDD"/>
    <w:rsid w:val="DF3E97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 Light" w:hAnsi="?? Light"/>
      <w:b/>
      <w:bCs/>
      <w:sz w:val="28"/>
      <w:szCs w:val="32"/>
    </w:rPr>
  </w:style>
  <w:style w:type="paragraph" w:styleId="3">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next w:val="1"/>
    <w:link w:val="19"/>
    <w:qFormat/>
    <w:uiPriority w:val="0"/>
    <w:rPr>
      <w:rFonts w:ascii="Calibri" w:hAnsi="Calibri" w:cs="黑体"/>
      <w:szCs w:val="22"/>
    </w:r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character" w:styleId="13">
    <w:name w:val="annotation reference"/>
    <w:basedOn w:val="12"/>
    <w:semiHidden/>
    <w:unhideWhenUsed/>
    <w:qFormat/>
    <w:uiPriority w:val="99"/>
    <w:rPr>
      <w:sz w:val="21"/>
      <w:szCs w:val="21"/>
    </w:rPr>
  </w:style>
  <w:style w:type="paragraph" w:styleId="14">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
    <w:name w:val="页眉 Char"/>
    <w:basedOn w:val="12"/>
    <w:link w:val="8"/>
    <w:qFormat/>
    <w:uiPriority w:val="99"/>
    <w:rPr>
      <w:rFonts w:ascii="Times New Roman" w:hAnsi="Times New Roman" w:eastAsia="宋体" w:cs="Times New Roman"/>
      <w:sz w:val="18"/>
      <w:szCs w:val="18"/>
    </w:rPr>
  </w:style>
  <w:style w:type="character" w:customStyle="1" w:styleId="16">
    <w:name w:val="页脚 Char"/>
    <w:basedOn w:val="12"/>
    <w:link w:val="7"/>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2"/>
    <w:link w:val="6"/>
    <w:semiHidden/>
    <w:qFormat/>
    <w:uiPriority w:val="99"/>
    <w:rPr>
      <w:rFonts w:ascii="Times New Roman" w:hAnsi="Times New Roman" w:eastAsia="宋体" w:cs="Times New Roman"/>
      <w:kern w:val="2"/>
      <w:sz w:val="18"/>
      <w:szCs w:val="18"/>
    </w:rPr>
  </w:style>
  <w:style w:type="character" w:customStyle="1" w:styleId="19">
    <w:name w:val="正文文本 Char"/>
    <w:basedOn w:val="12"/>
    <w:link w:val="5"/>
    <w:qFormat/>
    <w:uiPriority w:val="0"/>
    <w:rPr>
      <w:rFonts w:ascii="Calibri" w:hAnsi="Calibri" w:eastAsia="宋体" w:cs="黑体"/>
      <w:kern w:val="2"/>
      <w:sz w:val="21"/>
      <w:szCs w:val="22"/>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458</Words>
  <Characters>2614</Characters>
  <Lines>21</Lines>
  <Paragraphs>6</Paragraphs>
  <TotalTime>2</TotalTime>
  <ScaleCrop>false</ScaleCrop>
  <LinksUpToDate>false</LinksUpToDate>
  <CharactersWithSpaces>3066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2020-04-20T16:58:00Z</dcterms:created>
  <dc:creator>Administrator</dc:creator>
  <cp:lastModifiedBy>suma</cp:lastModifiedBy>
  <cp:lastPrinted>2020-04-20T16:58:00Z</cp:lastPrinted>
  <dcterms:modified xsi:type="dcterms:W3CDTF">2023-09-14T14:24:34Z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ECB59C6144234ED6840E3DA4DDBBE844</vt:lpwstr>
  </property>
</Properties>
</file>