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小标宋_GBK"/>
          <w:sz w:val="44"/>
          <w:szCs w:val="32"/>
          <w:lang w:val="en-US" w:eastAsia="zh-CN"/>
        </w:rPr>
      </w:pPr>
      <w:r>
        <w:rPr>
          <w:rFonts w:hint="eastAsia" w:eastAsia="方正小标宋_GBK"/>
          <w:sz w:val="44"/>
          <w:szCs w:val="32"/>
          <w:lang w:eastAsia="zh-CN"/>
        </w:rPr>
        <w:t>重庆市</w:t>
      </w:r>
      <w:r>
        <w:rPr>
          <w:rFonts w:hint="eastAsia" w:eastAsia="方正小标宋_GBK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>
        <w:rPr>
          <w:rFonts w:hint="eastAsia" w:eastAsia="方正小标宋_GBK"/>
          <w:sz w:val="44"/>
          <w:szCs w:val="32"/>
          <w:lang w:eastAsia="zh-CN"/>
        </w:rPr>
        <w:t>公路事务中心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59" w:leftChars="171" w:firstLine="1100" w:firstLineChars="250"/>
        <w:textAlignment w:val="auto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</w:rPr>
        <w:t>202</w:t>
      </w:r>
      <w:r>
        <w:rPr>
          <w:rFonts w:hint="eastAsia" w:eastAsia="方正小标宋_GBK"/>
          <w:sz w:val="44"/>
          <w:szCs w:val="32"/>
          <w:lang w:val="en-US" w:eastAsia="zh-CN"/>
        </w:rPr>
        <w:t>2</w:t>
      </w:r>
      <w:r>
        <w:rPr>
          <w:rFonts w:eastAsia="方正小标宋_GBK"/>
          <w:sz w:val="44"/>
          <w:szCs w:val="32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59" w:leftChars="171" w:firstLine="1100" w:firstLineChars="250"/>
        <w:textAlignment w:val="auto"/>
        <w:rPr>
          <w:rFonts w:eastAsia="方正小标宋_GBK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我中心是璧山区交通局下属正科级单位，截止202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年12月底，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在职人员为6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人，退休职工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25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现设有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个科室（办公室、财务科、建设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管理科、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养护管理科、安全科、劳动工资科）、2个公路管理站（璧南公路管理站、璧北公路管理站）和1个农村公路管理站。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职能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重庆市璧山区公路事务中心承担公路管理相关的事务性、技术性工作。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贯彻执行国家关于公路建设、养护等相关政策、制度、技术标准。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承担本辖区“国省县道”公路建设、养护和管理的事务性工作；编制公路养护和公路大中修工程的计划并组织实施。根据养护工作年度计划组织采购和管理养护材料、机具。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承担本辖区“国省县道”公路的养护管理及养护巡查，开展养护质量动态监测和公路技术状况评定，分析公路设施使用状况，提出公路设施改造或改善方案。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承担本辖区“国省县道”公路和桥梁灾害应急保通工作；负责对受自然灾害的公路损毁进行应急抢险、抢修工作。承担公路应急抢险队伍建设和公路应急物资储备。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承担本辖区“国省县道”公路桥梁的专业化安全监测工作。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实施公路养护技术规范，做好安全生产、养护技术培训和新技术推广，推进公路养护科技化、信息化、数字化建设。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承担本辖区“国省县道”公路绿化工作。“国省县道”公路行业统计、普查、数据库建设和维护等具体事务性工作。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承担农村公路建设、养护、管理的有关事务工作。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承担公路人才队伍建设、行业文明创建和公路文化建设，负责公路养护人员的教育培养。</w:t>
      </w:r>
    </w:p>
    <w:p>
      <w:pPr>
        <w:pStyle w:val="10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承办主管部门交办的其他事项。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预算及支出情况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2022年年初预算数为4360.94万元，全年预算支出数为4451.80万元。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收入预算：202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年年初预算数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4360.94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万元，其中：一般公共预算拨款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2516.74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万元，政府性基金预算拨款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1844.20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万元，国有资本经营预算收入0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万元，事业收入0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万元，事业单位经营收入0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万元，其他收入0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支出预算：202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全年预算数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4451.80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万元，其中：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基本支出为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2083.43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项目支出为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2368.37万元，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主要原因是公路维修项目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增加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了农村公路管理养护力度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，主要用于全区国省县道公路养护维修项目及农村公路养护。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年“三公”经费预算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67.00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50.00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万元。其中：因公出国（境）费用0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年减少0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万元，主要原因是我单位未安排人员出国，故无出国费用；公务接待费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21.50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万元，主要原因是规范公务接待活动，严格遵守公务接待开支范围和开支标准，严格控制陪餐人数；公务用车运行维护费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66.50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28.50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万元，主要原因是202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实行公路市场化养护以来，工程机械及公务车使用频率减少，车辆费用大幅下降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；公务用车购置费0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0万元，主要原因是我单位无购置公务车。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二、绩效评价基本情况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（一）绩效评价目的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开展绩效评价是建立高效、责任和服务型政府的必然要求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既是政府进行自我评价的主要方式，也是公众评判政府绩效的重要途径。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花钱必问效、问效必有责”，提高财政资金的使用效益，切实解决群众利益。交通项目主要涉及公路建设，开展绩效评价的目的就是要检查检验项目建设达到的效果，资金使用是否合规，项目管理是否规范，社会公众是否满意等，通过评价来发现建设过程中存在的问题，提出改进措施，在下一步工作中干得更好，切实履行好单位职能职责，为建立高效、责任和服务型政府提供体制机制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（二）绩效评价原则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此次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绩效评价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科学规范原则、公开公正原则、分级分类原则、绩效相关原则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进行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绩效评价指标设置有数量指标、质量指标、时效指标、成本指标、效益指标、满意度指标等。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本次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评价的方法主要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采用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成本效益分析法、比较法、因素分析法、最低成本法、公众评判法等。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绩效评价工作是一项常态化工作，中心领导高度重视，并将其作为一项重要工作来抓，成立工作组，由区公路事务中心主任任组长，分管副主任任副组长，成员由相关业务科室负责人组成，明确了工作组各自职责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审批绩效自评方案，监督、检查、核实绩效自评结果；副组长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负责是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审核修改拟定的绩效自评方案，并提交考评工作组会议讨论通过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监督、部署、确认绩效自评过程及反馈意见的处理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小组成员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起草和修改绩效考评方案报自评领导工作组会议讨论通过，实施执行绩效自评方案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牵头组织并实施年度绩效自评，根据组长、副组长指示，对考评结果进行复核，完成绩效自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工作组安排的其他工作。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准备用近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1个月时间对所有项目进行全覆盖绩效评价。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步骤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是：首先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绩效评价领导小组召开专题会议，学习相关文件，讨论指标含义，确定方法步骤；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是召开项目负责人和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经办人员联席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会议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，传达了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区财政局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文件精神，对评价指标体系进行逐一学习协商研究确定，提出工作要求，按指标体系要求逐一进行资料的初步收集，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领导小组工作人员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再根据评审要求，督促被评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补齐相关资料；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是评价小组根据指标体系内容，制定公开调查表内容，对项目实施公开问卷调查；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是召开评价小组会议对各项指标及相关资料对照打分；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是将打分情况进行汇总，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写绩效评价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初稿向被评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项目负责人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征求意见，根据反馈意见再修改，最后定稿。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经过对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19个项目的认真分析自评，全部项目均达到了年初确定的绩效目标，完成了单位应履行的职能职责。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三、绩效评价情况及结论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2022年公路事务中心各项工作总体完成较好，全面完成年初绩效目标，自评总得分98.5分。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项目涉及全区国省县道公路日常保洁和日常维修维护，完成了全区公路服务设施管理和维修工作、完成了公路路网桩号调整工作、完成了普通公路及农村公路路面技术状况检测评定、完成了农村公路养护考核工作，完成了国省县公路水毁、地灾修复工程；完成了国省县乡村道桥梁检测、维修、加固、新建等工作，完成了农村公路建设管理工作；保障了全区国省县公路安全通行，完成各种迎检工作、完成上级交办的各项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公路建设数量及基本情况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完成了全区国省县道公路日常保洁和日常维修维护，完成了全区公路服务设施管理和维修工作、完成了公路路网桩号调整工作、完成了普通公路及农村公路路面技术状况检测评定、完成了农村公路养护考核工作，完成了国省县公路水毁、地灾修复工程；完成了国省县乡村道桥梁检测、维修、加固、新建等工作，完成了农村公路建设管理工作；保障了全区国省县公路安全通行，完成各种迎检工作、完成上级交办的各项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工程验收合格率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所有养护工程项目经过跟踪审计，监理全程管控，养护工程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质量得到保证，凡经过验收的工程合格率达95%以上。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农村公路养护覆盖率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 按照国省县道由养护管理，乡道村道由镇街负责养护管理原则，财政每年安排公路养护专项预算资金，保障了公路养护覆盖面，按照“四好农村路”要求，管护好的农村公路，通畅率100%，覆盖率100%。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项目绩效管理率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 预算管理做到管理制度健全、资金使用合规、预决算信息按规定和要求及时公开、养护工程项目管理规范、基础信息完善。所有项目编制预算时均编制绩效目标，项目绩效管理率100%。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预决算公开率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 根据区财政工作要求，在规定时间对预决算进行全面公开，公开率100%。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预算执行率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 年初预算4360.94万元，调整预算数4451.80万元，全年执行数4451.80万元，总预算执行率100%。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其中：基本支出预算资金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2083.43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万元，实际支出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2083.43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预算执行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支出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预算资金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2368.37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元，实际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2368.37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元，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预算执行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受益群众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 区内公路养护建设项目涉及全区所有街镇，受益群众广，已实现村村通公路，群众出行更加方便，直接受益群众达20万人以上。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群众满意度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项目实施后，经询问和走访调查，周边群众对项目质量、效果、出行等带来的便利十分满意，满意度均达到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85%以上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主要经验及做法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开展绩效评价工作，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要时时进行日常运行监控，及时发现存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在的问题，纠正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项目实施过程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中存在的偏差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，并采取相应措施，让财政资金发挥更大效益。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开展绩效评价工作，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提高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思想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认识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和政治站位，要按照中央要求，解决群众“急、难、愁、盼”的事情，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哪些项目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效果好，群众满意度高，我们就要积极去实施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，努力为广大群众办好事实事，提高群众幸福指数。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（三）事前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开展绩效评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必须按照养护规划来进行项目立项，确保项目实施精准性，与全区交通的远期规划相吻合，确保财政资金效益最大化，避免造成资金浪费。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五、存在的问题和建议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1.专业人才缺乏。绩效评价专业性强，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工作具有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复杂性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需要具备各方面专业知识，我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目前缺乏这方面的专业人才，工作开展起来有难度，由财务负责牵头，人员数量较少，现有工作人员的业务水平还不能满足绩效管理工作要求，业务素质急需提高。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2.绩效评价质量有待提高。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公路养护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项目多，使用资金多，所有项目需全覆盖评价，工作量大，在较短的时间内无法完成或完成质量不高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本单位使用的资金由本单位自评，会造成评价结果的公证性不高。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.管理基础工作能力有待加强，首先，部分项目计划绩效目标设置不明确、不具体。按照现有资金补助政策，要求项目前期工作必须达到一定深度才能申报建设计划，为了积极的争取上级补助资金，我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需要提前拟定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养护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计划，开展项目前期工作。由于市级层面和区级层面下达建设计划的时间差问题，导致项目计划存在开工滞后，影响预算执行。其次，项目实施方面。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养护建设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项目是线性工程，点多面广，大部分项目因涉及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面较广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，其中任何一个环节出现不利因素，都会影响建设进度。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）意见或建议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1.由于所有项目需要全覆盖自评，评价是一个全过程监督，包括事前事中事后，建议区财政预算专项资金，聘请第三方机构参与评价。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2.保障项目前期工作经费。按照“实施一批、储备一批、谋划一批”思维，区财政应保障项目前期工作经费，加大项目前期工作力度，为上级补助资金的争取和项目建设实施创造有利的条件。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3.建立常态调度协调机制。落实各相关部门责任，采取交叉推动、相互衔接、动态管理的方式，按照“简化程序、缩短周期、责任明晰、绿色通道”的要求，共同加快项目推进，从而保证预算执行。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.为保证评价结果公证性，建议集中评价项目多一些，自评项目少一些。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78487"/>
    <w:multiLevelType w:val="singleLevel"/>
    <w:tmpl w:val="E25784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2998F8"/>
    <w:multiLevelType w:val="singleLevel"/>
    <w:tmpl w:val="622998F8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ZmNkZTI2MDFmMDc4ZTg1OWFjYjQ0ZTBiMzA0Y2Y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4410B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9497F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11CE4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2FE721A7"/>
    <w:rsid w:val="34245417"/>
    <w:rsid w:val="4E905AA6"/>
    <w:rsid w:val="57C90986"/>
    <w:rsid w:val="6D3F9806"/>
    <w:rsid w:val="9F7F2D2D"/>
    <w:rsid w:val="F6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4145</Words>
  <Characters>4332</Characters>
  <Lines>1</Lines>
  <Paragraphs>1</Paragraphs>
  <TotalTime>15</TotalTime>
  <ScaleCrop>false</ScaleCrop>
  <LinksUpToDate>false</LinksUpToDate>
  <CharactersWithSpaces>4371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2020-04-21T08:58:00Z</dcterms:created>
  <dc:creator>Administrator</dc:creator>
  <cp:lastModifiedBy>suma</cp:lastModifiedBy>
  <cp:lastPrinted>2020-04-21T08:58:00Z</cp:lastPrinted>
  <dcterms:modified xsi:type="dcterms:W3CDTF">2023-09-22T11:05:15Z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602D7BB36E484715BC1685AC81220D0D</vt:lpwstr>
  </property>
</Properties>
</file>