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重庆市璧山区城关幼儿园</w:t>
      </w:r>
    </w:p>
    <w:p>
      <w:pPr>
        <w:spacing w:line="660" w:lineRule="exact"/>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2022年度整体支出绩效自评报告</w:t>
      </w:r>
    </w:p>
    <w:p>
      <w:pPr>
        <w:spacing w:line="596" w:lineRule="exact"/>
        <w:rPr>
          <w:rFonts w:eastAsia="方正仿宋_GBK"/>
          <w:sz w:val="32"/>
          <w:szCs w:val="32"/>
        </w:rPr>
      </w:pP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一、基本情况</w:t>
      </w:r>
    </w:p>
    <w:p>
      <w:pPr>
        <w:spacing w:line="594" w:lineRule="exact"/>
        <w:ind w:firstLine="640" w:firstLineChars="200"/>
        <w:rPr>
          <w:rFonts w:hint="eastAsia" w:ascii="方正楷体_GBK" w:eastAsia="方正楷体_GBK"/>
          <w:sz w:val="32"/>
          <w:szCs w:val="32"/>
        </w:rPr>
      </w:pPr>
      <w:bookmarkStart w:id="0" w:name="_GoBack"/>
      <w:bookmarkEnd w:id="0"/>
      <w:r>
        <w:rPr>
          <w:rFonts w:hint="eastAsia" w:ascii="方正楷体_GBK" w:eastAsia="方正楷体_GBK"/>
          <w:sz w:val="32"/>
          <w:szCs w:val="32"/>
        </w:rPr>
        <w:t>（一）部门（单位）基本情况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重庆市璧山区城关幼儿园是属于财政全额拨款的公办幼儿园，二类事业单位，编制人数</w:t>
      </w:r>
      <w:r>
        <w:rPr>
          <w:rFonts w:eastAsia="方正仿宋_GBK"/>
          <w:sz w:val="32"/>
          <w:szCs w:val="32"/>
        </w:rPr>
        <w:t>50</w:t>
      </w:r>
      <w:r>
        <w:rPr>
          <w:rFonts w:hint="eastAsia" w:ascii="方正仿宋_GBK" w:eastAsia="方正仿宋_GBK"/>
          <w:sz w:val="32"/>
          <w:szCs w:val="32"/>
        </w:rPr>
        <w:t>人，现有在职在编教职工</w:t>
      </w:r>
      <w:r>
        <w:rPr>
          <w:rFonts w:eastAsia="方正仿宋_GBK"/>
          <w:sz w:val="32"/>
          <w:szCs w:val="32"/>
        </w:rPr>
        <w:t>49</w:t>
      </w:r>
      <w:r>
        <w:rPr>
          <w:rFonts w:hint="eastAsia" w:ascii="方正仿宋_GBK" w:eastAsia="方正仿宋_GBK"/>
          <w:sz w:val="32"/>
          <w:szCs w:val="32"/>
        </w:rPr>
        <w:t>人，内设保教处、总务处</w:t>
      </w:r>
      <w:r>
        <w:rPr>
          <w:rFonts w:eastAsia="方正仿宋_GBK"/>
          <w:sz w:val="32"/>
          <w:szCs w:val="32"/>
        </w:rPr>
        <w:t>2</w:t>
      </w:r>
      <w:r>
        <w:rPr>
          <w:rFonts w:hint="eastAsia" w:ascii="方正仿宋_GBK" w:eastAsia="方正仿宋_GBK"/>
          <w:sz w:val="32"/>
          <w:szCs w:val="32"/>
        </w:rPr>
        <w:t>个内设机构，是重庆市一级示范幼儿园。幼儿园规模：我园有</w:t>
      </w:r>
      <w:r>
        <w:rPr>
          <w:rFonts w:eastAsia="方正仿宋_GBK"/>
          <w:sz w:val="32"/>
          <w:szCs w:val="32"/>
        </w:rPr>
        <w:t>3</w:t>
      </w:r>
      <w:r>
        <w:rPr>
          <w:rFonts w:hint="eastAsia" w:ascii="方正仿宋_GBK" w:eastAsia="方正仿宋_GBK"/>
          <w:sz w:val="32"/>
          <w:szCs w:val="32"/>
        </w:rPr>
        <w:t>所园区，一所是文星校区幼儿园，位于璧山区璧泉街道中山南路</w:t>
      </w:r>
      <w:r>
        <w:rPr>
          <w:rFonts w:eastAsia="方正仿宋_GBK"/>
          <w:sz w:val="32"/>
          <w:szCs w:val="32"/>
        </w:rPr>
        <w:t>1</w:t>
      </w:r>
      <w:r>
        <w:rPr>
          <w:rFonts w:hint="eastAsia" w:ascii="方正仿宋_GBK" w:eastAsia="方正仿宋_GBK"/>
          <w:sz w:val="32"/>
          <w:szCs w:val="32"/>
        </w:rPr>
        <w:t xml:space="preserve">号，占地 </w:t>
      </w:r>
      <w:r>
        <w:rPr>
          <w:rFonts w:eastAsia="方正仿宋_GBK"/>
          <w:sz w:val="32"/>
          <w:szCs w:val="32"/>
        </w:rPr>
        <w:t>4053</w:t>
      </w:r>
      <w:r>
        <w:rPr>
          <w:rFonts w:hint="eastAsia" w:ascii="方正仿宋_GBK" w:eastAsia="方正仿宋_GBK"/>
          <w:sz w:val="32"/>
          <w:szCs w:val="32"/>
        </w:rPr>
        <w:t xml:space="preserve"> 平方米，建筑面积</w:t>
      </w:r>
      <w:r>
        <w:rPr>
          <w:rFonts w:eastAsia="方正仿宋_GBK"/>
          <w:sz w:val="32"/>
          <w:szCs w:val="32"/>
        </w:rPr>
        <w:t>4468</w:t>
      </w:r>
      <w:r>
        <w:rPr>
          <w:rFonts w:hint="eastAsia" w:ascii="方正仿宋_GBK" w:eastAsia="方正仿宋_GBK"/>
          <w:sz w:val="32"/>
          <w:szCs w:val="32"/>
        </w:rPr>
        <w:t xml:space="preserve"> 平方米，现有班级</w:t>
      </w:r>
      <w:r>
        <w:rPr>
          <w:rFonts w:eastAsia="方正仿宋_GBK"/>
          <w:sz w:val="32"/>
          <w:szCs w:val="32"/>
        </w:rPr>
        <w:t>15</w:t>
      </w:r>
      <w:r>
        <w:rPr>
          <w:rFonts w:hint="eastAsia" w:ascii="方正仿宋_GBK" w:eastAsia="方正仿宋_GBK"/>
          <w:sz w:val="32"/>
          <w:szCs w:val="32"/>
        </w:rPr>
        <w:t xml:space="preserve">个；一所是双星校区幼儿园，位于璧山区璧泉街道南河丽景D组团，占地 </w:t>
      </w:r>
      <w:r>
        <w:rPr>
          <w:rFonts w:eastAsia="方正仿宋_GBK"/>
          <w:sz w:val="32"/>
          <w:szCs w:val="32"/>
        </w:rPr>
        <w:t>1620</w:t>
      </w:r>
      <w:r>
        <w:rPr>
          <w:rFonts w:hint="eastAsia" w:ascii="方正仿宋_GBK" w:eastAsia="方正仿宋_GBK"/>
          <w:sz w:val="32"/>
          <w:szCs w:val="32"/>
        </w:rPr>
        <w:t xml:space="preserve"> 平方米，建筑面积  </w:t>
      </w:r>
      <w:r>
        <w:rPr>
          <w:rFonts w:eastAsia="方正仿宋_GBK"/>
          <w:sz w:val="32"/>
          <w:szCs w:val="32"/>
        </w:rPr>
        <w:t>2208.01</w:t>
      </w:r>
      <w:r>
        <w:rPr>
          <w:rFonts w:hint="eastAsia" w:ascii="方正仿宋_GBK" w:eastAsia="方正仿宋_GBK"/>
          <w:sz w:val="32"/>
          <w:szCs w:val="32"/>
        </w:rPr>
        <w:t>平方米，现有班级</w:t>
      </w:r>
      <w:r>
        <w:rPr>
          <w:rFonts w:eastAsia="方正仿宋_GBK"/>
          <w:sz w:val="32"/>
          <w:szCs w:val="32"/>
        </w:rPr>
        <w:t>10</w:t>
      </w:r>
      <w:r>
        <w:rPr>
          <w:rFonts w:hint="eastAsia" w:ascii="方正仿宋_GBK" w:eastAsia="方正仿宋_GBK"/>
          <w:sz w:val="32"/>
          <w:szCs w:val="32"/>
        </w:rPr>
        <w:t>个；一所是俊豪校区幼儿园，位于璧山区璧泉街道晴山路</w:t>
      </w:r>
      <w:r>
        <w:rPr>
          <w:rFonts w:eastAsia="方正仿宋_GBK"/>
          <w:sz w:val="32"/>
          <w:szCs w:val="32"/>
        </w:rPr>
        <w:t>116</w:t>
      </w:r>
      <w:r>
        <w:rPr>
          <w:rFonts w:hint="eastAsia" w:ascii="方正仿宋_GBK" w:eastAsia="方正仿宋_GBK"/>
          <w:sz w:val="32"/>
          <w:szCs w:val="32"/>
        </w:rPr>
        <w:t xml:space="preserve">号附一号，占地 </w:t>
      </w:r>
      <w:r>
        <w:rPr>
          <w:rFonts w:eastAsia="方正仿宋_GBK"/>
          <w:sz w:val="32"/>
          <w:szCs w:val="32"/>
        </w:rPr>
        <w:t>50255.32</w:t>
      </w:r>
      <w:r>
        <w:rPr>
          <w:rFonts w:hint="eastAsia" w:ascii="方正仿宋_GBK" w:eastAsia="方正仿宋_GBK"/>
          <w:sz w:val="32"/>
          <w:szCs w:val="32"/>
        </w:rPr>
        <w:t xml:space="preserve"> 平方米，建筑面积</w:t>
      </w:r>
      <w:r>
        <w:rPr>
          <w:rFonts w:eastAsia="方正仿宋_GBK"/>
          <w:sz w:val="32"/>
          <w:szCs w:val="32"/>
        </w:rPr>
        <w:t>6370.6</w:t>
      </w:r>
      <w:r>
        <w:rPr>
          <w:rFonts w:hint="eastAsia" w:ascii="方正仿宋_GBK" w:eastAsia="方正仿宋_GBK"/>
          <w:sz w:val="32"/>
          <w:szCs w:val="32"/>
        </w:rPr>
        <w:t>平方米。</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（二）预算及支出情况。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收入预算：</w:t>
      </w:r>
      <w:r>
        <w:rPr>
          <w:rFonts w:eastAsia="方正仿宋_GBK"/>
          <w:sz w:val="32"/>
          <w:szCs w:val="32"/>
        </w:rPr>
        <w:t>2022</w:t>
      </w:r>
      <w:r>
        <w:rPr>
          <w:rFonts w:hint="eastAsia" w:ascii="方正仿宋_GBK" w:eastAsia="方正仿宋_GBK"/>
          <w:sz w:val="32"/>
          <w:szCs w:val="32"/>
        </w:rPr>
        <w:t>年预算总收入</w:t>
      </w:r>
      <w:r>
        <w:rPr>
          <w:rFonts w:eastAsia="方正仿宋_GBK"/>
          <w:sz w:val="32"/>
          <w:szCs w:val="32"/>
        </w:rPr>
        <w:t>2124.02</w:t>
      </w:r>
      <w:r>
        <w:rPr>
          <w:rFonts w:hint="eastAsia" w:ascii="方正仿宋_GBK" w:eastAsia="方正仿宋_GBK"/>
          <w:sz w:val="32"/>
          <w:szCs w:val="32"/>
        </w:rPr>
        <w:t>万元，其中</w:t>
      </w:r>
      <w:r>
        <w:rPr>
          <w:rFonts w:eastAsia="方正仿宋_GBK"/>
          <w:sz w:val="32"/>
          <w:szCs w:val="32"/>
        </w:rPr>
        <w:t>2022</w:t>
      </w:r>
      <w:r>
        <w:rPr>
          <w:rFonts w:hint="eastAsia" w:ascii="方正仿宋_GBK" w:eastAsia="方正仿宋_GBK"/>
          <w:sz w:val="32"/>
          <w:szCs w:val="32"/>
        </w:rPr>
        <w:t>年一般公共预算财政拨款收入</w:t>
      </w:r>
      <w:r>
        <w:rPr>
          <w:rFonts w:eastAsia="方正仿宋_GBK"/>
          <w:sz w:val="32"/>
          <w:szCs w:val="32"/>
        </w:rPr>
        <w:t>1173.22</w:t>
      </w:r>
      <w:r>
        <w:rPr>
          <w:rFonts w:hint="eastAsia" w:ascii="方正仿宋_GBK" w:eastAsia="方正仿宋_GBK"/>
          <w:sz w:val="32"/>
          <w:szCs w:val="32"/>
        </w:rPr>
        <w:t>万元,事业收入</w:t>
      </w:r>
      <w:r>
        <w:rPr>
          <w:rFonts w:eastAsia="方正仿宋_GBK"/>
          <w:sz w:val="32"/>
          <w:szCs w:val="32"/>
        </w:rPr>
        <w:t>950.80</w:t>
      </w:r>
      <w:r>
        <w:rPr>
          <w:rFonts w:hint="eastAsia" w:ascii="方正仿宋_GBK" w:eastAsia="方正仿宋_GBK"/>
          <w:sz w:val="32"/>
          <w:szCs w:val="32"/>
        </w:rPr>
        <w:t>万元。</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支出预算：</w:t>
      </w:r>
      <w:r>
        <w:rPr>
          <w:rFonts w:eastAsia="方正仿宋_GBK"/>
          <w:sz w:val="32"/>
          <w:szCs w:val="32"/>
        </w:rPr>
        <w:t>2022</w:t>
      </w:r>
      <w:r>
        <w:rPr>
          <w:rFonts w:hint="eastAsia" w:ascii="方正仿宋_GBK" w:eastAsia="方正仿宋_GBK"/>
          <w:sz w:val="32"/>
          <w:szCs w:val="32"/>
        </w:rPr>
        <w:t>年预算支出</w:t>
      </w:r>
      <w:r>
        <w:rPr>
          <w:rFonts w:eastAsia="方正仿宋_GBK"/>
          <w:sz w:val="32"/>
          <w:szCs w:val="32"/>
        </w:rPr>
        <w:t>2084.84</w:t>
      </w:r>
      <w:r>
        <w:rPr>
          <w:rFonts w:hint="eastAsia" w:ascii="方正仿宋_GBK" w:eastAsia="方正仿宋_GBK"/>
          <w:sz w:val="32"/>
          <w:szCs w:val="32"/>
        </w:rPr>
        <w:t>万元，其中教育支出</w:t>
      </w:r>
      <w:r>
        <w:rPr>
          <w:rFonts w:eastAsia="方正仿宋_GBK"/>
          <w:sz w:val="32"/>
          <w:szCs w:val="32"/>
        </w:rPr>
        <w:t>1768.40</w:t>
      </w:r>
      <w:r>
        <w:rPr>
          <w:rFonts w:hint="eastAsia" w:ascii="方正仿宋_GBK" w:eastAsia="方正仿宋_GBK"/>
          <w:sz w:val="32"/>
          <w:szCs w:val="32"/>
        </w:rPr>
        <w:t>万元，社会保障和就业支出</w:t>
      </w:r>
      <w:r>
        <w:rPr>
          <w:rFonts w:eastAsia="方正仿宋_GBK"/>
          <w:sz w:val="32"/>
          <w:szCs w:val="32"/>
        </w:rPr>
        <w:t>209.66</w:t>
      </w:r>
      <w:r>
        <w:rPr>
          <w:rFonts w:hint="eastAsia" w:ascii="方正仿宋_GBK" w:eastAsia="方正仿宋_GBK"/>
          <w:sz w:val="32"/>
          <w:szCs w:val="32"/>
        </w:rPr>
        <w:t>万元，卫生健康支出</w:t>
      </w:r>
      <w:r>
        <w:rPr>
          <w:rFonts w:eastAsia="方正仿宋_GBK"/>
          <w:sz w:val="32"/>
          <w:szCs w:val="32"/>
        </w:rPr>
        <w:t>57.47</w:t>
      </w:r>
      <w:r>
        <w:rPr>
          <w:rFonts w:hint="eastAsia" w:ascii="方正仿宋_GBK" w:eastAsia="方正仿宋_GBK"/>
          <w:sz w:val="32"/>
          <w:szCs w:val="32"/>
        </w:rPr>
        <w:t>万元，住房保障支出</w:t>
      </w:r>
      <w:r>
        <w:rPr>
          <w:rFonts w:eastAsia="方正仿宋_GBK"/>
          <w:sz w:val="32"/>
          <w:szCs w:val="32"/>
        </w:rPr>
        <w:t>49.31</w:t>
      </w:r>
      <w:r>
        <w:rPr>
          <w:rFonts w:hint="eastAsia" w:ascii="方正仿宋_GBK" w:eastAsia="方正仿宋_GBK"/>
          <w:sz w:val="32"/>
          <w:szCs w:val="32"/>
        </w:rPr>
        <w:t>万元。</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支出情况。</w:t>
      </w:r>
      <w:r>
        <w:rPr>
          <w:rFonts w:eastAsia="方正仿宋_GBK"/>
          <w:sz w:val="32"/>
          <w:szCs w:val="32"/>
        </w:rPr>
        <w:t>2022</w:t>
      </w:r>
      <w:r>
        <w:rPr>
          <w:rFonts w:hint="eastAsia" w:ascii="方正仿宋_GBK" w:eastAsia="方正仿宋_GBK"/>
          <w:sz w:val="32"/>
          <w:szCs w:val="32"/>
        </w:rPr>
        <w:t>年度支出合计</w:t>
      </w:r>
      <w:r>
        <w:rPr>
          <w:rFonts w:eastAsia="方正仿宋_GBK"/>
          <w:sz w:val="32"/>
          <w:szCs w:val="32"/>
        </w:rPr>
        <w:t>2084.84</w:t>
      </w:r>
      <w:r>
        <w:rPr>
          <w:rFonts w:hint="eastAsia" w:ascii="方正仿宋_GBK" w:eastAsia="方正仿宋_GBK"/>
          <w:sz w:val="32"/>
          <w:szCs w:val="32"/>
        </w:rPr>
        <w:t>万元，其中：基本支出</w:t>
      </w:r>
      <w:r>
        <w:rPr>
          <w:rFonts w:eastAsia="方正仿宋_GBK"/>
          <w:sz w:val="32"/>
          <w:szCs w:val="32"/>
        </w:rPr>
        <w:t>2079.80</w:t>
      </w:r>
      <w:r>
        <w:rPr>
          <w:rFonts w:hint="eastAsia" w:ascii="方正仿宋_GBK" w:eastAsia="方正仿宋_GBK"/>
          <w:sz w:val="32"/>
          <w:szCs w:val="32"/>
        </w:rPr>
        <w:t>万元，占</w:t>
      </w:r>
      <w:r>
        <w:rPr>
          <w:rFonts w:eastAsia="方正仿宋_GBK"/>
          <w:sz w:val="32"/>
          <w:szCs w:val="32"/>
        </w:rPr>
        <w:t>99.76%</w:t>
      </w:r>
      <w:r>
        <w:rPr>
          <w:rFonts w:hint="eastAsia" w:ascii="方正仿宋_GBK" w:eastAsia="方正仿宋_GBK"/>
          <w:sz w:val="32"/>
          <w:szCs w:val="32"/>
        </w:rPr>
        <w:t>；项目支出</w:t>
      </w:r>
      <w:r>
        <w:rPr>
          <w:rFonts w:eastAsia="方正仿宋_GBK"/>
          <w:sz w:val="32"/>
          <w:szCs w:val="32"/>
        </w:rPr>
        <w:t>5.05</w:t>
      </w:r>
      <w:r>
        <w:rPr>
          <w:rFonts w:hint="eastAsia" w:ascii="方正仿宋_GBK" w:eastAsia="方正仿宋_GBK"/>
          <w:sz w:val="32"/>
          <w:szCs w:val="32"/>
        </w:rPr>
        <w:t>万元，占</w:t>
      </w:r>
      <w:r>
        <w:rPr>
          <w:rFonts w:eastAsia="方正仿宋_GBK"/>
          <w:sz w:val="32"/>
          <w:szCs w:val="32"/>
        </w:rPr>
        <w:t>0.24%</w:t>
      </w:r>
      <w:r>
        <w:rPr>
          <w:rFonts w:hint="eastAsia" w:ascii="方正仿宋_GBK" w:eastAsia="方正仿宋_GBK"/>
          <w:sz w:val="32"/>
          <w:szCs w:val="32"/>
        </w:rPr>
        <w:t>。</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4. 结转结余情况。</w:t>
      </w:r>
      <w:r>
        <w:rPr>
          <w:rFonts w:eastAsia="方正仿宋_GBK"/>
          <w:sz w:val="32"/>
          <w:szCs w:val="32"/>
        </w:rPr>
        <w:t>2022</w:t>
      </w:r>
      <w:r>
        <w:rPr>
          <w:rFonts w:hint="eastAsia" w:ascii="方正仿宋_GBK" w:eastAsia="方正仿宋_GBK"/>
          <w:sz w:val="32"/>
          <w:szCs w:val="32"/>
        </w:rPr>
        <w:t>年度年末结转和结余</w:t>
      </w:r>
      <w:r>
        <w:rPr>
          <w:rFonts w:eastAsia="方正仿宋_GBK"/>
          <w:sz w:val="32"/>
          <w:szCs w:val="32"/>
        </w:rPr>
        <w:t>44.23</w:t>
      </w:r>
      <w:r>
        <w:rPr>
          <w:rFonts w:hint="eastAsia" w:ascii="方正仿宋_GBK" w:eastAsia="方正仿宋_GBK"/>
          <w:sz w:val="32"/>
          <w:szCs w:val="32"/>
        </w:rPr>
        <w:t>万元。</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二、主要成效</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在财政资金的保障下，我园完成了年度各项工作目标任务。2</w:t>
      </w:r>
      <w:r>
        <w:rPr>
          <w:rFonts w:eastAsia="方正仿宋_GBK"/>
          <w:sz w:val="32"/>
          <w:szCs w:val="32"/>
        </w:rPr>
        <w:t>022</w:t>
      </w:r>
      <w:r>
        <w:rPr>
          <w:rFonts w:hint="eastAsia" w:ascii="方正仿宋_GBK" w:eastAsia="方正仿宋_GBK"/>
          <w:sz w:val="32"/>
          <w:szCs w:val="32"/>
        </w:rPr>
        <w:t>年部门整体支出绩效自我评价</w:t>
      </w:r>
      <w:r>
        <w:rPr>
          <w:rFonts w:eastAsia="方正仿宋_GBK"/>
          <w:sz w:val="32"/>
          <w:szCs w:val="32"/>
        </w:rPr>
        <w:t>98.55</w:t>
      </w:r>
      <w:r>
        <w:rPr>
          <w:rFonts w:hint="eastAsia" w:ascii="方正仿宋_GBK" w:eastAsia="方正仿宋_GBK"/>
          <w:sz w:val="32"/>
          <w:szCs w:val="32"/>
        </w:rPr>
        <w:t>分，自评结果：优。我园将在以后的工作中加强预算、决算管理制度，严格控制各项经费的开支，提高财政资金的使用效益。</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社会效益：项目资金严格按照财务管理规定执行，使用科目合理，程序合法，确保了项目的顺利完成。通过项目的实施，我园按照法定职责认真履职，提高教学质量，圆满完成了年度工作目标任务。</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经济效益：无</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环境效益：无</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4. 社会公众或服务对象满意度： </w:t>
      </w:r>
      <w:r>
        <w:rPr>
          <w:rFonts w:eastAsia="方正仿宋_GBK"/>
          <w:sz w:val="32"/>
          <w:szCs w:val="32"/>
        </w:rPr>
        <w:t>2022</w:t>
      </w:r>
      <w:r>
        <w:rPr>
          <w:rFonts w:hint="eastAsia" w:ascii="方正仿宋_GBK" w:eastAsia="方正仿宋_GBK"/>
          <w:sz w:val="32"/>
          <w:szCs w:val="32"/>
        </w:rPr>
        <w:t>年，我园认真落实教学任务，建立了绩效管理长效机制，不断强化学校绩效管理工作，规范财务工作程序，提高了财政资金的使用绩效，学生满意度不断提高，学生满意度达到</w:t>
      </w:r>
      <w:r>
        <w:rPr>
          <w:rFonts w:eastAsia="方正仿宋_GBK"/>
          <w:sz w:val="32"/>
          <w:szCs w:val="32"/>
        </w:rPr>
        <w:t>100%</w:t>
      </w:r>
      <w:r>
        <w:rPr>
          <w:rFonts w:hint="eastAsia" w:ascii="方正仿宋_GBK" w:eastAsia="方正仿宋_GBK"/>
          <w:sz w:val="32"/>
          <w:szCs w:val="32"/>
        </w:rPr>
        <w:t>。</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三、绩效评价情况及结论</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（一）绩效评价目的</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为加强财政资金预算管理，强化部门支出责任意识，进一步完善“全方位、全过程、全覆盖”的财政预算绩效管理体系，提高财政资金使用效益，按照《中共重庆市委重庆市人民政府关于全面实施预算绩效管理的实施意见》（渝委发</w:t>
      </w:r>
      <w:r>
        <w:rPr>
          <w:rFonts w:hint="eastAsia" w:ascii="方正仿宋_GBK" w:eastAsia="方正仿宋_GBK"/>
          <w:snapToGrid w:val="0"/>
          <w:sz w:val="32"/>
          <w:szCs w:val="32"/>
        </w:rPr>
        <w:t>〔</w:t>
      </w:r>
      <w:r>
        <w:rPr>
          <w:rFonts w:eastAsia="方正仿宋_GBK"/>
          <w:snapToGrid w:val="0"/>
          <w:sz w:val="32"/>
          <w:szCs w:val="32"/>
        </w:rPr>
        <w:t>2019</w:t>
      </w:r>
      <w:r>
        <w:rPr>
          <w:rFonts w:hint="eastAsia" w:ascii="方正仿宋_GBK" w:eastAsia="方正仿宋_GBK"/>
          <w:snapToGrid w:val="0"/>
          <w:sz w:val="32"/>
          <w:szCs w:val="32"/>
        </w:rPr>
        <w:t>〕</w:t>
      </w:r>
      <w:r>
        <w:rPr>
          <w:rFonts w:eastAsia="方正仿宋_GBK"/>
          <w:sz w:val="32"/>
          <w:szCs w:val="32"/>
        </w:rPr>
        <w:t>12</w:t>
      </w:r>
      <w:r>
        <w:rPr>
          <w:rFonts w:hint="eastAsia" w:ascii="方正仿宋_GBK" w:hAnsi="宋体" w:eastAsia="方正仿宋_GBK" w:cs="宋体"/>
          <w:sz w:val="32"/>
          <w:szCs w:val="32"/>
        </w:rPr>
        <w:t>号</w:t>
      </w:r>
      <w:r>
        <w:rPr>
          <w:rFonts w:hint="eastAsia" w:ascii="方正仿宋_GBK" w:eastAsia="方正仿宋_GBK"/>
          <w:sz w:val="32"/>
          <w:szCs w:val="32"/>
        </w:rPr>
        <w:t>）、《重庆市财政局关于加快推进预算绩效管理工作的通知》（渝财绩</w:t>
      </w:r>
      <w:r>
        <w:rPr>
          <w:rFonts w:hint="eastAsia" w:ascii="方正仿宋_GBK" w:eastAsia="方正仿宋_GBK"/>
          <w:snapToGrid w:val="0"/>
          <w:sz w:val="32"/>
          <w:szCs w:val="32"/>
        </w:rPr>
        <w:t>〔</w:t>
      </w:r>
      <w:r>
        <w:rPr>
          <w:rFonts w:eastAsia="方正仿宋_GBK"/>
          <w:snapToGrid w:val="0"/>
          <w:sz w:val="32"/>
          <w:szCs w:val="32"/>
        </w:rPr>
        <w:t>2022</w:t>
      </w:r>
      <w:r>
        <w:rPr>
          <w:rFonts w:hint="eastAsia" w:ascii="方正仿宋_GBK" w:eastAsia="方正仿宋_GBK"/>
          <w:snapToGrid w:val="0"/>
          <w:sz w:val="32"/>
          <w:szCs w:val="32"/>
        </w:rPr>
        <w:t>〕</w:t>
      </w:r>
      <w:r>
        <w:rPr>
          <w:rFonts w:eastAsia="方正仿宋_GBK"/>
          <w:sz w:val="32"/>
          <w:szCs w:val="32"/>
        </w:rPr>
        <w:t>1</w:t>
      </w:r>
      <w:r>
        <w:rPr>
          <w:rFonts w:hint="eastAsia" w:ascii="方正仿宋_GBK" w:hAnsi="宋体" w:eastAsia="方正仿宋_GBK" w:cs="宋体"/>
          <w:sz w:val="32"/>
          <w:szCs w:val="32"/>
        </w:rPr>
        <w:t>号</w:t>
      </w:r>
      <w:r>
        <w:rPr>
          <w:rFonts w:hint="eastAsia" w:ascii="方正仿宋_GBK" w:eastAsia="方正仿宋_GBK"/>
          <w:sz w:val="32"/>
          <w:szCs w:val="32"/>
        </w:rPr>
        <w:t>）《中共重庆市璧山区委 重庆市璧山区人民政府关于全面实施预算绩效管理的实施意见》（璧山委发</w:t>
      </w:r>
      <w:r>
        <w:rPr>
          <w:rFonts w:hint="eastAsia" w:ascii="方正仿宋_GBK" w:eastAsia="方正仿宋_GBK"/>
          <w:snapToGrid w:val="0"/>
          <w:sz w:val="32"/>
          <w:szCs w:val="32"/>
        </w:rPr>
        <w:t>〔</w:t>
      </w:r>
      <w:r>
        <w:rPr>
          <w:rFonts w:eastAsia="方正仿宋_GBK"/>
          <w:snapToGrid w:val="0"/>
          <w:sz w:val="32"/>
          <w:szCs w:val="32"/>
        </w:rPr>
        <w:t>2020</w:t>
      </w:r>
      <w:r>
        <w:rPr>
          <w:rFonts w:hint="eastAsia" w:ascii="方正仿宋_GBK" w:eastAsia="方正仿宋_GBK"/>
          <w:snapToGrid w:val="0"/>
          <w:sz w:val="32"/>
          <w:szCs w:val="32"/>
        </w:rPr>
        <w:t>〕</w:t>
      </w:r>
      <w:r>
        <w:rPr>
          <w:rFonts w:eastAsia="方正仿宋_GBK"/>
          <w:sz w:val="32"/>
          <w:szCs w:val="32"/>
        </w:rPr>
        <w:t>5</w:t>
      </w:r>
      <w:r>
        <w:rPr>
          <w:rFonts w:hint="eastAsia" w:ascii="方正仿宋_GBK" w:hAnsi="宋体" w:eastAsia="方正仿宋_GBK" w:cs="宋体"/>
          <w:sz w:val="32"/>
          <w:szCs w:val="32"/>
        </w:rPr>
        <w:t>号</w:t>
      </w:r>
      <w:r>
        <w:rPr>
          <w:rFonts w:hint="eastAsia" w:ascii="方正仿宋_GBK" w:eastAsia="方正仿宋_GBK"/>
          <w:sz w:val="32"/>
          <w:szCs w:val="32"/>
        </w:rPr>
        <w:t>）和《重庆市璧山区财政局关于印发〈</w:t>
      </w:r>
      <w:r>
        <w:rPr>
          <w:rFonts w:hint="eastAsia" w:ascii="方正仿宋_GBK" w:hAnsi="方正仿宋_GBK" w:eastAsia="方正仿宋_GBK" w:cs="方正仿宋_GBK"/>
          <w:sz w:val="32"/>
          <w:szCs w:val="32"/>
        </w:rPr>
        <w:t>重庆市璧山区预算绩效管理办法</w:t>
      </w:r>
      <w:r>
        <w:rPr>
          <w:rFonts w:hint="eastAsia" w:ascii="方正仿宋_GBK" w:eastAsia="方正仿宋_GBK"/>
          <w:sz w:val="32"/>
          <w:szCs w:val="32"/>
        </w:rPr>
        <w:t>〉</w:t>
      </w:r>
      <w:r>
        <w:rPr>
          <w:rFonts w:hint="eastAsia" w:ascii="方正仿宋_GBK" w:hAnsi="方正仿宋_GBK" w:eastAsia="方正仿宋_GBK" w:cs="方正仿宋_GBK"/>
          <w:sz w:val="32"/>
          <w:szCs w:val="32"/>
        </w:rPr>
        <w:t>（试行）的通知</w:t>
      </w:r>
      <w:r>
        <w:rPr>
          <w:rFonts w:hint="eastAsia" w:ascii="方正仿宋_GBK" w:eastAsia="方正仿宋_GBK"/>
          <w:sz w:val="32"/>
          <w:szCs w:val="32"/>
        </w:rPr>
        <w:t>》（璧财发</w:t>
      </w:r>
      <w:r>
        <w:rPr>
          <w:rFonts w:hint="eastAsia" w:ascii="方正仿宋_GBK" w:eastAsia="方正仿宋_GBK"/>
          <w:snapToGrid w:val="0"/>
          <w:sz w:val="32"/>
          <w:szCs w:val="32"/>
        </w:rPr>
        <w:t>〔</w:t>
      </w:r>
      <w:r>
        <w:rPr>
          <w:rFonts w:eastAsia="方正仿宋_GBK"/>
          <w:snapToGrid w:val="0"/>
          <w:sz w:val="32"/>
          <w:szCs w:val="32"/>
        </w:rPr>
        <w:t>2020</w:t>
      </w:r>
      <w:r>
        <w:rPr>
          <w:rFonts w:hint="eastAsia" w:ascii="方正仿宋_GBK" w:eastAsia="方正仿宋_GBK"/>
          <w:snapToGrid w:val="0"/>
          <w:sz w:val="32"/>
          <w:szCs w:val="32"/>
        </w:rPr>
        <w:t>〕</w:t>
      </w:r>
      <w:r>
        <w:rPr>
          <w:rFonts w:eastAsia="方正仿宋_GBK"/>
          <w:sz w:val="32"/>
          <w:szCs w:val="32"/>
        </w:rPr>
        <w:t>137</w:t>
      </w:r>
      <w:r>
        <w:rPr>
          <w:rFonts w:hint="eastAsia" w:ascii="方正仿宋_GBK" w:hAnsi="宋体" w:eastAsia="方正仿宋_GBK" w:cs="宋体"/>
          <w:sz w:val="32"/>
          <w:szCs w:val="32"/>
        </w:rPr>
        <w:t>号</w:t>
      </w:r>
      <w:r>
        <w:rPr>
          <w:rFonts w:hint="eastAsia" w:ascii="方正仿宋_GBK" w:eastAsia="方正仿宋_GBK"/>
          <w:sz w:val="32"/>
          <w:szCs w:val="32"/>
        </w:rPr>
        <w:t>）等文件有关规定开展本单位</w:t>
      </w:r>
      <w:r>
        <w:rPr>
          <w:rFonts w:eastAsia="方正仿宋_GBK"/>
          <w:sz w:val="32"/>
          <w:szCs w:val="32"/>
        </w:rPr>
        <w:t>2022</w:t>
      </w:r>
      <w:r>
        <w:rPr>
          <w:rFonts w:hint="eastAsia" w:ascii="方正仿宋_GBK" w:eastAsia="方正仿宋_GBK"/>
          <w:sz w:val="32"/>
          <w:szCs w:val="32"/>
        </w:rPr>
        <w:t>年预算绩效评价工作。</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（二）绩效评价原则</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绩效评价坚持科学规范、公开公正、分级分类、绩效相关、易于操作原则。</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评价的方法主要包括成本效益分析法、比较法、因素分析法、最低成本法、公众评判法、标杆管理法等。</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（三）绩效评价工作过程</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成立财政项目预算绩效评价工作组，负责绩效自评工作，通过对照部门职能职责及年度工作计划、总结，检查核实单位预算管理制度、资金及财务管理办法、财务会计资金，申请项目时绩效目标及其他相关资金，财政部门预算批复、年度决算报告，维稳方案批示、资金变动文件等相关资料，核实资金拨付情况，开展自评检查工作，对项目整体实施情况和质量进行评定。</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三、绩效评价情况及结论</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（一）投入评价情况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本单位所设立的整体绩效目标依据充分，符合客观实际，整体绩效目标与部门履职、年度工作任务的基本相符。据整体绩效目标所设定的绩效指标清晰、细化、可衡量，在职人员与编制人数相符，控制率</w:t>
      </w:r>
      <w:r>
        <w:rPr>
          <w:rFonts w:eastAsia="方正仿宋_GBK"/>
          <w:sz w:val="32"/>
          <w:szCs w:val="32"/>
        </w:rPr>
        <w:t>100%</w:t>
      </w:r>
      <w:r>
        <w:rPr>
          <w:rFonts w:hint="eastAsia" w:ascii="方正仿宋_GBK" w:eastAsia="方正仿宋_GBK"/>
          <w:sz w:val="32"/>
          <w:szCs w:val="32"/>
        </w:rPr>
        <w:t>，"三公经费"变动率</w:t>
      </w:r>
      <w:r>
        <w:rPr>
          <w:rFonts w:hint="eastAsia" w:ascii="方正仿宋_GBK" w:hAnsi="等线" w:eastAsia="方正仿宋_GBK" w:cs="等线"/>
          <w:sz w:val="32"/>
          <w:szCs w:val="32"/>
        </w:rPr>
        <w:t>≤</w:t>
      </w:r>
      <w:r>
        <w:rPr>
          <w:rFonts w:eastAsia="方正仿宋_GBK"/>
          <w:sz w:val="32"/>
          <w:szCs w:val="32"/>
        </w:rPr>
        <w:t>0</w:t>
      </w:r>
      <w:r>
        <w:rPr>
          <w:rFonts w:hint="eastAsia" w:ascii="方正仿宋_GBK" w:eastAsia="方正仿宋_GBK"/>
          <w:sz w:val="32"/>
          <w:szCs w:val="32"/>
        </w:rPr>
        <w:t>。</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预算编制情况。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预算执行管理情况。严格按照财务管理制度和财经纪律。严格执行节能降耗，接待费、差旅费、办公用品等按照经办人申请、分管领导审核、单位主要负责人审签的办法执行，都有严格的登记管理制度，预算执行情况严格按进度执行，公用经费、三公经费都是严格按照预算指标执行，无超预算执行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资产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（三）产出评价情况</w:t>
      </w:r>
    </w:p>
    <w:p>
      <w:pPr>
        <w:spacing w:line="594" w:lineRule="exact"/>
        <w:ind w:firstLine="640" w:firstLineChars="200"/>
        <w:rPr>
          <w:rFonts w:hint="eastAsia" w:ascii="方正仿宋_GBK" w:eastAsia="方正仿宋_GBK"/>
          <w:sz w:val="32"/>
          <w:szCs w:val="32"/>
        </w:rPr>
      </w:pPr>
      <w:r>
        <w:rPr>
          <w:rFonts w:eastAsia="方正仿宋_GBK"/>
          <w:sz w:val="32"/>
          <w:szCs w:val="32"/>
        </w:rPr>
        <w:t>2022</w:t>
      </w:r>
      <w:r>
        <w:rPr>
          <w:rFonts w:hint="eastAsia" w:ascii="方正仿宋_GBK" w:eastAsia="方正仿宋_GBK"/>
          <w:sz w:val="32"/>
          <w:szCs w:val="32"/>
        </w:rPr>
        <w:t>年预算支出</w:t>
      </w:r>
      <w:r>
        <w:rPr>
          <w:rFonts w:eastAsia="方正仿宋_GBK"/>
          <w:sz w:val="32"/>
          <w:szCs w:val="32"/>
        </w:rPr>
        <w:t>2084.84</w:t>
      </w:r>
      <w:r>
        <w:rPr>
          <w:rFonts w:hint="eastAsia" w:ascii="方正仿宋_GBK" w:eastAsia="方正仿宋_GBK"/>
          <w:sz w:val="32"/>
          <w:szCs w:val="32"/>
        </w:rPr>
        <w:t>万元，其中教育支出</w:t>
      </w:r>
      <w:r>
        <w:rPr>
          <w:rFonts w:eastAsia="方正仿宋_GBK"/>
          <w:sz w:val="32"/>
          <w:szCs w:val="32"/>
        </w:rPr>
        <w:t>1768.40</w:t>
      </w:r>
      <w:r>
        <w:rPr>
          <w:rFonts w:hint="eastAsia" w:ascii="方正仿宋_GBK" w:eastAsia="方正仿宋_GBK"/>
          <w:sz w:val="32"/>
          <w:szCs w:val="32"/>
        </w:rPr>
        <w:t>万元，社会保障和就业支出</w:t>
      </w:r>
      <w:r>
        <w:rPr>
          <w:rFonts w:eastAsia="方正仿宋_GBK"/>
          <w:sz w:val="32"/>
          <w:szCs w:val="32"/>
        </w:rPr>
        <w:t>209.66</w:t>
      </w:r>
      <w:r>
        <w:rPr>
          <w:rFonts w:hint="eastAsia" w:ascii="方正仿宋_GBK" w:eastAsia="方正仿宋_GBK"/>
          <w:sz w:val="32"/>
          <w:szCs w:val="32"/>
        </w:rPr>
        <w:t>万元，卫生健康支出</w:t>
      </w:r>
      <w:r>
        <w:rPr>
          <w:rFonts w:eastAsia="方正仿宋_GBK"/>
          <w:sz w:val="32"/>
          <w:szCs w:val="32"/>
        </w:rPr>
        <w:t>57.47</w:t>
      </w:r>
      <w:r>
        <w:rPr>
          <w:rFonts w:hint="eastAsia" w:ascii="方正仿宋_GBK" w:eastAsia="方正仿宋_GBK"/>
          <w:sz w:val="32"/>
          <w:szCs w:val="32"/>
        </w:rPr>
        <w:t>万元，住房保障支出</w:t>
      </w:r>
      <w:r>
        <w:rPr>
          <w:rFonts w:eastAsia="方正仿宋_GBK"/>
          <w:sz w:val="32"/>
          <w:szCs w:val="32"/>
        </w:rPr>
        <w:t>49.31</w:t>
      </w:r>
      <w:r>
        <w:rPr>
          <w:rFonts w:hint="eastAsia" w:ascii="方正仿宋_GBK" w:eastAsia="方正仿宋_GBK"/>
          <w:sz w:val="32"/>
          <w:szCs w:val="32"/>
        </w:rPr>
        <w:t>万元。</w:t>
      </w:r>
      <w:r>
        <w:rPr>
          <w:rFonts w:eastAsia="方正仿宋_GBK"/>
          <w:sz w:val="32"/>
          <w:szCs w:val="32"/>
        </w:rPr>
        <w:t>2022</w:t>
      </w:r>
      <w:r>
        <w:rPr>
          <w:rFonts w:hint="eastAsia" w:ascii="方正仿宋_GBK" w:eastAsia="方正仿宋_GBK"/>
          <w:sz w:val="32"/>
          <w:szCs w:val="32"/>
        </w:rPr>
        <w:t>年，我园各项工作总体形势稳定，实现年初绩效目标。</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四、需重点关注的问题</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1、预算编制不够明确和细化，预算编制的合理性需要提高，预算执行力度还要进一步加强。资金使用效益有待进一步提高，绩效目标设立不够明确、细化和量化。</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五、有关建议</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细化预算编制工作，认真做好预算的编制，进一步加强学校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项目，尽量压缩变动性的、有控制空间的费用项目；杜绝预算编制粗放、抬脑袋现象的发生，进一步提高预算编制的科学性、合理性、严谨性和可控性。</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加强财务管理，严格财务审核，在费用报账支付时，按照预算规定的费用项目和用途进行资金使用的审核，严格按照费用的实际使用用途进行资金支付项目的审核，严格按照实际的费用支出内容进行财务核算，在预算金额内严格控制费用的支出，控制超支现象的发生。</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遵循预算管理办法，对于年度无法预计的临时追加的相关工作需要费用，按照预算调整追加程序，逐级申报报批；对结余资金需调整用途的同样按照预算调整追加程序逐级申报报批，做到资金支付，预算现行，确保资金使用按照预算项目的使用用途执行，杜绝费用项目之间自行调剂使用现象的发生。</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4、加强财务核算工作，提高财务的精细化管理，确保财务核算的真实、及时、准确、完整。</w:t>
      </w:r>
    </w:p>
    <w:p>
      <w:pPr>
        <w:spacing w:line="594" w:lineRule="exact"/>
        <w:ind w:firstLine="640" w:firstLineChars="200"/>
        <w:jc w:val="right"/>
        <w:rPr>
          <w:rFonts w:hint="eastAsia" w:ascii="方正仿宋_GBK" w:eastAsia="方正仿宋_GBK"/>
          <w:sz w:val="32"/>
          <w:szCs w:val="32"/>
        </w:rPr>
      </w:pPr>
    </w:p>
    <w:p>
      <w:pPr>
        <w:spacing w:line="594"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 xml:space="preserve">重庆市璧山区城关幼儿园                      </w:t>
      </w:r>
    </w:p>
    <w:p>
      <w:pPr>
        <w:spacing w:line="594" w:lineRule="exact"/>
        <w:ind w:firstLine="640" w:firstLineChars="200"/>
        <w:jc w:val="right"/>
        <w:rPr>
          <w:rFonts w:eastAsia="方正仿宋_GBK"/>
          <w:sz w:val="32"/>
          <w:szCs w:val="32"/>
        </w:rPr>
      </w:pPr>
      <w:r>
        <w:rPr>
          <w:rFonts w:eastAsia="方正仿宋_GBK"/>
          <w:sz w:val="32"/>
          <w:szCs w:val="32"/>
        </w:rPr>
        <w:t>2023</w:t>
      </w:r>
      <w:r>
        <w:rPr>
          <w:rFonts w:hint="eastAsia" w:ascii="方正仿宋_GBK" w:eastAsia="方正仿宋_GBK"/>
          <w:sz w:val="32"/>
          <w:szCs w:val="32"/>
        </w:rPr>
        <w:t>年</w:t>
      </w:r>
      <w:r>
        <w:rPr>
          <w:rFonts w:eastAsia="方正仿宋_GBK"/>
          <w:sz w:val="32"/>
          <w:szCs w:val="32"/>
        </w:rPr>
        <w:t>3</w:t>
      </w:r>
      <w:r>
        <w:rPr>
          <w:rFonts w:hint="eastAsia" w:ascii="方正仿宋_GBK" w:eastAsia="方正仿宋_GBK"/>
          <w:sz w:val="32"/>
          <w:szCs w:val="32"/>
        </w:rPr>
        <w:t>月</w:t>
      </w:r>
      <w:r>
        <w:rPr>
          <w:rFonts w:eastAsia="方正仿宋_GBK"/>
          <w:sz w:val="32"/>
          <w:szCs w:val="32"/>
        </w:rPr>
        <w:t>20</w:t>
      </w:r>
      <w:r>
        <w:rPr>
          <w:rFonts w:hint="eastAsia" w:ascii="方正仿宋_GBK" w:eastAsia="方正仿宋_GBK"/>
          <w:sz w:val="32"/>
          <w:szCs w:val="32"/>
        </w:rPr>
        <w:t>日</w:t>
      </w:r>
    </w:p>
    <w:sectPr>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3YjA5NDgzYTk3MmI2ZTYzOGVhZWYyMjY5NmIzMTkifQ=="/>
  </w:docVars>
  <w:rsids>
    <w:rsidRoot w:val="00806865"/>
    <w:rsid w:val="00043A15"/>
    <w:rsid w:val="000575E2"/>
    <w:rsid w:val="00063B15"/>
    <w:rsid w:val="0009607E"/>
    <w:rsid w:val="000B5DB9"/>
    <w:rsid w:val="000B7B1C"/>
    <w:rsid w:val="000C0972"/>
    <w:rsid w:val="00144AB4"/>
    <w:rsid w:val="00171AB3"/>
    <w:rsid w:val="001C3D64"/>
    <w:rsid w:val="001C641A"/>
    <w:rsid w:val="001C6822"/>
    <w:rsid w:val="001D0FC8"/>
    <w:rsid w:val="001E256D"/>
    <w:rsid w:val="001E2D5B"/>
    <w:rsid w:val="001F7725"/>
    <w:rsid w:val="002221B6"/>
    <w:rsid w:val="00227398"/>
    <w:rsid w:val="00247BB1"/>
    <w:rsid w:val="002571F7"/>
    <w:rsid w:val="002641A6"/>
    <w:rsid w:val="002834C5"/>
    <w:rsid w:val="00293914"/>
    <w:rsid w:val="002C141E"/>
    <w:rsid w:val="002F6627"/>
    <w:rsid w:val="00304656"/>
    <w:rsid w:val="00311666"/>
    <w:rsid w:val="00333D24"/>
    <w:rsid w:val="0034410B"/>
    <w:rsid w:val="003532F1"/>
    <w:rsid w:val="00357647"/>
    <w:rsid w:val="00365C0E"/>
    <w:rsid w:val="00381982"/>
    <w:rsid w:val="00381F5B"/>
    <w:rsid w:val="00384864"/>
    <w:rsid w:val="003B01B9"/>
    <w:rsid w:val="003B16D9"/>
    <w:rsid w:val="003C54AF"/>
    <w:rsid w:val="003E4915"/>
    <w:rsid w:val="003E75C4"/>
    <w:rsid w:val="00401B11"/>
    <w:rsid w:val="00422429"/>
    <w:rsid w:val="0043034C"/>
    <w:rsid w:val="00443E03"/>
    <w:rsid w:val="00487348"/>
    <w:rsid w:val="00497B55"/>
    <w:rsid w:val="004C051C"/>
    <w:rsid w:val="00516F77"/>
    <w:rsid w:val="00547BAD"/>
    <w:rsid w:val="00550210"/>
    <w:rsid w:val="005516E1"/>
    <w:rsid w:val="0055723F"/>
    <w:rsid w:val="00563118"/>
    <w:rsid w:val="00595D78"/>
    <w:rsid w:val="005A221A"/>
    <w:rsid w:val="005B5ED1"/>
    <w:rsid w:val="00606BA5"/>
    <w:rsid w:val="00622789"/>
    <w:rsid w:val="006417E5"/>
    <w:rsid w:val="0064309B"/>
    <w:rsid w:val="00671BB5"/>
    <w:rsid w:val="006772C6"/>
    <w:rsid w:val="00681FA8"/>
    <w:rsid w:val="006C7720"/>
    <w:rsid w:val="006C793C"/>
    <w:rsid w:val="006D100A"/>
    <w:rsid w:val="006E6E29"/>
    <w:rsid w:val="00704B56"/>
    <w:rsid w:val="00725E01"/>
    <w:rsid w:val="00732DA5"/>
    <w:rsid w:val="00770339"/>
    <w:rsid w:val="0077453E"/>
    <w:rsid w:val="0079497F"/>
    <w:rsid w:val="0079665B"/>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731CD"/>
    <w:rsid w:val="00AB0118"/>
    <w:rsid w:val="00AD0DAD"/>
    <w:rsid w:val="00AF31E0"/>
    <w:rsid w:val="00B07031"/>
    <w:rsid w:val="00B17BC3"/>
    <w:rsid w:val="00B34D05"/>
    <w:rsid w:val="00B4043C"/>
    <w:rsid w:val="00B45780"/>
    <w:rsid w:val="00B72C78"/>
    <w:rsid w:val="00B85927"/>
    <w:rsid w:val="00BC3295"/>
    <w:rsid w:val="00BC7420"/>
    <w:rsid w:val="00BD1848"/>
    <w:rsid w:val="00BF6FF2"/>
    <w:rsid w:val="00C31CE4"/>
    <w:rsid w:val="00C77086"/>
    <w:rsid w:val="00C858DD"/>
    <w:rsid w:val="00CD33CE"/>
    <w:rsid w:val="00CF26C3"/>
    <w:rsid w:val="00D050B4"/>
    <w:rsid w:val="00D21B8E"/>
    <w:rsid w:val="00D610B4"/>
    <w:rsid w:val="00D86135"/>
    <w:rsid w:val="00D931C0"/>
    <w:rsid w:val="00E05A32"/>
    <w:rsid w:val="00E11CE4"/>
    <w:rsid w:val="00E225F8"/>
    <w:rsid w:val="00E25A0F"/>
    <w:rsid w:val="00E42BE7"/>
    <w:rsid w:val="00E55405"/>
    <w:rsid w:val="00E72086"/>
    <w:rsid w:val="00E91393"/>
    <w:rsid w:val="00EB0A75"/>
    <w:rsid w:val="00ED765E"/>
    <w:rsid w:val="00EF2A45"/>
    <w:rsid w:val="00F0697C"/>
    <w:rsid w:val="00F70C2E"/>
    <w:rsid w:val="00F9262E"/>
    <w:rsid w:val="00F93438"/>
    <w:rsid w:val="00FA41F0"/>
    <w:rsid w:val="00FD0041"/>
    <w:rsid w:val="00FE38F2"/>
    <w:rsid w:val="4871377A"/>
    <w:rsid w:val="73156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443</Words>
  <Characters>2531</Characters>
  <Lines>21</Lines>
  <Paragraphs>5</Paragraphs>
  <TotalTime>671</TotalTime>
  <ScaleCrop>false</ScaleCrop>
  <LinksUpToDate>false</LinksUpToDate>
  <CharactersWithSpaces>2969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城关幼儿园</cp:lastModifiedBy>
  <cp:lastPrinted>2020-04-20T08:58:00Z</cp:lastPrinted>
  <dcterms:modified xsi:type="dcterms:W3CDTF">2023-09-13T02:05:39Z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18613556DC814490A5D2BC8A40308483</vt:lpwstr>
  </property>
</Properties>
</file>