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ascii="Times New Roman" w:hAnsi="Times New Roman" w:eastAsia="方正小标宋_GBK" w:cs="Times New Roman"/>
          <w:color w:val="auto"/>
          <w:kern w:val="2"/>
          <w:sz w:val="44"/>
          <w:szCs w:val="32"/>
          <w:lang w:val="en-US" w:eastAsia="zh-CN" w:bidi="ar-SA"/>
        </w:rPr>
      </w:pPr>
      <w:bookmarkStart w:id="0" w:name="_GoBack"/>
      <w:bookmarkEnd w:id="0"/>
    </w:p>
    <w:p>
      <w:pPr>
        <w:spacing w:line="596" w:lineRule="exact"/>
        <w:jc w:val="center"/>
        <w:rPr>
          <w:rFonts w:hint="eastAsia" w:ascii="Times New Roman" w:hAnsi="Times New Roman" w:eastAsia="方正小标宋_GBK"/>
          <w:color w:val="auto"/>
          <w:sz w:val="44"/>
          <w:szCs w:val="32"/>
          <w:lang w:eastAsia="zh-CN"/>
        </w:rPr>
      </w:pPr>
      <w:r>
        <w:rPr>
          <w:rFonts w:hint="eastAsia" w:ascii="Times New Roman" w:hAnsi="Times New Roman" w:eastAsia="方正小标宋_GBK" w:cs="Times New Roman"/>
          <w:color w:val="auto"/>
          <w:kern w:val="2"/>
          <w:sz w:val="44"/>
          <w:szCs w:val="32"/>
          <w:lang w:val="en-US" w:eastAsia="zh-CN" w:bidi="ar-SA"/>
        </w:rPr>
        <w:t>重庆市璧山区环境卫生管理所</w:t>
      </w:r>
    </w:p>
    <w:p>
      <w:pPr>
        <w:pStyle w:val="13"/>
        <w:spacing w:line="596" w:lineRule="exact"/>
        <w:ind w:left="359" w:leftChars="171" w:firstLine="1100" w:firstLineChars="250"/>
        <w:rPr>
          <w:rFonts w:ascii="Times New Roman" w:hAnsi="Times New Roman" w:eastAsia="方正小标宋_GBK"/>
          <w:color w:val="auto"/>
          <w:sz w:val="44"/>
          <w:szCs w:val="32"/>
        </w:rPr>
      </w:pPr>
      <w:r>
        <w:rPr>
          <w:rFonts w:hint="eastAsia" w:ascii="Times New Roman" w:hAnsi="Times New Roman" w:eastAsia="方正小标宋_GBK"/>
          <w:color w:val="auto"/>
          <w:sz w:val="44"/>
          <w:szCs w:val="32"/>
        </w:rPr>
        <w:t>2022</w:t>
      </w:r>
      <w:r>
        <w:rPr>
          <w:rFonts w:ascii="Times New Roman" w:hAnsi="Times New Roman" w:eastAsia="方正小标宋_GBK"/>
          <w:color w:val="auto"/>
          <w:sz w:val="44"/>
          <w:szCs w:val="32"/>
        </w:rPr>
        <w:t>年</w:t>
      </w:r>
      <w:r>
        <w:rPr>
          <w:rFonts w:hint="eastAsia" w:ascii="Times New Roman" w:hAnsi="Times New Roman" w:eastAsia="方正小标宋_GBK"/>
          <w:color w:val="auto"/>
          <w:sz w:val="44"/>
          <w:szCs w:val="32"/>
        </w:rPr>
        <w:t>度</w:t>
      </w:r>
      <w:r>
        <w:rPr>
          <w:rFonts w:ascii="Times New Roman" w:hAnsi="Times New Roman" w:eastAsia="方正小标宋_GBK"/>
          <w:color w:val="auto"/>
          <w:sz w:val="44"/>
          <w:szCs w:val="32"/>
        </w:rPr>
        <w:t>整体支出绩效</w:t>
      </w:r>
      <w:r>
        <w:rPr>
          <w:rFonts w:hint="eastAsia" w:ascii="Times New Roman" w:hAnsi="Times New Roman" w:eastAsia="方正小标宋_GBK"/>
          <w:color w:val="auto"/>
          <w:sz w:val="44"/>
          <w:szCs w:val="32"/>
        </w:rPr>
        <w:t>自评</w:t>
      </w:r>
      <w:r>
        <w:rPr>
          <w:rFonts w:ascii="Times New Roman" w:hAnsi="Times New Roman" w:eastAsia="方正小标宋_GBK"/>
          <w:color w:val="auto"/>
          <w:sz w:val="44"/>
          <w:szCs w:val="32"/>
        </w:rPr>
        <w:t>报告</w:t>
      </w:r>
    </w:p>
    <w:p>
      <w:pPr>
        <w:pStyle w:val="13"/>
        <w:spacing w:line="596" w:lineRule="exact"/>
        <w:ind w:left="357" w:firstLine="640"/>
        <w:rPr>
          <w:rFonts w:ascii="Times New Roman" w:hAnsi="Times New Roman" w:eastAsia="方正仿宋_GBK"/>
          <w:color w:val="auto"/>
          <w:sz w:val="32"/>
          <w:szCs w:val="32"/>
        </w:rPr>
      </w:pPr>
    </w:p>
    <w:p>
      <w:pPr>
        <w:keepNext w:val="0"/>
        <w:keepLines w:val="0"/>
        <w:pageBreakBefore w:val="0"/>
        <w:kinsoku/>
        <w:wordWrap/>
        <w:overflowPunct/>
        <w:topLinePunct w:val="0"/>
        <w:autoSpaceDE/>
        <w:autoSpaceDN/>
        <w:bidi w:val="0"/>
        <w:spacing w:line="594" w:lineRule="exact"/>
        <w:ind w:firstLine="640" w:firstLineChars="200"/>
        <w:rPr>
          <w:rFonts w:ascii="Times New Roman" w:hAnsi="Times New Roman" w:eastAsia="方正黑体_GBK"/>
          <w:color w:val="auto"/>
          <w:sz w:val="32"/>
          <w:szCs w:val="32"/>
        </w:rPr>
      </w:pPr>
      <w:r>
        <w:rPr>
          <w:rFonts w:ascii="Times New Roman" w:hAnsi="Times New Roman" w:eastAsia="方正黑体_GBK"/>
          <w:color w:val="auto"/>
          <w:sz w:val="32"/>
          <w:szCs w:val="32"/>
        </w:rPr>
        <w:t>一、基本</w:t>
      </w:r>
      <w:r>
        <w:rPr>
          <w:rFonts w:hint="eastAsia" w:ascii="Times New Roman" w:hAnsi="Times New Roman" w:eastAsia="方正黑体_GBK"/>
          <w:color w:val="auto"/>
          <w:sz w:val="32"/>
          <w:szCs w:val="32"/>
        </w:rPr>
        <w:t>情况</w:t>
      </w:r>
    </w:p>
    <w:p>
      <w:pPr>
        <w:keepNext w:val="0"/>
        <w:keepLines w:val="0"/>
        <w:pageBreakBefore w:val="0"/>
        <w:kinsoku/>
        <w:wordWrap/>
        <w:overflowPunct/>
        <w:topLinePunct w:val="0"/>
        <w:autoSpaceDE/>
        <w:autoSpaceDN/>
        <w:bidi w:val="0"/>
        <w:spacing w:line="594" w:lineRule="exact"/>
        <w:ind w:firstLine="640" w:firstLineChars="200"/>
        <w:rPr>
          <w:rFonts w:ascii="Times New Roman" w:hAnsi="Times New Roman" w:eastAsia="方正仿宋_GBK"/>
          <w:color w:val="auto"/>
          <w:sz w:val="32"/>
          <w:szCs w:val="32"/>
        </w:rPr>
      </w:pPr>
      <w:r>
        <w:rPr>
          <w:rFonts w:hint="eastAsia" w:ascii="方正楷体_GBK" w:hAnsi="方正楷体_GBK" w:eastAsia="方正楷体_GBK" w:cs="方正楷体_GBK"/>
          <w:color w:val="auto"/>
          <w:sz w:val="32"/>
          <w:szCs w:val="32"/>
        </w:rPr>
        <w:t>（一）部门（单位）基本情况</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1、部门（单位）职级</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b w:val="0"/>
          <w:bCs w:val="0"/>
          <w:color w:val="auto"/>
          <w:sz w:val="32"/>
          <w:szCs w:val="32"/>
          <w:highlight w:val="none"/>
          <w:lang w:eastAsia="zh-CN"/>
        </w:rPr>
      </w:pPr>
      <w:r>
        <w:rPr>
          <w:rFonts w:hint="eastAsia" w:ascii="Times New Roman" w:hAnsi="Times New Roman" w:eastAsia="方正仿宋_GBK"/>
          <w:b w:val="0"/>
          <w:bCs w:val="0"/>
          <w:color w:val="auto"/>
          <w:sz w:val="32"/>
          <w:szCs w:val="32"/>
          <w:highlight w:val="none"/>
          <w:lang w:eastAsia="zh-CN"/>
        </w:rPr>
        <w:t>重庆市璧山区环境卫生管理所为区城市管理局管理的财政全额补助公益一类事业单位，为正科级。</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2、内设机构及编制</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lang w:eastAsia="zh-CN"/>
        </w:rPr>
      </w:pPr>
      <w:r>
        <w:rPr>
          <w:rFonts w:hint="eastAsia" w:ascii="Times New Roman" w:hAnsi="Times New Roman" w:eastAsia="方正仿宋_GBK"/>
          <w:color w:val="auto"/>
          <w:sz w:val="32"/>
          <w:szCs w:val="32"/>
          <w:lang w:eastAsia="zh-CN"/>
        </w:rPr>
        <w:t>重庆市璧山区环境卫生管理所属独立核算的事业单位，核定编制</w:t>
      </w:r>
      <w:r>
        <w:rPr>
          <w:rFonts w:hint="eastAsia" w:eastAsia="方正仿宋_GBK"/>
          <w:color w:val="auto"/>
          <w:sz w:val="32"/>
          <w:szCs w:val="32"/>
          <w:lang w:val="en-US" w:eastAsia="zh-CN"/>
        </w:rPr>
        <w:t>62</w:t>
      </w:r>
      <w:r>
        <w:rPr>
          <w:rFonts w:hint="eastAsia" w:ascii="Times New Roman" w:hAnsi="Times New Roman" w:eastAsia="方正仿宋_GBK"/>
          <w:color w:val="auto"/>
          <w:sz w:val="32"/>
          <w:szCs w:val="32"/>
          <w:lang w:eastAsia="zh-CN"/>
        </w:rPr>
        <w:t>人（其中干部</w:t>
      </w:r>
      <w:r>
        <w:rPr>
          <w:rFonts w:hint="eastAsia" w:eastAsia="方正仿宋_GBK"/>
          <w:color w:val="auto"/>
          <w:sz w:val="32"/>
          <w:szCs w:val="32"/>
          <w:lang w:val="en-US" w:eastAsia="zh-CN"/>
        </w:rPr>
        <w:t>33</w:t>
      </w:r>
      <w:r>
        <w:rPr>
          <w:rFonts w:hint="eastAsia" w:ascii="Times New Roman" w:hAnsi="Times New Roman" w:eastAsia="方正仿宋_GBK"/>
          <w:color w:val="auto"/>
          <w:sz w:val="32"/>
          <w:szCs w:val="32"/>
          <w:lang w:eastAsia="zh-CN"/>
        </w:rPr>
        <w:t>人，工人29人），实有人数</w:t>
      </w:r>
      <w:r>
        <w:rPr>
          <w:rFonts w:hint="eastAsia" w:eastAsia="方正仿宋_GBK"/>
          <w:color w:val="auto"/>
          <w:sz w:val="32"/>
          <w:szCs w:val="32"/>
          <w:lang w:val="en-US" w:eastAsia="zh-CN"/>
        </w:rPr>
        <w:t>57</w:t>
      </w:r>
      <w:r>
        <w:rPr>
          <w:rFonts w:hint="eastAsia" w:ascii="Times New Roman" w:hAnsi="Times New Roman" w:eastAsia="方正仿宋_GBK"/>
          <w:color w:val="auto"/>
          <w:sz w:val="32"/>
          <w:szCs w:val="32"/>
          <w:lang w:eastAsia="zh-CN"/>
        </w:rPr>
        <w:t>人（其中干部29人，工人2</w:t>
      </w:r>
      <w:r>
        <w:rPr>
          <w:rFonts w:hint="eastAsia" w:eastAsia="方正仿宋_GBK"/>
          <w:color w:val="auto"/>
          <w:sz w:val="32"/>
          <w:szCs w:val="32"/>
          <w:lang w:val="en-US" w:eastAsia="zh-CN"/>
        </w:rPr>
        <w:t>8</w:t>
      </w:r>
      <w:r>
        <w:rPr>
          <w:rFonts w:hint="eastAsia" w:ascii="Times New Roman" w:hAnsi="Times New Roman" w:eastAsia="方正仿宋_GBK"/>
          <w:color w:val="auto"/>
          <w:sz w:val="32"/>
          <w:szCs w:val="32"/>
          <w:lang w:eastAsia="zh-CN"/>
        </w:rPr>
        <w:t>人），离退休人员</w:t>
      </w:r>
      <w:r>
        <w:rPr>
          <w:rFonts w:hint="eastAsia" w:eastAsia="方正仿宋_GBK"/>
          <w:color w:val="auto"/>
          <w:sz w:val="32"/>
          <w:szCs w:val="32"/>
          <w:lang w:val="en-US" w:eastAsia="zh-CN"/>
        </w:rPr>
        <w:t>33</w:t>
      </w:r>
      <w:r>
        <w:rPr>
          <w:rFonts w:hint="eastAsia" w:ascii="Times New Roman" w:hAnsi="Times New Roman" w:eastAsia="方正仿宋_GBK"/>
          <w:color w:val="auto"/>
          <w:sz w:val="32"/>
          <w:szCs w:val="32"/>
          <w:lang w:eastAsia="zh-CN"/>
        </w:rPr>
        <w:t>人，临时聘用人员</w:t>
      </w:r>
      <w:r>
        <w:rPr>
          <w:rFonts w:hint="eastAsia" w:eastAsia="方正仿宋_GBK"/>
          <w:color w:val="auto"/>
          <w:sz w:val="32"/>
          <w:szCs w:val="32"/>
          <w:lang w:val="en-US" w:eastAsia="zh-CN"/>
        </w:rPr>
        <w:t>2394</w:t>
      </w:r>
      <w:r>
        <w:rPr>
          <w:rFonts w:hint="eastAsia" w:ascii="Times New Roman" w:hAnsi="Times New Roman" w:eastAsia="方正仿宋_GBK"/>
          <w:color w:val="auto"/>
          <w:sz w:val="32"/>
          <w:szCs w:val="32"/>
          <w:lang w:eastAsia="zh-CN"/>
        </w:rPr>
        <w:t>人。</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内设机构</w:t>
      </w:r>
      <w:r>
        <w:rPr>
          <w:rFonts w:hint="eastAsia" w:ascii="Times New Roman" w:hAnsi="Times New Roman" w:eastAsia="方正仿宋_GBK"/>
          <w:color w:val="auto"/>
          <w:sz w:val="32"/>
          <w:szCs w:val="32"/>
          <w:lang w:val="en-US" w:eastAsia="zh-CN"/>
        </w:rPr>
        <w:t>包括</w:t>
      </w:r>
      <w:r>
        <w:rPr>
          <w:rFonts w:hint="eastAsia" w:ascii="Times New Roman" w:hAnsi="Times New Roman" w:eastAsia="方正仿宋_GBK"/>
          <w:color w:val="auto"/>
          <w:sz w:val="32"/>
          <w:szCs w:val="32"/>
        </w:rPr>
        <w:t>：办公室</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s="方正仿宋_GBK"/>
          <w:color w:val="auto"/>
          <w:sz w:val="32"/>
          <w:szCs w:val="32"/>
          <w:highlight w:val="none"/>
          <w:lang w:eastAsia="zh-CN"/>
        </w:rPr>
        <w:t>思群劳模创新工作室</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s="方正仿宋_GBK"/>
          <w:color w:val="auto"/>
          <w:sz w:val="32"/>
          <w:szCs w:val="32"/>
          <w:highlight w:val="none"/>
          <w:lang w:eastAsia="zh-CN"/>
        </w:rPr>
        <w:t>财务室、环卫设施队、环卫安全监测队、劳动与人事保障队、垃圾处置费核费队、车辆管队、站厕管理队、清扫保洁队、清漂队、清运队、清洗队</w:t>
      </w:r>
      <w:r>
        <w:rPr>
          <w:rFonts w:hint="eastAsia" w:ascii="Times New Roman" w:hAnsi="Times New Roman" w:eastAsia="方正仿宋_GBK"/>
          <w:color w:val="auto"/>
          <w:sz w:val="32"/>
          <w:szCs w:val="32"/>
        </w:rPr>
        <w:t>。</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b w:val="0"/>
          <w:bCs w:val="0"/>
          <w:color w:val="auto"/>
          <w:sz w:val="32"/>
          <w:szCs w:val="32"/>
          <w:highlight w:val="none"/>
          <w:lang w:eastAsia="zh-CN"/>
        </w:rPr>
      </w:pPr>
      <w:r>
        <w:rPr>
          <w:rFonts w:hint="eastAsia" w:ascii="Times New Roman" w:hAnsi="Times New Roman" w:eastAsia="方正仿宋_GBK"/>
          <w:b w:val="0"/>
          <w:bCs w:val="0"/>
          <w:color w:val="auto"/>
          <w:sz w:val="32"/>
          <w:szCs w:val="32"/>
          <w:highlight w:val="none"/>
          <w:lang w:val="en-US" w:eastAsia="zh-CN"/>
        </w:rPr>
        <w:t>3、</w:t>
      </w:r>
      <w:r>
        <w:rPr>
          <w:rFonts w:hint="eastAsia" w:ascii="Times New Roman" w:hAnsi="Times New Roman" w:eastAsia="方正仿宋_GBK"/>
          <w:b w:val="0"/>
          <w:bCs w:val="0"/>
          <w:color w:val="auto"/>
          <w:sz w:val="32"/>
          <w:szCs w:val="32"/>
          <w:highlight w:val="none"/>
          <w:lang w:eastAsia="zh-CN"/>
        </w:rPr>
        <w:t>部门（单位）职能职责</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color w:val="auto"/>
          <w:lang w:eastAsia="zh-CN"/>
        </w:rPr>
      </w:pPr>
      <w:r>
        <w:rPr>
          <w:rFonts w:hint="eastAsia" w:ascii="Times New Roman" w:hAnsi="Times New Roman" w:eastAsia="方正仿宋_GBK"/>
          <w:b w:val="0"/>
          <w:bCs w:val="0"/>
          <w:color w:val="auto"/>
          <w:sz w:val="32"/>
          <w:szCs w:val="32"/>
          <w:highlight w:val="none"/>
          <w:lang w:eastAsia="zh-CN"/>
        </w:rPr>
        <w:t>宣传贯彻执行国家和地方有关环境卫生管理的法律、法规、规章和政策；承担城区规定范围内环卫设施的建设和日常维护工作；承担城区规定范围内的环境卫生保洁工作；承担城区水域清漂保洁工作；承担城区规定范围内城市生活垃圾、城市建筑垃圾、城市水域垃圾等垃圾的转运和处置工作；协助主管部门做好全区粪便处理设施安全检查、监测的事务性工作；承办主管部门交办的其他事项。</w:t>
      </w:r>
    </w:p>
    <w:p>
      <w:pPr>
        <w:keepNext w:val="0"/>
        <w:keepLines w:val="0"/>
        <w:pageBreakBefore w:val="0"/>
        <w:kinsoku/>
        <w:wordWrap/>
        <w:overflowPunct/>
        <w:topLinePunct w:val="0"/>
        <w:autoSpaceDE/>
        <w:autoSpaceDN/>
        <w:bidi w:val="0"/>
        <w:spacing w:line="594" w:lineRule="exact"/>
        <w:ind w:firstLine="640" w:firstLineChars="200"/>
        <w:rPr>
          <w:rFonts w:hint="eastAsia" w:ascii="方正楷体_GBK" w:hAnsi="方正楷体_GBK" w:eastAsia="方正楷体_GBK" w:cs="方正楷体_GBK"/>
          <w:b w:val="0"/>
          <w:bCs w:val="0"/>
          <w:color w:val="auto"/>
          <w:sz w:val="32"/>
          <w:szCs w:val="32"/>
          <w:highlight w:val="none"/>
          <w:lang w:eastAsia="zh-CN"/>
        </w:rPr>
      </w:pPr>
      <w:r>
        <w:rPr>
          <w:rFonts w:hint="eastAsia" w:ascii="方正楷体_GBK" w:hAnsi="方正楷体_GBK" w:eastAsia="方正楷体_GBK" w:cs="方正楷体_GBK"/>
          <w:b w:val="0"/>
          <w:bCs w:val="0"/>
          <w:color w:val="auto"/>
          <w:sz w:val="32"/>
          <w:szCs w:val="32"/>
          <w:highlight w:val="none"/>
          <w:lang w:eastAsia="zh-CN"/>
        </w:rPr>
        <w:t>（二）预算及支出情况</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s="仿宋_GB2312"/>
          <w:color w:val="auto"/>
          <w:sz w:val="32"/>
        </w:rPr>
      </w:pPr>
      <w:r>
        <w:rPr>
          <w:rFonts w:hint="eastAsia" w:ascii="Times New Roman" w:hAnsi="Times New Roman" w:eastAsia="方正仿宋_GBK" w:cs="仿宋_GB2312"/>
          <w:color w:val="auto"/>
          <w:sz w:val="32"/>
        </w:rPr>
        <w:t>2022年财政资金年初支出预算为16989</w:t>
      </w:r>
      <w:r>
        <w:rPr>
          <w:rFonts w:hint="eastAsia" w:ascii="Times New Roman" w:hAnsi="Times New Roman" w:eastAsia="方正仿宋_GBK" w:cs="仿宋_GB2312"/>
          <w:color w:val="auto"/>
          <w:sz w:val="32"/>
          <w:lang w:val="en-US" w:eastAsia="zh-CN"/>
        </w:rPr>
        <w:t>.</w:t>
      </w:r>
      <w:r>
        <w:rPr>
          <w:rFonts w:hint="eastAsia" w:ascii="Times New Roman" w:hAnsi="Times New Roman" w:eastAsia="方正仿宋_GBK" w:cs="仿宋_GB2312"/>
          <w:color w:val="auto"/>
          <w:sz w:val="32"/>
        </w:rPr>
        <w:t>7</w:t>
      </w:r>
      <w:r>
        <w:rPr>
          <w:rFonts w:hint="eastAsia" w:ascii="Times New Roman" w:hAnsi="Times New Roman" w:eastAsia="方正仿宋_GBK" w:cs="仿宋_GB2312"/>
          <w:color w:val="auto"/>
          <w:sz w:val="32"/>
          <w:lang w:val="en-US" w:eastAsia="zh-CN"/>
        </w:rPr>
        <w:t>4</w:t>
      </w:r>
      <w:r>
        <w:rPr>
          <w:rFonts w:hint="eastAsia" w:ascii="Times New Roman" w:hAnsi="Times New Roman" w:eastAsia="方正仿宋_GBK" w:cs="仿宋_GB2312"/>
          <w:color w:val="auto"/>
          <w:sz w:val="32"/>
        </w:rPr>
        <w:t>万元，年中调整</w:t>
      </w:r>
      <w:r>
        <w:rPr>
          <w:rFonts w:hint="eastAsia" w:ascii="Times New Roman" w:hAnsi="Times New Roman" w:eastAsia="方正仿宋_GBK" w:cs="仿宋_GB2312"/>
          <w:color w:val="auto"/>
          <w:sz w:val="32"/>
          <w:lang w:val="en-US" w:eastAsia="zh-CN"/>
        </w:rPr>
        <w:t>支出</w:t>
      </w:r>
      <w:r>
        <w:rPr>
          <w:rFonts w:hint="eastAsia" w:ascii="Times New Roman" w:hAnsi="Times New Roman" w:eastAsia="方正仿宋_GBK" w:cs="仿宋_GB2312"/>
          <w:color w:val="auto"/>
          <w:sz w:val="32"/>
        </w:rPr>
        <w:t>预算为16460</w:t>
      </w:r>
      <w:r>
        <w:rPr>
          <w:rFonts w:hint="eastAsia" w:eastAsia="方正仿宋_GBK" w:cs="仿宋_GB2312"/>
          <w:color w:val="auto"/>
          <w:sz w:val="32"/>
          <w:lang w:val="en-US" w:eastAsia="zh-CN"/>
        </w:rPr>
        <w:t>.03</w:t>
      </w:r>
      <w:r>
        <w:rPr>
          <w:rFonts w:hint="eastAsia" w:ascii="Times New Roman" w:hAnsi="Times New Roman" w:eastAsia="方正仿宋_GBK" w:cs="仿宋_GB2312"/>
          <w:color w:val="auto"/>
          <w:sz w:val="32"/>
        </w:rPr>
        <w:t>万元，上年结转</w:t>
      </w:r>
      <w:r>
        <w:rPr>
          <w:rFonts w:hint="eastAsia" w:ascii="Times New Roman" w:hAnsi="Times New Roman" w:eastAsia="方正仿宋_GBK" w:cs="仿宋_GB2312"/>
          <w:color w:val="auto"/>
          <w:sz w:val="32"/>
          <w:lang w:val="en-US" w:eastAsia="zh-CN"/>
        </w:rPr>
        <w:t>0</w:t>
      </w:r>
      <w:r>
        <w:rPr>
          <w:rFonts w:hint="eastAsia" w:ascii="Times New Roman" w:hAnsi="Times New Roman" w:eastAsia="方正仿宋_GBK" w:cs="仿宋_GB2312"/>
          <w:color w:val="auto"/>
          <w:sz w:val="32"/>
        </w:rPr>
        <w:t>万元，调整后支出预算为16460</w:t>
      </w:r>
      <w:r>
        <w:rPr>
          <w:rFonts w:hint="eastAsia" w:eastAsia="方正仿宋_GBK" w:cs="仿宋_GB2312"/>
          <w:color w:val="auto"/>
          <w:sz w:val="32"/>
          <w:lang w:val="en-US" w:eastAsia="zh-CN"/>
        </w:rPr>
        <w:t>.03</w:t>
      </w:r>
      <w:r>
        <w:rPr>
          <w:rFonts w:hint="eastAsia" w:ascii="Times New Roman" w:hAnsi="Times New Roman" w:eastAsia="方正仿宋_GBK" w:cs="仿宋_GB2312"/>
          <w:color w:val="auto"/>
          <w:sz w:val="32"/>
        </w:rPr>
        <w:t>万元；年末支出决算为16460</w:t>
      </w:r>
      <w:r>
        <w:rPr>
          <w:rFonts w:hint="eastAsia" w:eastAsia="方正仿宋_GBK" w:cs="仿宋_GB2312"/>
          <w:color w:val="auto"/>
          <w:sz w:val="32"/>
          <w:lang w:val="en-US" w:eastAsia="zh-CN"/>
        </w:rPr>
        <w:t>.03</w:t>
      </w:r>
      <w:r>
        <w:rPr>
          <w:rFonts w:hint="eastAsia" w:ascii="Times New Roman" w:hAnsi="Times New Roman" w:eastAsia="方正仿宋_GBK" w:cs="仿宋_GB2312"/>
          <w:color w:val="auto"/>
          <w:sz w:val="32"/>
        </w:rPr>
        <w:t>万元，年末结转和结余为0万元。</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二</w:t>
      </w:r>
      <w:r>
        <w:rPr>
          <w:rFonts w:ascii="Times New Roman" w:hAnsi="Times New Roman" w:eastAsia="方正黑体_GBK"/>
          <w:color w:val="auto"/>
          <w:sz w:val="32"/>
          <w:szCs w:val="32"/>
        </w:rPr>
        <w:t>、</w:t>
      </w:r>
      <w:r>
        <w:rPr>
          <w:rFonts w:hint="eastAsia" w:ascii="Times New Roman" w:hAnsi="Times New Roman" w:eastAsia="方正黑体_GBK"/>
          <w:color w:val="auto"/>
          <w:sz w:val="32"/>
          <w:szCs w:val="32"/>
        </w:rPr>
        <w:t>主要成效</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olor w:val="auto"/>
          <w:sz w:val="32"/>
          <w:szCs w:val="32"/>
          <w:lang w:val="en-US"/>
        </w:rPr>
      </w:pPr>
      <w:r>
        <w:rPr>
          <w:rFonts w:hint="eastAsia" w:ascii="Times New Roman" w:hAnsi="Times New Roman" w:eastAsia="方正仿宋_GBK"/>
          <w:color w:val="auto"/>
          <w:sz w:val="32"/>
          <w:szCs w:val="32"/>
          <w:lang w:val="en-US" w:eastAsia="zh-CN"/>
        </w:rPr>
        <w:t>2022年</w:t>
      </w:r>
      <w:r>
        <w:rPr>
          <w:rFonts w:hint="eastAsia" w:ascii="Times New Roman" w:hAnsi="Times New Roman" w:eastAsia="方正仿宋_GBK" w:cs="方正仿宋_GBK"/>
          <w:color w:val="auto"/>
          <w:sz w:val="32"/>
          <w:szCs w:val="32"/>
          <w:lang w:val="en-US" w:eastAsia="zh-CN"/>
        </w:rPr>
        <w:t>不断完善道路清扫、冲洗精细化、常态化管理方案，以严格检查与考核促进城区保洁质量稳步提升。年初与全区15个镇街、城区沿河两岸社会单位签订《重庆市城市水域环境卫生管理责任书》，落实了水域环境卫生管理责任。年初与15个镇街签订《化粪池安全管理运行责任书》，将安全责任层层分解落实，共抽查化粪池445座，发现7座存在安全隐患，及时下达整改通知书，责令其限期整改消除安全隐患。截止10月底共与餐饮企业签订餐厨垃圾收运协议书3684份，收运餐厨垃圾34664.28吨，日均餐厨垃圾收运量113吨，收运率达98%以上。全面加强疫情防控，坚决打赢疫情防控阻击战；新建公厕5座、改建公厕5座、完成城区22座公厕屋顶补漏维修工程，逐步规范和加强环卫硬件设施建设；突出任务防控重点，不断提高应急处置能力等。</w:t>
      </w:r>
    </w:p>
    <w:p>
      <w:pPr>
        <w:keepNext w:val="0"/>
        <w:keepLines w:val="0"/>
        <w:pageBreakBefore w:val="0"/>
        <w:kinsoku/>
        <w:wordWrap/>
        <w:overflowPunct/>
        <w:topLinePunct w:val="0"/>
        <w:autoSpaceDE/>
        <w:autoSpaceDN/>
        <w:bidi w:val="0"/>
        <w:spacing w:line="594" w:lineRule="exact"/>
        <w:ind w:firstLine="640" w:firstLineChars="200"/>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三、绩效</w:t>
      </w:r>
      <w:r>
        <w:rPr>
          <w:rFonts w:ascii="Times New Roman" w:hAnsi="Times New Roman" w:eastAsia="方正黑体_GBK"/>
          <w:color w:val="auto"/>
          <w:sz w:val="32"/>
          <w:szCs w:val="32"/>
        </w:rPr>
        <w:t>评价情况及结论</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根据《</w:t>
      </w:r>
      <w:r>
        <w:rPr>
          <w:rFonts w:hint="eastAsia" w:ascii="Times New Roman" w:hAnsi="Times New Roman" w:eastAsia="方正仿宋_GBK"/>
          <w:b w:val="0"/>
          <w:bCs w:val="0"/>
          <w:color w:val="auto"/>
          <w:sz w:val="32"/>
          <w:szCs w:val="32"/>
          <w:highlight w:val="none"/>
          <w:lang w:eastAsia="zh-CN"/>
        </w:rPr>
        <w:t>重庆市璧山区环境卫生管理所</w:t>
      </w:r>
      <w:r>
        <w:rPr>
          <w:rFonts w:hint="eastAsia" w:ascii="Times New Roman" w:hAnsi="Times New Roman" w:eastAsia="方正仿宋_GBK"/>
          <w:color w:val="auto"/>
          <w:sz w:val="32"/>
          <w:szCs w:val="32"/>
        </w:rPr>
        <w:t>2022年度部门整体支出绩效自评表》中的指标体系分析情况，</w:t>
      </w:r>
      <w:r>
        <w:rPr>
          <w:rFonts w:hint="eastAsia" w:ascii="Times New Roman" w:hAnsi="Times New Roman" w:eastAsia="方正仿宋_GBK"/>
          <w:b w:val="0"/>
          <w:bCs w:val="0"/>
          <w:color w:val="auto"/>
          <w:sz w:val="32"/>
          <w:szCs w:val="32"/>
          <w:highlight w:val="none"/>
          <w:lang w:eastAsia="zh-CN"/>
        </w:rPr>
        <w:t>重庆市璧山区环境卫生管理所</w:t>
      </w:r>
      <w:r>
        <w:rPr>
          <w:rFonts w:hint="eastAsia"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rPr>
        <w:t>年度部门整体支出绩效自评总得分</w:t>
      </w:r>
      <w:r>
        <w:rPr>
          <w:rFonts w:hint="eastAsia" w:eastAsia="方正仿宋_GBK"/>
          <w:color w:val="auto"/>
          <w:sz w:val="32"/>
          <w:szCs w:val="32"/>
          <w:lang w:val="en-US" w:eastAsia="zh-CN"/>
        </w:rPr>
        <w:t>100</w:t>
      </w:r>
      <w:r>
        <w:rPr>
          <w:rFonts w:hint="eastAsia" w:ascii="Times New Roman" w:hAnsi="Times New Roman" w:eastAsia="方正仿宋_GBK"/>
          <w:color w:val="auto"/>
          <w:sz w:val="32"/>
          <w:szCs w:val="32"/>
        </w:rPr>
        <w:t>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94" w:lineRule="exact"/>
        <w:ind w:left="0" w:right="0" w:firstLine="560" w:firstLineChars="200"/>
        <w:jc w:val="center"/>
        <w:textAlignment w:val="auto"/>
        <w:rPr>
          <w:rFonts w:hint="eastAsia" w:ascii="Times New Roman" w:hAnsi="Times New Roman" w:eastAsia="方正仿宋_GBK" w:cs="方正仿宋_GBK"/>
          <w:color w:val="auto"/>
          <w:kern w:val="0"/>
          <w:sz w:val="28"/>
          <w:szCs w:val="28"/>
          <w:highlight w:val="none"/>
          <w:shd w:val="clear" w:color="auto" w:fill="FFFFFF"/>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8"/>
        <w:tblW w:w="44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79"/>
        <w:gridCol w:w="1439"/>
        <w:gridCol w:w="1439"/>
        <w:gridCol w:w="1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指标名称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kern w:val="0"/>
                <w:sz w:val="24"/>
                <w:szCs w:val="24"/>
                <w:u w:val="none"/>
                <w:lang w:val="en-US" w:eastAsia="zh-CN" w:bidi="ar"/>
              </w:rPr>
            </w:pPr>
            <w:r>
              <w:rPr>
                <w:rFonts w:hint="eastAsia" w:ascii="Times New Roman" w:hAnsi="Times New Roman" w:eastAsia="方正仿宋_GBK" w:cs="方正仿宋_GBK"/>
                <w:i w:val="0"/>
                <w:iCs w:val="0"/>
                <w:color w:val="auto"/>
                <w:kern w:val="0"/>
                <w:sz w:val="24"/>
                <w:szCs w:val="24"/>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预算执行率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sz w:val="24"/>
                <w:szCs w:val="24"/>
                <w:u w:val="none"/>
                <w:lang w:val="en-US" w:eastAsia="zh-CN"/>
              </w:rPr>
            </w:pPr>
            <w:r>
              <w:rPr>
                <w:rFonts w:hint="eastAsia" w:ascii="Times New Roman" w:hAnsi="Times New Roman"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预决算公开率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rPr>
            </w:pPr>
            <w:r>
              <w:rPr>
                <w:rFonts w:hint="eastAsia" w:ascii="Times New Roman" w:hAnsi="Times New Roman"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城区清扫、清洗、保洁面积</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lang w:val="en-US" w:eastAsia="zh-CN"/>
              </w:rPr>
            </w:pPr>
            <w:r>
              <w:rPr>
                <w:rFonts w:hint="eastAsia" w:ascii="Times New Roman" w:hAnsi="Times New Roman"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日常维护公厕数量</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lang w:val="en-US" w:eastAsia="zh-CN"/>
              </w:rPr>
            </w:pPr>
            <w:r>
              <w:rPr>
                <w:rFonts w:hint="eastAsia" w:ascii="Times New Roman" w:hAnsi="Times New Roman"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方正仿宋_GBK" w:cs="方正仿宋_GBK"/>
                <w:i w:val="0"/>
                <w:iCs w:val="0"/>
                <w:color w:val="auto"/>
                <w:kern w:val="0"/>
                <w:sz w:val="24"/>
                <w:szCs w:val="24"/>
                <w:u w:val="none"/>
                <w:lang w:val="en-US" w:eastAsia="zh-CN" w:bidi="ar"/>
              </w:rPr>
            </w:pPr>
            <w:r>
              <w:rPr>
                <w:rFonts w:hint="eastAsia" w:ascii="Times New Roman" w:hAnsi="Times New Roman" w:eastAsia="方正仿宋_GBK" w:cs="方正仿宋_GBK"/>
                <w:i w:val="0"/>
                <w:iCs w:val="0"/>
                <w:color w:val="auto"/>
                <w:kern w:val="0"/>
                <w:sz w:val="24"/>
                <w:szCs w:val="24"/>
                <w:u w:val="none"/>
                <w:lang w:val="en-US" w:eastAsia="zh-CN" w:bidi="ar"/>
              </w:rPr>
              <w:t>日常维护、管理垃圾台数量</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环卫设施完好率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sz w:val="24"/>
                <w:szCs w:val="24"/>
                <w:u w:val="none"/>
                <w:lang w:val="en-US" w:eastAsia="zh-CN"/>
              </w:rPr>
            </w:pPr>
            <w:r>
              <w:rPr>
                <w:rFonts w:hint="eastAsia" w:ascii="Times New Roman" w:hAnsi="Times New Roman"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新建劳动者港湾</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sz w:val="24"/>
                <w:szCs w:val="24"/>
                <w:u w:val="none"/>
                <w:lang w:val="en-US" w:eastAsia="zh-CN"/>
              </w:rPr>
            </w:pPr>
            <w:r>
              <w:rPr>
                <w:rFonts w:hint="eastAsia" w:ascii="Times New Roman" w:hAnsi="Times New Roman" w:eastAsia="仿宋" w:cs="仿宋"/>
                <w:i w:val="0"/>
                <w:iCs w:val="0"/>
                <w:color w:val="auto"/>
                <w:kern w:val="0"/>
                <w:sz w:val="24"/>
                <w:szCs w:val="24"/>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eastAsia="仿宋" w:cs="仿宋"/>
                <w:i w:val="0"/>
                <w:iCs w:val="0"/>
                <w:color w:val="auto"/>
                <w:kern w:val="0"/>
                <w:sz w:val="24"/>
                <w:szCs w:val="24"/>
                <w:u w:val="none"/>
                <w:lang w:val="en-US" w:eastAsia="zh-CN" w:bidi="ar"/>
              </w:rPr>
              <w:t>100</w:t>
            </w:r>
            <w:r>
              <w:rPr>
                <w:rFonts w:hint="eastAsia" w:ascii="Times New Roman" w:hAnsi="Times New Roman" w:eastAsia="仿宋" w:cs="仿宋"/>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粪便处理设施安全检查、监测率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sz w:val="24"/>
                <w:szCs w:val="24"/>
                <w:u w:val="none"/>
                <w:lang w:val="en-US" w:eastAsia="zh-CN"/>
              </w:rPr>
            </w:pPr>
            <w:r>
              <w:rPr>
                <w:rFonts w:hint="eastAsia" w:ascii="Times New Roman" w:hAnsi="Times New Roman"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城区清扫、清洗、保洁率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sz w:val="24"/>
                <w:szCs w:val="24"/>
                <w:u w:val="none"/>
                <w:lang w:val="en-US" w:eastAsia="zh-CN"/>
              </w:rPr>
            </w:pPr>
            <w:r>
              <w:rPr>
                <w:rFonts w:hint="eastAsia" w:ascii="Times New Roman" w:hAnsi="Times New Roman"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项目绩效管理率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lang w:val="en-US" w:eastAsia="zh-CN"/>
              </w:rPr>
            </w:pPr>
            <w:r>
              <w:rPr>
                <w:rFonts w:hint="eastAsia" w:ascii="Times New Roman" w:hAnsi="Times New Roman" w:eastAsia="仿宋" w:cs="仿宋"/>
                <w:i w:val="0"/>
                <w:iCs w:val="0"/>
                <w:color w:val="auto"/>
                <w:kern w:val="0"/>
                <w:sz w:val="24"/>
                <w:szCs w:val="24"/>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单位预决算编制及时率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lang w:val="en-US" w:eastAsia="zh-CN"/>
              </w:rPr>
            </w:pPr>
            <w:r>
              <w:rPr>
                <w:rFonts w:hint="eastAsia" w:ascii="Times New Roman" w:hAnsi="Times New Roman" w:eastAsia="仿宋" w:cs="仿宋"/>
                <w:i w:val="0"/>
                <w:iCs w:val="0"/>
                <w:color w:val="auto"/>
                <w:kern w:val="0"/>
                <w:sz w:val="24"/>
                <w:szCs w:val="24"/>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服务对象满意度</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lang w:val="en-US" w:eastAsia="zh-CN"/>
              </w:rPr>
            </w:pPr>
            <w:r>
              <w:rPr>
                <w:rFonts w:hint="eastAsia" w:ascii="Times New Roman" w:hAnsi="Times New Roman" w:eastAsia="仿宋" w:cs="仿宋"/>
                <w:i w:val="0"/>
                <w:iCs w:val="0"/>
                <w:color w:val="auto"/>
                <w:kern w:val="0"/>
                <w:sz w:val="24"/>
                <w:szCs w:val="24"/>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ascii="Times New Roman" w:hAnsi="Times New Roman" w:eastAsia="仿宋" w:cs="仿宋"/>
                <w:i w:val="0"/>
                <w:iCs w:val="0"/>
                <w:color w:val="auto"/>
                <w:kern w:val="0"/>
                <w:sz w:val="24"/>
                <w:szCs w:val="24"/>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bl>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1、预算执行率分析</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按照年初设定绩效目标预算执行率不得低于9</w:t>
      </w:r>
      <w:r>
        <w:rPr>
          <w:rFonts w:hint="eastAsia" w:ascii="Times New Roman" w:hAnsi="Times New Roman" w:eastAsia="方正仿宋_GBK"/>
          <w:color w:val="auto"/>
          <w:sz w:val="32"/>
          <w:szCs w:val="32"/>
          <w:lang w:val="en-US" w:eastAsia="zh-CN"/>
        </w:rPr>
        <w:t>5</w:t>
      </w:r>
      <w:r>
        <w:rPr>
          <w:rFonts w:hint="eastAsia"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rPr>
        <w:t>年执行支出数16460.03万元，完成预算执行率为</w:t>
      </w:r>
      <w:r>
        <w:rPr>
          <w:rFonts w:hint="eastAsia" w:ascii="Times New Roman" w:hAnsi="Times New Roman" w:eastAsia="方正仿宋_GBK"/>
          <w:color w:val="auto"/>
          <w:sz w:val="32"/>
          <w:szCs w:val="32"/>
          <w:lang w:val="en-US" w:eastAsia="zh-CN"/>
        </w:rPr>
        <w:t>100</w:t>
      </w:r>
      <w:r>
        <w:rPr>
          <w:rFonts w:hint="eastAsia" w:ascii="Times New Roman" w:hAnsi="Times New Roman" w:eastAsia="方正仿宋_GBK"/>
          <w:color w:val="auto"/>
          <w:sz w:val="32"/>
          <w:szCs w:val="32"/>
        </w:rPr>
        <w:t>%，项目执行情况良好，及时发放了人员经费、公用经费，保障了我局正常运转，体现了预算编制的准确性及科学性。根据评价标准，该指标得100%权重分。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2、预决算公开率分析</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按照相关文件规定，单位预决算信息需严格按照要求进行公开，202</w:t>
      </w: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rPr>
        <w:t>年我局按时完成了预决算公开，财政资金使用情况公开透明。根据评价标准，该指标得100%权重分。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3、</w:t>
      </w:r>
      <w:r>
        <w:rPr>
          <w:rFonts w:hint="eastAsia" w:ascii="Times New Roman" w:hAnsi="Times New Roman" w:eastAsia="方正仿宋_GBK"/>
          <w:color w:val="auto"/>
          <w:sz w:val="32"/>
          <w:szCs w:val="32"/>
          <w:lang w:val="en-US" w:eastAsia="zh-CN"/>
        </w:rPr>
        <w:t>城区清扫、清洗、保洁面积</w:t>
      </w:r>
      <w:r>
        <w:rPr>
          <w:rFonts w:hint="eastAsia" w:ascii="Times New Roman" w:hAnsi="Times New Roman" w:eastAsia="方正仿宋_GBK"/>
          <w:color w:val="auto"/>
          <w:sz w:val="32"/>
          <w:szCs w:val="32"/>
        </w:rPr>
        <w:t>分析</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rPr>
        <w:t>年，本单位及时开展了</w:t>
      </w:r>
      <w:r>
        <w:rPr>
          <w:rFonts w:hint="eastAsia" w:ascii="Times New Roman" w:hAnsi="Times New Roman" w:eastAsia="方正仿宋_GBK"/>
          <w:color w:val="auto"/>
          <w:sz w:val="32"/>
          <w:szCs w:val="32"/>
          <w:lang w:val="en-US" w:eastAsia="zh-CN"/>
        </w:rPr>
        <w:t>城区清扫、清洗、保洁面积的工作，其面积达到了1002.37万平方米</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有效保证了</w:t>
      </w:r>
      <w:r>
        <w:rPr>
          <w:rFonts w:hint="eastAsia" w:ascii="Times New Roman" w:hAnsi="Times New Roman" w:eastAsia="方正仿宋_GBK"/>
          <w:color w:val="auto"/>
          <w:sz w:val="32"/>
          <w:szCs w:val="32"/>
        </w:rPr>
        <w:t>城区道路</w:t>
      </w:r>
      <w:r>
        <w:rPr>
          <w:rFonts w:hint="eastAsia" w:ascii="Times New Roman" w:hAnsi="Times New Roman" w:eastAsia="方正仿宋_GBK"/>
          <w:color w:val="auto"/>
          <w:sz w:val="32"/>
          <w:szCs w:val="32"/>
          <w:lang w:val="en-US" w:eastAsia="zh-CN"/>
        </w:rPr>
        <w:t>的</w:t>
      </w:r>
      <w:r>
        <w:rPr>
          <w:rFonts w:hint="eastAsia" w:ascii="Times New Roman" w:hAnsi="Times New Roman" w:eastAsia="方正仿宋_GBK"/>
          <w:color w:val="auto"/>
          <w:sz w:val="32"/>
          <w:szCs w:val="32"/>
        </w:rPr>
        <w:t>保洁</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4、</w:t>
      </w:r>
      <w:r>
        <w:rPr>
          <w:rFonts w:hint="eastAsia" w:ascii="Times New Roman" w:hAnsi="Times New Roman" w:eastAsia="方正仿宋_GBK"/>
          <w:color w:val="auto"/>
          <w:sz w:val="32"/>
          <w:szCs w:val="32"/>
          <w:lang w:val="en-US" w:eastAsia="zh-CN"/>
        </w:rPr>
        <w:t>日常维护公厕数量</w:t>
      </w:r>
      <w:r>
        <w:rPr>
          <w:rFonts w:hint="eastAsia" w:ascii="Times New Roman" w:hAnsi="Times New Roman" w:eastAsia="方正仿宋_GBK"/>
          <w:color w:val="auto"/>
          <w:sz w:val="32"/>
          <w:szCs w:val="32"/>
        </w:rPr>
        <w:t>分析</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为了加强环卫硬件设施的建设，我局通过新建公厕5座和改建公厕5座，并对城区的22座公厕开展屋顶补漏维修工程，使得该项工作逐步规范、统筹推进。提升了政府各部门协作水平和整体服务能力。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5、</w:t>
      </w:r>
      <w:r>
        <w:rPr>
          <w:rFonts w:hint="eastAsia" w:ascii="Times New Roman" w:hAnsi="Times New Roman" w:eastAsia="方正仿宋_GBK"/>
          <w:color w:val="auto"/>
          <w:sz w:val="32"/>
          <w:szCs w:val="32"/>
          <w:lang w:val="en-US" w:eastAsia="zh-CN"/>
        </w:rPr>
        <w:t>日常维护、管理垃圾站数量</w:t>
      </w:r>
      <w:r>
        <w:rPr>
          <w:rFonts w:hint="eastAsia" w:ascii="Times New Roman" w:hAnsi="Times New Roman" w:eastAsia="方正仿宋_GBK"/>
          <w:color w:val="auto"/>
          <w:sz w:val="32"/>
          <w:szCs w:val="32"/>
        </w:rPr>
        <w:t>分析</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rPr>
        <w:t>年，我局加强</w:t>
      </w:r>
      <w:r>
        <w:rPr>
          <w:rFonts w:hint="eastAsia" w:ascii="Times New Roman" w:hAnsi="Times New Roman" w:eastAsia="方正仿宋_GBK"/>
          <w:color w:val="auto"/>
          <w:sz w:val="32"/>
          <w:szCs w:val="32"/>
          <w:lang w:val="en-US" w:eastAsia="zh-CN"/>
        </w:rPr>
        <w:t>了</w:t>
      </w:r>
      <w:r>
        <w:rPr>
          <w:rFonts w:hint="eastAsia" w:ascii="Times New Roman" w:hAnsi="Times New Roman" w:eastAsia="方正仿宋_GBK"/>
          <w:color w:val="auto"/>
          <w:sz w:val="32"/>
          <w:szCs w:val="32"/>
        </w:rPr>
        <w:t>城市生活垃圾、城市水域垃圾等垃圾的转运和处置工作，提升</w:t>
      </w:r>
      <w:r>
        <w:rPr>
          <w:rFonts w:hint="eastAsia" w:ascii="Times New Roman" w:hAnsi="Times New Roman" w:eastAsia="方正仿宋_GBK"/>
          <w:color w:val="auto"/>
          <w:sz w:val="32"/>
          <w:szCs w:val="32"/>
          <w:lang w:val="en-US" w:eastAsia="zh-CN"/>
        </w:rPr>
        <w:t>了</w:t>
      </w:r>
      <w:r>
        <w:rPr>
          <w:rFonts w:hint="eastAsia" w:ascii="Times New Roman" w:hAnsi="Times New Roman" w:eastAsia="方正仿宋_GBK"/>
          <w:color w:val="auto"/>
          <w:sz w:val="32"/>
          <w:szCs w:val="32"/>
        </w:rPr>
        <w:t>城市生活质量，全年累计开展</w:t>
      </w:r>
      <w:r>
        <w:rPr>
          <w:rFonts w:hint="eastAsia" w:ascii="Times New Roman" w:hAnsi="Times New Roman" w:eastAsia="方正仿宋_GBK" w:cs="方正仿宋_GBK"/>
          <w:color w:val="auto"/>
          <w:sz w:val="32"/>
          <w:szCs w:val="32"/>
          <w:lang w:val="en-US" w:eastAsia="zh-CN"/>
        </w:rPr>
        <w:t>共清运城区生活垃圾约16.22万吨。</w:t>
      </w:r>
      <w:r>
        <w:rPr>
          <w:rFonts w:hint="eastAsia" w:ascii="Times New Roman" w:hAnsi="Times New Roman" w:eastAsia="方正仿宋_GBK"/>
          <w:color w:val="auto"/>
          <w:sz w:val="32"/>
          <w:szCs w:val="32"/>
        </w:rPr>
        <w:t>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6、环卫设施完好率分析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各业务科室</w:t>
      </w:r>
      <w:r>
        <w:rPr>
          <w:rFonts w:hint="eastAsia" w:ascii="Times New Roman" w:hAnsi="Times New Roman" w:eastAsia="方正仿宋_GBK" w:cs="方正仿宋_GBK"/>
          <w:color w:val="auto"/>
          <w:sz w:val="32"/>
          <w:szCs w:val="32"/>
          <w:lang w:val="en-US" w:eastAsia="zh-CN"/>
        </w:rPr>
        <w:t>合理调整了清扫清洗作业时间，清运、清洗车的作业时间和线路，提高了作业规范标准，在疫情期间每日对城区公厕、垃圾收集站、清漂专用码头、</w:t>
      </w:r>
      <w:r>
        <w:rPr>
          <w:rFonts w:hint="eastAsia" w:ascii="Times New Roman" w:hAnsi="Times New Roman" w:eastAsia="方正仿宋_GBK" w:cs="方正仿宋_GBK"/>
          <w:color w:val="auto"/>
          <w:sz w:val="32"/>
          <w:szCs w:val="32"/>
          <w:lang w:eastAsia="zh-CN"/>
        </w:rPr>
        <w:t>环卫作业车辆</w:t>
      </w:r>
      <w:r>
        <w:rPr>
          <w:rFonts w:hint="eastAsia" w:ascii="Times New Roman" w:hAnsi="Times New Roman" w:eastAsia="方正仿宋_GBK" w:cs="方正仿宋_GBK"/>
          <w:color w:val="auto"/>
          <w:sz w:val="32"/>
          <w:szCs w:val="32"/>
          <w:lang w:val="en-US" w:eastAsia="zh-CN"/>
        </w:rPr>
        <w:t>等各类环卫设施设备</w:t>
      </w:r>
      <w:r>
        <w:rPr>
          <w:rFonts w:hint="eastAsia" w:ascii="Times New Roman" w:hAnsi="Times New Roman" w:eastAsia="方正仿宋_GBK" w:cs="方正仿宋_GBK"/>
          <w:color w:val="auto"/>
          <w:sz w:val="32"/>
          <w:szCs w:val="32"/>
          <w:lang w:eastAsia="zh-CN"/>
        </w:rPr>
        <w:t>进行</w:t>
      </w:r>
      <w:r>
        <w:rPr>
          <w:rFonts w:hint="eastAsia" w:ascii="Times New Roman" w:hAnsi="Times New Roman" w:eastAsia="方正仿宋_GBK" w:cs="方正仿宋_GBK"/>
          <w:color w:val="auto"/>
          <w:sz w:val="32"/>
          <w:szCs w:val="32"/>
          <w:lang w:val="en-US" w:eastAsia="zh-CN"/>
        </w:rPr>
        <w:t>消毒作业。</w:t>
      </w:r>
      <w:r>
        <w:rPr>
          <w:rFonts w:hint="eastAsia" w:ascii="Times New Roman" w:hAnsi="Times New Roman" w:eastAsia="方正仿宋_GBK"/>
          <w:color w:val="auto"/>
          <w:sz w:val="32"/>
          <w:szCs w:val="32"/>
        </w:rPr>
        <w:t>环卫设施完好率为</w:t>
      </w:r>
      <w:r>
        <w:rPr>
          <w:rFonts w:hint="eastAsia" w:ascii="Times New Roman" w:hAnsi="Times New Roman" w:eastAsia="方正仿宋_GBK"/>
          <w:color w:val="auto"/>
          <w:sz w:val="32"/>
          <w:szCs w:val="32"/>
          <w:lang w:val="en-US" w:eastAsia="zh-CN"/>
        </w:rPr>
        <w:t>100</w:t>
      </w:r>
      <w:r>
        <w:rPr>
          <w:rFonts w:hint="eastAsia" w:ascii="Times New Roman" w:hAnsi="Times New Roman" w:eastAsia="方正仿宋_GBK"/>
          <w:color w:val="auto"/>
          <w:sz w:val="32"/>
          <w:szCs w:val="32"/>
        </w:rPr>
        <w:t>%，根据评价标准，该指标得</w:t>
      </w:r>
      <w:r>
        <w:rPr>
          <w:rFonts w:hint="eastAsia" w:ascii="Times New Roman" w:hAnsi="Times New Roman" w:eastAsia="方正仿宋_GBK"/>
          <w:color w:val="auto"/>
          <w:sz w:val="32"/>
          <w:szCs w:val="32"/>
          <w:lang w:val="en-US" w:eastAsia="zh-CN"/>
        </w:rPr>
        <w:t>100</w:t>
      </w:r>
      <w:r>
        <w:rPr>
          <w:rFonts w:hint="eastAsia" w:ascii="Times New Roman" w:hAnsi="Times New Roman" w:eastAsia="方正仿宋_GBK"/>
          <w:color w:val="auto"/>
          <w:sz w:val="32"/>
          <w:szCs w:val="32"/>
        </w:rPr>
        <w:t>%权重分。</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7、新建劳动者港湾分析</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为</w:t>
      </w:r>
      <w:r>
        <w:rPr>
          <w:rFonts w:hint="eastAsia" w:eastAsia="方正仿宋_GBK"/>
          <w:color w:val="auto"/>
          <w:sz w:val="32"/>
          <w:szCs w:val="32"/>
          <w:lang w:val="en-US" w:eastAsia="zh-CN"/>
        </w:rPr>
        <w:t>了向户外劳动者歇脚停靠提供便利的场所，提升城市服务品质，</w:t>
      </w:r>
      <w:r>
        <w:rPr>
          <w:rFonts w:hint="eastAsia" w:ascii="Times New Roman" w:hAnsi="Times New Roman" w:eastAsia="方正仿宋_GBK"/>
          <w:color w:val="auto"/>
          <w:sz w:val="32"/>
          <w:szCs w:val="32"/>
        </w:rPr>
        <w:t>2022年</w:t>
      </w:r>
      <w:r>
        <w:rPr>
          <w:rFonts w:hint="eastAsia" w:ascii="Times New Roman" w:hAnsi="Times New Roman" w:eastAsia="方正仿宋_GBK" w:cs="方正仿宋_GBK"/>
          <w:color w:val="auto"/>
          <w:sz w:val="32"/>
          <w:szCs w:val="32"/>
        </w:rPr>
        <w:t>度</w:t>
      </w:r>
      <w:r>
        <w:rPr>
          <w:rFonts w:hint="eastAsia" w:eastAsia="方正仿宋_GBK" w:cs="方正仿宋_GBK"/>
          <w:color w:val="auto"/>
          <w:sz w:val="32"/>
          <w:szCs w:val="32"/>
          <w:lang w:eastAsia="zh-CN"/>
        </w:rPr>
        <w:t>完成了</w:t>
      </w:r>
      <w:r>
        <w:rPr>
          <w:rFonts w:hint="eastAsia" w:eastAsia="方正仿宋_GBK" w:cs="方正仿宋_GBK"/>
          <w:color w:val="auto"/>
          <w:sz w:val="32"/>
          <w:szCs w:val="32"/>
          <w:lang w:val="en-US" w:eastAsia="zh-CN"/>
        </w:rPr>
        <w:t>10座</w:t>
      </w:r>
      <w:r>
        <w:rPr>
          <w:rFonts w:hint="eastAsia" w:ascii="Times New Roman" w:hAnsi="Times New Roman" w:eastAsia="方正仿宋_GBK" w:cs="方正仿宋_GBK"/>
          <w:color w:val="auto"/>
          <w:sz w:val="32"/>
          <w:szCs w:val="32"/>
        </w:rPr>
        <w:t>劳动者港湾</w:t>
      </w:r>
      <w:r>
        <w:rPr>
          <w:rFonts w:hint="eastAsia" w:eastAsia="方正仿宋_GBK" w:cs="方正仿宋_GBK"/>
          <w:color w:val="auto"/>
          <w:sz w:val="32"/>
          <w:szCs w:val="32"/>
          <w:lang w:eastAsia="zh-CN"/>
        </w:rPr>
        <w:t>的新建及</w:t>
      </w:r>
      <w:r>
        <w:rPr>
          <w:rFonts w:hint="eastAsia" w:ascii="Times New Roman" w:hAnsi="Times New Roman" w:eastAsia="方正仿宋_GBK" w:cs="方正仿宋_GBK"/>
          <w:color w:val="auto"/>
          <w:sz w:val="32"/>
          <w:szCs w:val="32"/>
        </w:rPr>
        <w:t>配套增设，完成</w:t>
      </w:r>
      <w:r>
        <w:rPr>
          <w:rFonts w:hint="eastAsia" w:eastAsia="方正仿宋_GBK" w:cs="方正仿宋_GBK"/>
          <w:color w:val="auto"/>
          <w:sz w:val="32"/>
          <w:szCs w:val="32"/>
          <w:lang w:eastAsia="zh-CN"/>
        </w:rPr>
        <w:t>了</w:t>
      </w:r>
      <w:r>
        <w:rPr>
          <w:rFonts w:hint="eastAsia" w:ascii="Times New Roman" w:hAnsi="Times New Roman" w:eastAsia="方正仿宋_GBK" w:cs="方正仿宋_GBK"/>
          <w:color w:val="auto"/>
          <w:sz w:val="32"/>
          <w:szCs w:val="32"/>
        </w:rPr>
        <w:t>年初既定绩效目标。根据评价标准，该指标得</w:t>
      </w:r>
      <w:r>
        <w:rPr>
          <w:rFonts w:hint="eastAsia" w:eastAsia="方正仿宋_GBK" w:cs="方正仿宋_GBK"/>
          <w:color w:val="auto"/>
          <w:sz w:val="32"/>
          <w:szCs w:val="32"/>
          <w:lang w:val="en-US" w:eastAsia="zh-CN"/>
        </w:rPr>
        <w:t>10</w:t>
      </w:r>
      <w:r>
        <w:rPr>
          <w:rFonts w:hint="eastAsia" w:ascii="Times New Roman" w:hAnsi="Times New Roman" w:eastAsia="方正仿宋_GBK" w:cs="方正仿宋_GBK"/>
          <w:color w:val="auto"/>
          <w:sz w:val="32"/>
          <w:szCs w:val="32"/>
          <w:lang w:val="en-US" w:eastAsia="zh-CN"/>
        </w:rPr>
        <w:t>0</w:t>
      </w:r>
      <w:r>
        <w:rPr>
          <w:rFonts w:hint="eastAsia" w:ascii="Times New Roman" w:hAnsi="Times New Roman" w:eastAsia="方正仿宋_GBK" w:cs="方正仿宋_GBK"/>
          <w:color w:val="auto"/>
          <w:sz w:val="32"/>
          <w:szCs w:val="32"/>
        </w:rPr>
        <w:t>%权重分</w:t>
      </w:r>
      <w:r>
        <w:rPr>
          <w:rFonts w:hint="eastAsia" w:ascii="Times New Roman" w:hAnsi="Times New Roman" w:eastAsia="方正仿宋_GBK"/>
          <w:color w:val="auto"/>
          <w:sz w:val="32"/>
          <w:szCs w:val="32"/>
        </w:rPr>
        <w:t>。</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8、粪便处理设施安全检查、监测率分析</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各业务科室严格</w:t>
      </w:r>
      <w:r>
        <w:rPr>
          <w:rFonts w:hint="eastAsia" w:ascii="Times New Roman" w:hAnsi="Times New Roman" w:eastAsia="方正仿宋_GBK"/>
          <w:color w:val="auto"/>
          <w:sz w:val="32"/>
          <w:szCs w:val="32"/>
          <w:lang w:val="en-US" w:eastAsia="zh-CN"/>
        </w:rPr>
        <w:t>执行</w:t>
      </w:r>
      <w:r>
        <w:rPr>
          <w:rFonts w:hint="eastAsia" w:ascii="Times New Roman" w:hAnsi="Times New Roman" w:eastAsia="方正仿宋_GBK" w:cs="方正仿宋_GBK"/>
          <w:color w:val="auto"/>
          <w:sz w:val="32"/>
          <w:szCs w:val="32"/>
          <w:lang w:val="en-US" w:eastAsia="zh-CN"/>
        </w:rPr>
        <w:t>年初与15个镇街签订《化粪池安全管理运行责任书》，将安全责任层层分解落实。共抽查化粪池445座，发现7座存在安全隐患，及时下达整改通知书，责令其限期整改消除安全隐患，</w:t>
      </w:r>
      <w:r>
        <w:rPr>
          <w:rFonts w:hint="eastAsia" w:ascii="Times New Roman" w:hAnsi="Times New Roman" w:eastAsia="方正仿宋_GBK"/>
          <w:color w:val="auto"/>
          <w:sz w:val="32"/>
          <w:szCs w:val="32"/>
        </w:rPr>
        <w:t>完成了年初既定绩效目标，保证了</w:t>
      </w:r>
      <w:r>
        <w:rPr>
          <w:rFonts w:hint="eastAsia" w:ascii="Times New Roman" w:hAnsi="Times New Roman" w:eastAsia="方正仿宋_GBK"/>
          <w:color w:val="auto"/>
          <w:sz w:val="32"/>
          <w:szCs w:val="32"/>
          <w:lang w:val="en-US" w:eastAsia="zh-CN"/>
        </w:rPr>
        <w:t>高效</w:t>
      </w:r>
      <w:r>
        <w:rPr>
          <w:rFonts w:hint="eastAsia" w:ascii="Times New Roman" w:hAnsi="Times New Roman" w:eastAsia="方正仿宋_GBK"/>
          <w:color w:val="auto"/>
          <w:sz w:val="32"/>
          <w:szCs w:val="32"/>
        </w:rPr>
        <w:t>服务能力。根据评价标准，该指标得100%权重分。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9、城区清扫、清洗、保洁率分析</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我局</w:t>
      </w:r>
      <w:r>
        <w:rPr>
          <w:rFonts w:hint="eastAsia" w:ascii="Times New Roman" w:hAnsi="Times New Roman" w:eastAsia="方正仿宋_GBK" w:cs="方正仿宋_GBK"/>
          <w:color w:val="auto"/>
          <w:sz w:val="32"/>
          <w:szCs w:val="32"/>
          <w:lang w:val="en-US" w:eastAsia="zh-CN"/>
        </w:rPr>
        <w:t>合理调整了清扫清洗作业时间，清运、清洗车的作业时间和线路，提高了作业规范标准，提升作业效率的同时减轻了作业噪音及臭气对居民的影响。根据评价标准，该指标得100%权重分。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10、项目绩效管理率分析</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因我局</w:t>
      </w:r>
      <w:r>
        <w:rPr>
          <w:rFonts w:hint="eastAsia" w:ascii="Times New Roman" w:hAnsi="Times New Roman" w:eastAsia="方正仿宋_GBK"/>
          <w:color w:val="auto"/>
          <w:sz w:val="32"/>
          <w:szCs w:val="32"/>
          <w:lang w:val="en-US" w:eastAsia="zh-CN"/>
        </w:rPr>
        <w:t>加大对城市卫生进行建设，进一步提升了城市卫生管理水平。城市环境</w:t>
      </w:r>
      <w:r>
        <w:rPr>
          <w:rFonts w:hint="eastAsia" w:ascii="Times New Roman" w:hAnsi="Times New Roman" w:eastAsia="方正仿宋_GBK"/>
          <w:color w:val="auto"/>
          <w:sz w:val="32"/>
          <w:szCs w:val="32"/>
        </w:rPr>
        <w:t>得到了进一步完善，</w:t>
      </w:r>
      <w:r>
        <w:rPr>
          <w:rFonts w:hint="eastAsia" w:ascii="Times New Roman" w:hAnsi="Times New Roman" w:eastAsia="方正仿宋_GBK"/>
          <w:color w:val="auto"/>
          <w:sz w:val="32"/>
          <w:szCs w:val="32"/>
          <w:lang w:val="en-US" w:eastAsia="zh-CN"/>
        </w:rPr>
        <w:t>公民素质</w:t>
      </w:r>
      <w:r>
        <w:rPr>
          <w:rFonts w:hint="eastAsia" w:ascii="Times New Roman" w:hAnsi="Times New Roman" w:eastAsia="方正仿宋_GBK"/>
          <w:color w:val="auto"/>
          <w:sz w:val="32"/>
          <w:szCs w:val="32"/>
        </w:rPr>
        <w:t>有所提高，根据评价标准，该指标得100%权重分。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11、单位预决算编制及时率分析</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2021年我局</w:t>
      </w:r>
      <w:r>
        <w:rPr>
          <w:rFonts w:hint="eastAsia" w:ascii="Times New Roman" w:hAnsi="Times New Roman" w:eastAsia="方正仿宋_GBK"/>
          <w:color w:val="auto"/>
          <w:sz w:val="32"/>
          <w:szCs w:val="32"/>
          <w:lang w:val="en-US" w:eastAsia="zh-CN"/>
        </w:rPr>
        <w:t>科学实施部门决算管理，使得行政事业单位及时掌握单位资金运行情况。对问题及时纠正偏差，使得单位管理决策行之有效。</w:t>
      </w:r>
      <w:r>
        <w:rPr>
          <w:rFonts w:hint="eastAsia" w:ascii="Times New Roman" w:hAnsi="Times New Roman" w:eastAsia="方正仿宋_GBK"/>
          <w:color w:val="auto"/>
          <w:sz w:val="32"/>
          <w:szCs w:val="32"/>
        </w:rPr>
        <w:t>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12、服务对象满意度分析</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按照服务对</w:t>
      </w:r>
      <w:r>
        <w:rPr>
          <w:rFonts w:hint="eastAsia" w:ascii="Times New Roman" w:hAnsi="Times New Roman" w:eastAsia="方正仿宋_GBK"/>
          <w:color w:val="auto"/>
          <w:sz w:val="32"/>
          <w:szCs w:val="32"/>
          <w:lang w:val="en-US" w:eastAsia="zh-CN"/>
        </w:rPr>
        <w:t>象</w:t>
      </w:r>
      <w:r>
        <w:rPr>
          <w:rFonts w:hint="eastAsia" w:ascii="Times New Roman" w:hAnsi="Times New Roman" w:eastAsia="方正仿宋_GBK"/>
          <w:color w:val="auto"/>
          <w:sz w:val="32"/>
          <w:szCs w:val="32"/>
        </w:rPr>
        <w:t>的满意度进行综合分析，调查对象对调查人员的工作态度和调查内容满意，满意度为9</w:t>
      </w:r>
      <w:r>
        <w:rPr>
          <w:rFonts w:hint="eastAsia" w:ascii="Times New Roman" w:hAnsi="Times New Roman" w:eastAsia="方正仿宋_GBK"/>
          <w:color w:val="auto"/>
          <w:sz w:val="32"/>
          <w:szCs w:val="32"/>
          <w:lang w:val="en-US" w:eastAsia="zh-CN"/>
        </w:rPr>
        <w:t>5</w:t>
      </w:r>
      <w:r>
        <w:rPr>
          <w:rFonts w:hint="eastAsia" w:ascii="Times New Roman" w:hAnsi="Times New Roman" w:eastAsia="方正仿宋_GBK"/>
          <w:color w:val="auto"/>
          <w:sz w:val="32"/>
          <w:szCs w:val="32"/>
        </w:rPr>
        <w:t>%。根据评价标准，该指标得100%权重分。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四</w:t>
      </w:r>
      <w:r>
        <w:rPr>
          <w:rFonts w:ascii="Times New Roman" w:hAnsi="Times New Roman" w:eastAsia="方正黑体_GBK"/>
          <w:color w:val="auto"/>
          <w:sz w:val="32"/>
          <w:szCs w:val="32"/>
        </w:rPr>
        <w:t>、</w:t>
      </w:r>
      <w:r>
        <w:rPr>
          <w:rFonts w:hint="eastAsia" w:ascii="Times New Roman" w:hAnsi="Times New Roman" w:eastAsia="方正黑体_GBK"/>
          <w:color w:val="auto"/>
          <w:sz w:val="32"/>
          <w:szCs w:val="32"/>
        </w:rPr>
        <w:t>需重点关注的问题</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rPr>
        <w:t>1、</w:t>
      </w:r>
      <w:r>
        <w:rPr>
          <w:rFonts w:hint="eastAsia" w:ascii="Times New Roman" w:hAnsi="Times New Roman" w:eastAsia="方正仿宋_GBK"/>
          <w:color w:val="auto"/>
          <w:sz w:val="32"/>
          <w:szCs w:val="32"/>
          <w:lang w:val="en-US" w:eastAsia="zh-CN"/>
        </w:rPr>
        <w:t>项目执行进度较慢，预算执行率有待提高</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color w:val="auto"/>
          <w:lang w:val="en-US" w:eastAsia="zh-CN"/>
        </w:rPr>
      </w:pPr>
      <w:r>
        <w:rPr>
          <w:rFonts w:hint="eastAsia" w:ascii="Times New Roman" w:hAnsi="Times New Roman" w:eastAsia="方正仿宋_GBK"/>
          <w:color w:val="auto"/>
          <w:sz w:val="32"/>
          <w:szCs w:val="32"/>
        </w:rPr>
        <w:t>2022年度受疫情影响，</w:t>
      </w:r>
      <w:r>
        <w:rPr>
          <w:rFonts w:hint="eastAsia" w:ascii="Times New Roman" w:hAnsi="Times New Roman" w:eastAsia="方正仿宋_GBK"/>
          <w:color w:val="auto"/>
          <w:sz w:val="32"/>
          <w:szCs w:val="32"/>
          <w:lang w:val="en-US" w:eastAsia="zh-CN"/>
        </w:rPr>
        <w:t>项目执行进度较慢，其中</w:t>
      </w:r>
      <w:r>
        <w:rPr>
          <w:rFonts w:hint="eastAsia" w:ascii="Times New Roman" w:hAnsi="Times New Roman" w:eastAsia="方正仿宋_GBK"/>
          <w:color w:val="auto"/>
          <w:sz w:val="32"/>
          <w:szCs w:val="32"/>
        </w:rPr>
        <w:t>部分新建公厕建设滞后，影响了劳动者港湾配套增设进度</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项目预算执行率较低，支付进度有待提高。</w:t>
      </w:r>
    </w:p>
    <w:p>
      <w:pPr>
        <w:keepNext w:val="0"/>
        <w:keepLines w:val="0"/>
        <w:pageBreakBefore w:val="0"/>
        <w:kinsoku/>
        <w:wordWrap/>
        <w:overflowPunct/>
        <w:topLinePunct w:val="0"/>
        <w:autoSpaceDE/>
        <w:autoSpaceDN/>
        <w:bidi w:val="0"/>
        <w:spacing w:line="594" w:lineRule="exact"/>
        <w:ind w:firstLine="640" w:firstLineChars="200"/>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五、有关建议</w:t>
      </w:r>
    </w:p>
    <w:p>
      <w:pPr>
        <w:keepNext w:val="0"/>
        <w:keepLines w:val="0"/>
        <w:pageBreakBefore w:val="0"/>
        <w:kinsoku/>
        <w:wordWrap/>
        <w:overflowPunct/>
        <w:topLinePunct w:val="0"/>
        <w:autoSpaceDE/>
        <w:autoSpaceDN/>
        <w:bidi w:val="0"/>
        <w:spacing w:line="594" w:lineRule="exact"/>
        <w:ind w:firstLine="640" w:firstLineChars="200"/>
        <w:jc w:val="both"/>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1、考虑到疫情等不可控问题，在年初指标及目标设置时，结合已有数据，</w:t>
      </w:r>
      <w:r>
        <w:rPr>
          <w:rFonts w:hint="eastAsia" w:ascii="Times New Roman" w:hAnsi="Times New Roman" w:eastAsia="方正仿宋_GBK"/>
          <w:color w:val="auto"/>
          <w:sz w:val="32"/>
          <w:szCs w:val="32"/>
          <w:lang w:val="en-US" w:eastAsia="zh-CN"/>
        </w:rPr>
        <w:t>分析</w:t>
      </w:r>
      <w:r>
        <w:rPr>
          <w:rFonts w:hint="eastAsia" w:ascii="Times New Roman" w:hAnsi="Times New Roman" w:eastAsia="方正仿宋_GBK"/>
          <w:color w:val="auto"/>
          <w:sz w:val="32"/>
          <w:szCs w:val="32"/>
        </w:rPr>
        <w:t>合理性及可完成性，对时效指标进行多方面考量，提高目标设置严谨性，提高绩效管理效率及绩效</w:t>
      </w:r>
      <w:r>
        <w:rPr>
          <w:rFonts w:hint="eastAsia" w:ascii="Times New Roman" w:hAnsi="Times New Roman" w:eastAsia="方正仿宋_GBK"/>
          <w:color w:val="auto"/>
          <w:sz w:val="32"/>
          <w:szCs w:val="32"/>
          <w:lang w:val="en-US" w:eastAsia="zh-CN"/>
        </w:rPr>
        <w:t>管理</w:t>
      </w:r>
      <w:r>
        <w:rPr>
          <w:rFonts w:hint="eastAsia" w:ascii="Times New Roman" w:hAnsi="Times New Roman" w:eastAsia="方正仿宋_GBK"/>
          <w:color w:val="auto"/>
          <w:sz w:val="32"/>
          <w:szCs w:val="32"/>
        </w:rPr>
        <w:t>意识。</w:t>
      </w:r>
    </w:p>
    <w:p>
      <w:pPr>
        <w:keepNext w:val="0"/>
        <w:keepLines w:val="0"/>
        <w:pageBreakBefore w:val="0"/>
        <w:kinsoku/>
        <w:wordWrap/>
        <w:overflowPunct/>
        <w:topLinePunct w:val="0"/>
        <w:autoSpaceDE/>
        <w:autoSpaceDN/>
        <w:bidi w:val="0"/>
        <w:spacing w:line="594" w:lineRule="exact"/>
        <w:ind w:firstLine="640" w:firstLineChars="200"/>
        <w:jc w:val="both"/>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rPr>
        <w:t>提高预算编制水平、科学</w:t>
      </w:r>
      <w:r>
        <w:rPr>
          <w:rFonts w:hint="eastAsia" w:eastAsia="方正仿宋_GBK"/>
          <w:color w:val="auto"/>
          <w:sz w:val="32"/>
          <w:szCs w:val="32"/>
          <w:lang w:eastAsia="zh-CN"/>
        </w:rPr>
        <w:t>精准地编制</w:t>
      </w:r>
      <w:r>
        <w:rPr>
          <w:rFonts w:hint="eastAsia" w:ascii="Times New Roman" w:hAnsi="Times New Roman" w:eastAsia="方正仿宋_GBK"/>
          <w:color w:val="auto"/>
          <w:sz w:val="32"/>
          <w:szCs w:val="32"/>
        </w:rPr>
        <w:t>预算，对项目</w:t>
      </w:r>
      <w:r>
        <w:rPr>
          <w:rFonts w:hint="eastAsia" w:ascii="Times New Roman" w:hAnsi="Times New Roman" w:eastAsia="方正仿宋_GBK"/>
          <w:color w:val="auto"/>
          <w:sz w:val="32"/>
          <w:szCs w:val="32"/>
          <w:lang w:val="en-US" w:eastAsia="zh-CN"/>
        </w:rPr>
        <w:t>充分</w:t>
      </w:r>
      <w:r>
        <w:rPr>
          <w:rFonts w:hint="eastAsia" w:ascii="Times New Roman" w:hAnsi="Times New Roman" w:eastAsia="方正仿宋_GBK"/>
          <w:color w:val="auto"/>
          <w:sz w:val="32"/>
          <w:szCs w:val="32"/>
        </w:rPr>
        <w:t>可行性</w:t>
      </w:r>
      <w:r>
        <w:rPr>
          <w:rFonts w:hint="eastAsia" w:ascii="Times New Roman" w:hAnsi="Times New Roman" w:eastAsia="方正仿宋_GBK"/>
          <w:color w:val="auto"/>
          <w:sz w:val="32"/>
          <w:szCs w:val="32"/>
          <w:lang w:val="en-US" w:eastAsia="zh-CN"/>
        </w:rPr>
        <w:t>研究</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提前</w:t>
      </w:r>
      <w:r>
        <w:rPr>
          <w:rFonts w:hint="eastAsia" w:ascii="Times New Roman" w:hAnsi="Times New Roman" w:eastAsia="方正仿宋_GBK"/>
          <w:color w:val="auto"/>
          <w:sz w:val="32"/>
          <w:szCs w:val="32"/>
          <w:lang w:val="en-US" w:eastAsia="zh-CN"/>
        </w:rPr>
        <w:t>分配项目</w:t>
      </w:r>
      <w:r>
        <w:rPr>
          <w:rFonts w:hint="eastAsia" w:ascii="Times New Roman" w:hAnsi="Times New Roman" w:eastAsia="方正仿宋_GBK"/>
          <w:color w:val="auto"/>
          <w:sz w:val="32"/>
          <w:szCs w:val="32"/>
        </w:rPr>
        <w:t>资金使用方向，</w:t>
      </w:r>
      <w:r>
        <w:rPr>
          <w:rFonts w:hint="eastAsia" w:ascii="Times New Roman" w:hAnsi="Times New Roman" w:eastAsia="方正仿宋_GBK"/>
          <w:color w:val="auto"/>
          <w:sz w:val="32"/>
          <w:szCs w:val="32"/>
          <w:lang w:val="en-US" w:eastAsia="zh-CN"/>
        </w:rPr>
        <w:t>提高项目预算执行率</w:t>
      </w:r>
      <w:r>
        <w:rPr>
          <w:rFonts w:hint="eastAsia" w:ascii="Times New Roman" w:hAnsi="Times New Roman" w:eastAsia="方正仿宋_GBK"/>
          <w:color w:val="auto"/>
          <w:sz w:val="32"/>
          <w:szCs w:val="32"/>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YzExODQ3Y2QzYmY5ZGVhMWMxNDAyYzQ5ZjRmZWQ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24A131A"/>
    <w:rsid w:val="034F2928"/>
    <w:rsid w:val="0587480B"/>
    <w:rsid w:val="0B1B666A"/>
    <w:rsid w:val="0B7F5D75"/>
    <w:rsid w:val="0BDD7AB9"/>
    <w:rsid w:val="0C7B586A"/>
    <w:rsid w:val="0DCF4D92"/>
    <w:rsid w:val="0E7C0FF2"/>
    <w:rsid w:val="12B207DE"/>
    <w:rsid w:val="137B21E9"/>
    <w:rsid w:val="13FF5CA5"/>
    <w:rsid w:val="1E0068A1"/>
    <w:rsid w:val="1E3D7AF5"/>
    <w:rsid w:val="1FAF67D1"/>
    <w:rsid w:val="20A94437"/>
    <w:rsid w:val="215F5FD5"/>
    <w:rsid w:val="234A05BF"/>
    <w:rsid w:val="24B108F5"/>
    <w:rsid w:val="26461A97"/>
    <w:rsid w:val="292A4E7E"/>
    <w:rsid w:val="2A412594"/>
    <w:rsid w:val="2E9F05F7"/>
    <w:rsid w:val="2FC5732C"/>
    <w:rsid w:val="3126266B"/>
    <w:rsid w:val="378E2BD1"/>
    <w:rsid w:val="39F3137F"/>
    <w:rsid w:val="3A722B66"/>
    <w:rsid w:val="3B90371A"/>
    <w:rsid w:val="3C834E15"/>
    <w:rsid w:val="3C8B3CCA"/>
    <w:rsid w:val="3CAC611A"/>
    <w:rsid w:val="3D6D4756"/>
    <w:rsid w:val="4176358E"/>
    <w:rsid w:val="4A4934DE"/>
    <w:rsid w:val="4AA76173"/>
    <w:rsid w:val="4BE76E2A"/>
    <w:rsid w:val="4C96649F"/>
    <w:rsid w:val="4E6600F3"/>
    <w:rsid w:val="512234F8"/>
    <w:rsid w:val="532946DA"/>
    <w:rsid w:val="54D1246F"/>
    <w:rsid w:val="55101884"/>
    <w:rsid w:val="55596E28"/>
    <w:rsid w:val="5B931C6D"/>
    <w:rsid w:val="5BE046F4"/>
    <w:rsid w:val="646C0FFB"/>
    <w:rsid w:val="67A1421E"/>
    <w:rsid w:val="6ACD532A"/>
    <w:rsid w:val="6B702C80"/>
    <w:rsid w:val="70A9634E"/>
    <w:rsid w:val="714D5418"/>
    <w:rsid w:val="72F378F8"/>
    <w:rsid w:val="7501454E"/>
    <w:rsid w:val="77497796"/>
    <w:rsid w:val="7F7401B7"/>
    <w:rsid w:val="9FEB72EE"/>
    <w:rsid w:val="FAF35CD4"/>
    <w:rsid w:val="FBEA4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topLinePunct w:val="0"/>
      <w:adjustRightInd/>
      <w:spacing w:after="120" w:afterLines="0" w:afterAutospacing="0"/>
      <w:ind w:firstLine="0" w:firstLineChars="0"/>
    </w:pPr>
    <w:rPr>
      <w:rFonts w:ascii="Calibri" w:hAnsi="Calibri" w:cs="Times New Roman"/>
      <w:kern w:val="0"/>
    </w:rPr>
  </w:style>
  <w:style w:type="paragraph" w:styleId="5">
    <w:name w:val="annotation text"/>
    <w:basedOn w:val="1"/>
    <w:semiHidden/>
    <w:unhideWhenUsed/>
    <w:qFormat/>
    <w:uiPriority w:val="99"/>
    <w:pPr>
      <w:jc w:val="left"/>
    </w:p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Char"/>
    <w:basedOn w:val="9"/>
    <w:link w:val="7"/>
    <w:qFormat/>
    <w:uiPriority w:val="99"/>
    <w:rPr>
      <w:rFonts w:ascii="Times New Roman" w:hAnsi="Times New Roman" w:eastAsia="宋体" w:cs="Times New Roman"/>
      <w:sz w:val="18"/>
      <w:szCs w:val="18"/>
    </w:rPr>
  </w:style>
  <w:style w:type="character" w:customStyle="1" w:styleId="12">
    <w:name w:val="页脚 Char"/>
    <w:basedOn w:val="9"/>
    <w:link w:val="6"/>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2582</Words>
  <Characters>2798</Characters>
  <Lines>1</Lines>
  <Paragraphs>1</Paragraphs>
  <TotalTime>8</TotalTime>
  <ScaleCrop>false</ScaleCrop>
  <LinksUpToDate>false</LinksUpToDate>
  <CharactersWithSpaces>2800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2020-04-21T08:58:00Z</dcterms:created>
  <dc:creator>Administrator</dc:creator>
  <cp:lastModifiedBy>suma</cp:lastModifiedBy>
  <cp:lastPrinted>2020-04-21T08:58:00Z</cp:lastPrinted>
  <dcterms:modified xsi:type="dcterms:W3CDTF">2023-09-26T16:56:44Z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1870A5BDA8EA49A09357F41245F82555</vt:lpwstr>
  </property>
</Properties>
</file>