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84" w:leftChars="0" w:hanging="1484" w:hangingChars="464"/>
        <w:outlineLvl w:val="0"/>
        <w:rPr>
          <w:rFonts w:ascii="方正黑体_GBK" w:eastAsia="方正黑体_GBK"/>
          <w:sz w:val="32"/>
          <w:szCs w:val="32"/>
        </w:rPr>
      </w:pPr>
      <w:bookmarkStart w:id="0" w:name="_Toc97088507"/>
      <w:bookmarkStart w:id="1" w:name="_Toc93911978"/>
      <w:bookmarkStart w:id="2" w:name="_Toc185843168"/>
      <w:bookmarkStart w:id="3" w:name="_Toc97089005"/>
      <w:bookmarkStart w:id="4" w:name="_Toc144695216"/>
      <w:bookmarkStart w:id="5" w:name="_Toc98059045"/>
      <w:bookmarkStart w:id="6" w:name="_Toc97089698"/>
      <w:bookmarkStart w:id="7" w:name="_Toc97089759"/>
      <w:bookmarkStart w:id="8" w:name="_Toc98501381"/>
      <w:bookmarkStart w:id="9" w:name="_Toc100110876"/>
      <w:r>
        <w:rPr>
          <w:rFonts w:hint="eastAsia" w:ascii="方正黑体_GBK" w:eastAsia="方正黑体_GBK"/>
          <w:sz w:val="32"/>
          <w:szCs w:val="32"/>
        </w:rPr>
        <w:t>工程名称：中小企业家园（产业园区基础设施建设）一期项目精装修工程抗震支架工程</w:t>
      </w:r>
    </w:p>
    <w:p>
      <w:pPr>
        <w:tabs>
          <w:tab w:val="left" w:pos="7035"/>
        </w:tabs>
        <w:outlineLvl w:val="0"/>
        <w:rPr>
          <w:rFonts w:ascii="黑体" w:hAnsi="黑体" w:eastAsia="黑体" w:cs="宋体"/>
          <w:sz w:val="32"/>
          <w:szCs w:val="32"/>
        </w:rPr>
      </w:pPr>
      <w:r>
        <w:rPr>
          <w:rFonts w:hint="eastAsia" w:ascii="黑体" w:hAnsi="黑体" w:eastAsia="黑体"/>
          <w:sz w:val="32"/>
          <w:szCs w:val="32"/>
        </w:rPr>
        <w:t xml:space="preserve">合同编号： </w:t>
      </w:r>
      <w:r>
        <w:rPr>
          <w:rFonts w:ascii="黑体" w:hAnsi="黑体" w:eastAsia="黑体"/>
          <w:sz w:val="32"/>
          <w:szCs w:val="32"/>
        </w:rPr>
        <w:tab/>
      </w:r>
    </w:p>
    <w:p>
      <w:pPr>
        <w:rPr>
          <w:rFonts w:ascii="黑体" w:hAnsi="黑体" w:eastAsia="黑体"/>
          <w:b/>
          <w:sz w:val="28"/>
          <w:szCs w:val="28"/>
        </w:rPr>
      </w:pPr>
    </w:p>
    <w:p>
      <w:pPr>
        <w:rPr>
          <w:rFonts w:ascii="黑体" w:hAnsi="宋体" w:eastAsia="黑体" w:cs="Arial Unicode MS"/>
          <w:bCs/>
          <w:color w:val="000000"/>
          <w:sz w:val="32"/>
          <w:szCs w:val="32"/>
          <w:u w:color="000000"/>
        </w:rPr>
      </w:pPr>
    </w:p>
    <w:p>
      <w:pPr>
        <w:jc w:val="center"/>
        <w:outlineLvl w:val="1"/>
        <w:rPr>
          <w:rFonts w:ascii="黑体" w:hAnsi="宋体" w:eastAsia="方正黑体_GBK"/>
          <w:sz w:val="72"/>
          <w:szCs w:val="72"/>
        </w:rPr>
      </w:pPr>
      <w:r>
        <w:rPr>
          <w:rFonts w:hint="eastAsia" w:ascii="黑体" w:hAnsi="宋体" w:eastAsia="方正黑体_GBK"/>
          <w:sz w:val="72"/>
          <w:szCs w:val="72"/>
        </w:rPr>
        <w:t>施</w:t>
      </w:r>
    </w:p>
    <w:p>
      <w:pPr>
        <w:jc w:val="center"/>
        <w:rPr>
          <w:rFonts w:ascii="黑体" w:hAnsi="宋体" w:eastAsia="方正黑体_GBK"/>
          <w:sz w:val="72"/>
          <w:szCs w:val="72"/>
        </w:rPr>
      </w:pPr>
    </w:p>
    <w:p>
      <w:pPr>
        <w:jc w:val="center"/>
        <w:outlineLvl w:val="1"/>
        <w:rPr>
          <w:rFonts w:ascii="黑体" w:hAnsi="宋体" w:eastAsia="方正黑体_GBK"/>
          <w:sz w:val="72"/>
          <w:szCs w:val="72"/>
        </w:rPr>
      </w:pPr>
      <w:r>
        <w:rPr>
          <w:rFonts w:hint="eastAsia" w:ascii="黑体" w:hAnsi="宋体" w:eastAsia="方正黑体_GBK"/>
          <w:sz w:val="72"/>
          <w:szCs w:val="72"/>
        </w:rPr>
        <w:t>工</w:t>
      </w:r>
    </w:p>
    <w:p>
      <w:pPr>
        <w:jc w:val="center"/>
        <w:rPr>
          <w:rFonts w:ascii="黑体" w:hAnsi="宋体" w:eastAsia="方正黑体_GBK"/>
          <w:sz w:val="72"/>
          <w:szCs w:val="72"/>
        </w:rPr>
      </w:pPr>
    </w:p>
    <w:p>
      <w:pPr>
        <w:jc w:val="center"/>
        <w:outlineLvl w:val="1"/>
        <w:rPr>
          <w:rFonts w:ascii="黑体" w:hAnsi="宋体" w:eastAsia="方正黑体_GBK"/>
          <w:sz w:val="72"/>
          <w:szCs w:val="72"/>
        </w:rPr>
      </w:pPr>
      <w:r>
        <w:rPr>
          <w:rFonts w:hint="eastAsia" w:ascii="黑体" w:hAnsi="宋体" w:eastAsia="方正黑体_GBK"/>
          <w:sz w:val="72"/>
          <w:szCs w:val="72"/>
        </w:rPr>
        <w:t>合</w:t>
      </w:r>
    </w:p>
    <w:p>
      <w:pPr>
        <w:jc w:val="center"/>
        <w:rPr>
          <w:rFonts w:ascii="黑体" w:hAnsi="宋体" w:eastAsia="方正黑体_GBK"/>
          <w:sz w:val="72"/>
          <w:szCs w:val="72"/>
        </w:rPr>
      </w:pPr>
    </w:p>
    <w:p>
      <w:pPr>
        <w:jc w:val="center"/>
        <w:outlineLvl w:val="1"/>
        <w:rPr>
          <w:rFonts w:ascii="黑体" w:hAnsi="宋体" w:eastAsia="黑体"/>
          <w:b/>
          <w:sz w:val="72"/>
          <w:szCs w:val="72"/>
        </w:rPr>
      </w:pPr>
      <w:r>
        <w:rPr>
          <w:rFonts w:hint="eastAsia" w:ascii="黑体" w:hAnsi="宋体" w:eastAsia="方正黑体_GBK"/>
          <w:sz w:val="72"/>
          <w:szCs w:val="72"/>
        </w:rPr>
        <w:t>同</w:t>
      </w:r>
    </w:p>
    <w:p>
      <w:pPr>
        <w:jc w:val="center"/>
        <w:rPr>
          <w:rFonts w:ascii="仿宋_GB2312" w:hAnsi="宋体" w:eastAsia="仿宋_GB2312"/>
          <w:b/>
          <w:sz w:val="32"/>
          <w:szCs w:val="32"/>
        </w:rPr>
      </w:pPr>
    </w:p>
    <w:p>
      <w:pPr>
        <w:rPr>
          <w:rFonts w:ascii="仿宋_GB2312" w:hAnsi="宋体" w:eastAsia="仿宋_GB2312"/>
          <w:b/>
          <w:sz w:val="32"/>
          <w:szCs w:val="32"/>
        </w:rPr>
      </w:pPr>
    </w:p>
    <w:p>
      <w:pPr>
        <w:rPr>
          <w:rFonts w:ascii="黑体" w:hAnsi="黑体" w:eastAsia="黑体"/>
          <w:b/>
          <w:sz w:val="28"/>
          <w:szCs w:val="28"/>
        </w:rPr>
      </w:pPr>
    </w:p>
    <w:p>
      <w:pPr>
        <w:outlineLvl w:val="0"/>
        <w:rPr>
          <w:rFonts w:hint="eastAsia" w:ascii="宋体" w:hAnsi="宋体" w:eastAsia="方正黑体_GBK"/>
          <w:sz w:val="32"/>
          <w:szCs w:val="32"/>
          <w:lang w:eastAsia="zh-CN"/>
        </w:rPr>
      </w:pPr>
      <w:r>
        <w:rPr>
          <w:rFonts w:hint="eastAsia" w:ascii="宋体" w:hAnsi="宋体" w:eastAsia="方正黑体_GBK"/>
          <w:sz w:val="32"/>
          <w:szCs w:val="32"/>
        </w:rPr>
        <w:t>建设单位：</w:t>
      </w:r>
      <w:r>
        <w:rPr>
          <w:rFonts w:hint="eastAsia" w:ascii="宋体" w:hAnsi="宋体" w:eastAsia="方正黑体_GBK"/>
          <w:sz w:val="32"/>
          <w:szCs w:val="32"/>
          <w:lang w:eastAsia="zh-CN"/>
        </w:rPr>
        <w:t>重庆两山建设开发有限公司</w:t>
      </w:r>
    </w:p>
    <w:p>
      <w:pPr>
        <w:outlineLvl w:val="0"/>
        <w:rPr>
          <w:rFonts w:hint="eastAsia" w:ascii="宋体" w:hAnsi="宋体" w:eastAsia="方正黑体_GBK"/>
          <w:sz w:val="32"/>
          <w:szCs w:val="32"/>
          <w:lang w:eastAsia="zh-CN"/>
        </w:rPr>
      </w:pPr>
      <w:r>
        <w:rPr>
          <w:rFonts w:hint="eastAsia" w:ascii="宋体" w:hAnsi="宋体" w:eastAsia="方正黑体_GBK"/>
          <w:sz w:val="32"/>
          <w:szCs w:val="32"/>
        </w:rPr>
        <w:t>施工单位：</w:t>
      </w:r>
    </w:p>
    <w:p>
      <w:pPr>
        <w:ind w:firstLine="7392" w:firstLineChars="2640"/>
        <w:rPr>
          <w:rFonts w:ascii="黑体" w:hAnsi="黑体" w:eastAsia="方正黑体_GBK"/>
          <w:sz w:val="28"/>
          <w:szCs w:val="28"/>
        </w:rPr>
      </w:pPr>
    </w:p>
    <w:p>
      <w:pPr>
        <w:ind w:left="0" w:leftChars="0" w:firstLine="0" w:firstLineChars="0"/>
        <w:jc w:val="center"/>
        <w:outlineLvl w:val="0"/>
        <w:rPr>
          <w:rFonts w:ascii="黑体" w:hAnsi="黑体" w:eastAsia="方正黑体_GBK"/>
          <w:sz w:val="28"/>
          <w:szCs w:val="28"/>
        </w:rPr>
      </w:pPr>
      <w:r>
        <w:rPr>
          <w:rFonts w:hint="eastAsia" w:ascii="黑体" w:hAnsi="黑体" w:eastAsia="方正黑体_GBK"/>
          <w:sz w:val="28"/>
          <w:szCs w:val="28"/>
        </w:rPr>
        <w:t>二○二</w:t>
      </w:r>
      <w:r>
        <w:rPr>
          <w:rFonts w:hint="eastAsia" w:ascii="黑体" w:hAnsi="黑体" w:eastAsia="方正黑体_GBK"/>
          <w:sz w:val="28"/>
          <w:szCs w:val="28"/>
          <w:lang w:val="en-US" w:eastAsia="zh-CN"/>
        </w:rPr>
        <w:t>三</w:t>
      </w:r>
      <w:r>
        <w:rPr>
          <w:rFonts w:hint="eastAsia" w:ascii="黑体" w:hAnsi="黑体" w:eastAsia="方正黑体_GBK"/>
          <w:sz w:val="28"/>
          <w:szCs w:val="28"/>
        </w:rPr>
        <w:t>年</w:t>
      </w:r>
      <w:r>
        <w:rPr>
          <w:rFonts w:hint="eastAsia" w:ascii="黑体" w:hAnsi="黑体" w:eastAsia="方正黑体_GBK"/>
          <w:sz w:val="28"/>
          <w:szCs w:val="28"/>
          <w:lang w:val="en-US" w:eastAsia="zh-CN"/>
        </w:rPr>
        <w:t>五</w:t>
      </w:r>
      <w:r>
        <w:rPr>
          <w:rFonts w:hint="eastAsia" w:ascii="黑体" w:hAnsi="黑体" w:eastAsia="方正黑体_GBK"/>
          <w:sz w:val="28"/>
          <w:szCs w:val="28"/>
        </w:rPr>
        <w:t>月</w:t>
      </w:r>
    </w:p>
    <w:p>
      <w:pPr>
        <w:spacing w:line="540" w:lineRule="exact"/>
        <w:jc w:val="both"/>
        <w:rPr>
          <w:rFonts w:ascii="方正黑体_GBK" w:eastAsia="方正黑体_GBK"/>
          <w:sz w:val="32"/>
          <w:szCs w:val="32"/>
        </w:rPr>
        <w:sectPr>
          <w:headerReference r:id="rId4" w:type="first"/>
          <w:footerReference r:id="rId6" w:type="first"/>
          <w:headerReference r:id="rId3" w:type="default"/>
          <w:footerReference r:id="rId5" w:type="default"/>
          <w:pgSz w:w="11900" w:h="16840"/>
          <w:pgMar w:top="2098" w:right="1531" w:bottom="1985" w:left="1531" w:header="851" w:footer="992" w:gutter="0"/>
          <w:pgNumType w:fmt="decimal" w:start="1"/>
          <w:cols w:space="720" w:num="1"/>
          <w:titlePg/>
          <w:docGrid w:linePitch="312" w:charSpace="0"/>
        </w:sectPr>
      </w:pPr>
    </w:p>
    <w:p>
      <w:pPr>
        <w:spacing w:line="540" w:lineRule="exact"/>
        <w:jc w:val="center"/>
        <w:outlineLvl w:val="0"/>
        <w:rPr>
          <w:rFonts w:ascii="宋体" w:hAnsi="宋体" w:eastAsia="方正黑体_GBK" w:cs="方正仿宋_GBK"/>
          <w:sz w:val="28"/>
          <w:szCs w:val="28"/>
        </w:rPr>
      </w:pPr>
      <w:r>
        <w:rPr>
          <w:rFonts w:hint="eastAsia" w:ascii="方正黑体_GBK" w:eastAsia="方正黑体_GBK"/>
          <w:sz w:val="32"/>
          <w:szCs w:val="32"/>
          <w:lang w:eastAsia="zh-CN"/>
        </w:rPr>
        <w:t>中小企业家园（产业园区基础设施建设）一期项目精装修工程抗震支架工程</w:t>
      </w:r>
      <w:r>
        <w:rPr>
          <w:rFonts w:hint="eastAsia" w:ascii="宋体" w:hAnsi="宋体" w:eastAsia="方正黑体_GBK" w:cs="方正仿宋_GBK"/>
          <w:sz w:val="28"/>
          <w:szCs w:val="28"/>
        </w:rPr>
        <w:t>施工合同</w:t>
      </w:r>
    </w:p>
    <w:p>
      <w:pPr>
        <w:spacing w:line="540" w:lineRule="exact"/>
        <w:jc w:val="center"/>
        <w:rPr>
          <w:rFonts w:ascii="宋体" w:hAnsi="宋体" w:cs="方正仿宋_GBK"/>
          <w:b/>
          <w:sz w:val="28"/>
          <w:szCs w:val="28"/>
        </w:rPr>
      </w:pPr>
    </w:p>
    <w:p>
      <w:pPr>
        <w:spacing w:line="594" w:lineRule="exact"/>
        <w:rPr>
          <w:rFonts w:ascii="宋体" w:hAnsi="宋体" w:eastAsia="方正仿宋_GBK" w:cs="方正仿宋_GBK"/>
          <w:color w:val="000000"/>
          <w:sz w:val="30"/>
          <w:szCs w:val="30"/>
        </w:rPr>
      </w:pPr>
      <w:r>
        <w:rPr>
          <w:rFonts w:hint="eastAsia" w:ascii="宋体" w:hAnsi="宋体" w:eastAsia="方正仿宋_GBK" w:cs="方正仿宋_GBK"/>
          <w:color w:val="000000"/>
          <w:sz w:val="30"/>
          <w:szCs w:val="30"/>
        </w:rPr>
        <w:t>发包人：</w:t>
      </w:r>
      <w:r>
        <w:rPr>
          <w:rFonts w:hint="eastAsia" w:ascii="宋体" w:hAnsi="宋体" w:eastAsia="方正仿宋_GBK" w:cs="方正仿宋_GBK"/>
          <w:color w:val="000000"/>
          <w:sz w:val="30"/>
          <w:szCs w:val="30"/>
          <w:u w:val="single"/>
        </w:rPr>
        <w:t xml:space="preserve"> </w:t>
      </w:r>
      <w:r>
        <w:rPr>
          <w:rFonts w:hint="eastAsia" w:ascii="宋体" w:hAnsi="宋体" w:eastAsia="方正仿宋_GBK" w:cs="宋体"/>
          <w:sz w:val="30"/>
          <w:szCs w:val="30"/>
          <w:u w:val="single"/>
          <w:lang w:eastAsia="zh-CN"/>
        </w:rPr>
        <w:t>重庆两山建设开发有限公司</w:t>
      </w:r>
      <w:r>
        <w:rPr>
          <w:rFonts w:hint="eastAsia" w:ascii="宋体" w:hAnsi="宋体" w:eastAsia="方正仿宋_GBK" w:cs="宋体"/>
          <w:sz w:val="30"/>
          <w:szCs w:val="30"/>
          <w:u w:val="single"/>
        </w:rPr>
        <w:t xml:space="preserve"> </w:t>
      </w:r>
      <w:r>
        <w:rPr>
          <w:rFonts w:hint="eastAsia" w:ascii="宋体" w:hAnsi="宋体" w:eastAsia="方正仿宋_GBK" w:cs="方正仿宋_GBK"/>
          <w:color w:val="000000"/>
          <w:sz w:val="30"/>
          <w:szCs w:val="30"/>
        </w:rPr>
        <w:t>（以下简称发包人）</w:t>
      </w:r>
    </w:p>
    <w:p>
      <w:pPr>
        <w:spacing w:line="594" w:lineRule="exact"/>
        <w:ind w:left="7950" w:hanging="7950" w:hangingChars="2650"/>
        <w:rPr>
          <w:rFonts w:ascii="宋体" w:hAnsi="宋体" w:eastAsia="方正仿宋_GBK" w:cs="宋体"/>
          <w:b/>
          <w:kern w:val="0"/>
          <w:sz w:val="30"/>
          <w:szCs w:val="30"/>
        </w:rPr>
      </w:pPr>
      <w:r>
        <w:rPr>
          <w:rFonts w:hint="eastAsia" w:ascii="宋体" w:hAnsi="宋体" w:eastAsia="方正仿宋_GBK" w:cs="方正仿宋_GBK"/>
          <w:color w:val="000000"/>
          <w:sz w:val="30"/>
          <w:szCs w:val="30"/>
        </w:rPr>
        <w:t>承包人：</w:t>
      </w:r>
      <w:r>
        <w:rPr>
          <w:rFonts w:hint="eastAsia" w:ascii="宋体" w:hAnsi="宋体" w:eastAsia="方正仿宋_GBK" w:cs="方正仿宋_GBK"/>
          <w:color w:val="000000"/>
          <w:sz w:val="30"/>
          <w:szCs w:val="30"/>
          <w:u w:val="single"/>
        </w:rPr>
        <w:t xml:space="preserve"> </w:t>
      </w:r>
      <w:r>
        <w:rPr>
          <w:rFonts w:hint="eastAsia" w:ascii="宋体" w:hAnsi="宋体" w:eastAsia="方正仿宋_GBK" w:cs="方正仿宋_GBK"/>
          <w:color w:val="000000"/>
          <w:sz w:val="30"/>
          <w:szCs w:val="30"/>
          <w:u w:val="single"/>
          <w:lang w:val="en-US" w:eastAsia="zh-CN"/>
        </w:rPr>
        <w:t xml:space="preserve">   </w:t>
      </w:r>
      <w:r>
        <w:rPr>
          <w:rFonts w:hint="eastAsia" w:ascii="宋体" w:hAnsi="宋体" w:eastAsia="方正仿宋_GBK" w:cs="宋体"/>
          <w:sz w:val="28"/>
          <w:szCs w:val="28"/>
          <w:u w:val="single"/>
        </w:rPr>
        <w:t xml:space="preserve"> </w:t>
      </w:r>
      <w:r>
        <w:rPr>
          <w:rFonts w:hint="eastAsia" w:ascii="宋体" w:hAnsi="宋体" w:eastAsia="方正仿宋_GBK" w:cs="宋体"/>
          <w:sz w:val="30"/>
          <w:szCs w:val="30"/>
        </w:rPr>
        <w:t>（</w:t>
      </w:r>
      <w:r>
        <w:rPr>
          <w:rFonts w:hint="eastAsia" w:ascii="宋体" w:hAnsi="宋体" w:eastAsia="方正仿宋_GBK" w:cs="方正仿宋_GBK"/>
          <w:color w:val="000000"/>
          <w:sz w:val="30"/>
          <w:szCs w:val="30"/>
        </w:rPr>
        <w:t>以下简称承包人）</w:t>
      </w:r>
    </w:p>
    <w:p>
      <w:pPr>
        <w:spacing w:line="594" w:lineRule="exact"/>
        <w:ind w:firstLine="490"/>
        <w:rPr>
          <w:rFonts w:ascii="宋体" w:hAnsi="宋体" w:eastAsia="方正仿宋_GBK" w:cs="方正仿宋_GBK"/>
          <w:color w:val="000000"/>
          <w:sz w:val="30"/>
          <w:szCs w:val="30"/>
        </w:rPr>
      </w:pPr>
      <w:r>
        <w:rPr>
          <w:rFonts w:hint="eastAsia" w:ascii="宋体" w:hAnsi="宋体" w:eastAsia="方正仿宋_GBK" w:cs="方正仿宋_GBK"/>
          <w:color w:val="000000"/>
          <w:sz w:val="30"/>
          <w:szCs w:val="30"/>
        </w:rPr>
        <w:t>依照《中华人民共和国</w:t>
      </w:r>
      <w:r>
        <w:rPr>
          <w:rFonts w:hint="eastAsia" w:ascii="宋体" w:hAnsi="宋体" w:eastAsia="方正仿宋_GBK" w:cs="方正仿宋_GBK"/>
          <w:color w:val="000000"/>
          <w:sz w:val="30"/>
          <w:szCs w:val="30"/>
          <w:lang w:val="en-US" w:eastAsia="zh-CN"/>
        </w:rPr>
        <w:t>民法典</w:t>
      </w:r>
      <w:r>
        <w:rPr>
          <w:rFonts w:hint="eastAsia" w:ascii="宋体" w:hAnsi="宋体" w:eastAsia="方正仿宋_GBK" w:cs="方正仿宋_GBK"/>
          <w:color w:val="000000"/>
          <w:sz w:val="30"/>
          <w:szCs w:val="30"/>
        </w:rPr>
        <w:t>》、《中华人民共和国建筑法》及其他有关法律、行政法规，遵循平等、自愿、公平和诚实信用的原则，双方就本建设工程施工事项协商一致，订立本合同。</w:t>
      </w:r>
    </w:p>
    <w:p>
      <w:pPr>
        <w:spacing w:line="594" w:lineRule="exact"/>
        <w:ind w:firstLine="602" w:firstLineChars="200"/>
        <w:rPr>
          <w:rFonts w:hint="eastAsia" w:ascii="宋体" w:hAnsi="宋体" w:eastAsia="方正仿宋_GBK"/>
          <w:sz w:val="30"/>
          <w:szCs w:val="30"/>
          <w:lang w:eastAsia="zh-CN"/>
        </w:rPr>
      </w:pPr>
      <w:r>
        <w:rPr>
          <w:rFonts w:hint="eastAsia" w:ascii="宋体" w:hAnsi="宋体" w:eastAsia="方正仿宋_GBK" w:cs="方正仿宋_GBK"/>
          <w:b/>
          <w:kern w:val="0"/>
          <w:sz w:val="30"/>
          <w:szCs w:val="30"/>
        </w:rPr>
        <w:t>一、工程名称：</w:t>
      </w:r>
      <w:r>
        <w:rPr>
          <w:rFonts w:hint="eastAsia" w:ascii="宋体" w:hAnsi="宋体" w:eastAsia="方正仿宋_GBK"/>
          <w:sz w:val="30"/>
          <w:szCs w:val="30"/>
          <w:lang w:eastAsia="zh-CN"/>
        </w:rPr>
        <w:t>中小企业家园（产业园区基础设施建设）一期项目精装修工程抗震支架工程</w:t>
      </w:r>
    </w:p>
    <w:p>
      <w:pPr>
        <w:spacing w:line="594" w:lineRule="exact"/>
        <w:ind w:firstLine="602" w:firstLineChars="200"/>
        <w:rPr>
          <w:rFonts w:ascii="宋体" w:hAnsi="宋体" w:eastAsia="方正仿宋_GBK" w:cs="宋体"/>
          <w:sz w:val="30"/>
          <w:szCs w:val="30"/>
        </w:rPr>
      </w:pPr>
      <w:r>
        <w:rPr>
          <w:rFonts w:hint="eastAsia" w:eastAsia="方正仿宋_GBK"/>
          <w:b/>
          <w:sz w:val="30"/>
          <w:szCs w:val="30"/>
        </w:rPr>
        <w:t>二、工程建设地点</w:t>
      </w:r>
      <w:r>
        <w:rPr>
          <w:rFonts w:hint="eastAsia" w:eastAsia="方正仿宋_GBK"/>
          <w:sz w:val="30"/>
          <w:szCs w:val="30"/>
        </w:rPr>
        <w:t>：</w:t>
      </w:r>
      <w:r>
        <w:rPr>
          <w:rFonts w:hint="eastAsia" w:ascii="宋体" w:hAnsi="宋体" w:eastAsia="方正仿宋_GBK" w:cs="宋体"/>
          <w:sz w:val="30"/>
          <w:szCs w:val="30"/>
        </w:rPr>
        <w:t>璧山区青杠街道莲花村</w:t>
      </w:r>
    </w:p>
    <w:p>
      <w:pPr>
        <w:spacing w:line="594" w:lineRule="exact"/>
        <w:ind w:firstLine="602" w:firstLineChars="200"/>
        <w:rPr>
          <w:rFonts w:ascii="宋体" w:hAnsi="宋体" w:eastAsia="方正仿宋_GBK" w:cs="方正仿宋_GBK"/>
          <w:color w:val="000000"/>
          <w:sz w:val="30"/>
          <w:szCs w:val="30"/>
        </w:rPr>
      </w:pPr>
      <w:r>
        <w:rPr>
          <w:rFonts w:hint="eastAsia" w:ascii="宋体" w:hAnsi="宋体" w:eastAsia="方正仿宋_GBK"/>
          <w:b/>
          <w:sz w:val="30"/>
          <w:szCs w:val="30"/>
          <w:lang w:val="zh-TW"/>
        </w:rPr>
        <w:t>三、工程内容：</w:t>
      </w:r>
      <w:r>
        <w:rPr>
          <w:rFonts w:hint="eastAsia" w:ascii="宋体" w:hAnsi="宋体" w:eastAsia="方正仿宋_GBK"/>
          <w:sz w:val="30"/>
          <w:szCs w:val="30"/>
        </w:rPr>
        <w:t>中小企业家园（产业园区基础设施建设）一期项目精装修工程抗震支架工程施工建筑面积约16258.26m</w:t>
      </w:r>
      <w:r>
        <w:rPr>
          <w:rFonts w:hint="eastAsia" w:ascii="宋体" w:hAnsi="宋体" w:eastAsia="方正仿宋_GBK"/>
          <w:sz w:val="30"/>
          <w:szCs w:val="30"/>
          <w:vertAlign w:val="superscript"/>
        </w:rPr>
        <w:t>2</w:t>
      </w:r>
      <w:r>
        <w:rPr>
          <w:rFonts w:hint="eastAsia" w:ascii="宋体" w:hAnsi="宋体" w:eastAsia="方正仿宋_GBK"/>
          <w:sz w:val="30"/>
          <w:szCs w:val="30"/>
        </w:rPr>
        <w:t>，工程内容主要包括消防、暖通、电气、给排水、弱电智能化等专业的抗震支架采购及安装。</w:t>
      </w:r>
    </w:p>
    <w:p>
      <w:pPr>
        <w:spacing w:line="594" w:lineRule="exact"/>
        <w:ind w:firstLine="602" w:firstLineChars="200"/>
        <w:rPr>
          <w:rFonts w:ascii="宋体" w:hAnsi="宋体" w:eastAsia="方正仿宋_GBK"/>
          <w:sz w:val="30"/>
          <w:szCs w:val="30"/>
        </w:rPr>
      </w:pPr>
      <w:r>
        <w:rPr>
          <w:rFonts w:hint="eastAsia" w:ascii="宋体" w:hAnsi="宋体" w:eastAsia="方正仿宋_GBK"/>
          <w:b/>
          <w:sz w:val="30"/>
          <w:szCs w:val="30"/>
        </w:rPr>
        <w:t>四、工程承包范围及施工要求</w:t>
      </w:r>
    </w:p>
    <w:p>
      <w:pPr>
        <w:pStyle w:val="20"/>
        <w:spacing w:line="594" w:lineRule="exact"/>
        <w:ind w:firstLine="600" w:firstLineChars="200"/>
        <w:jc w:val="left"/>
        <w:outlineLvl w:val="0"/>
        <w:rPr>
          <w:rFonts w:ascii="宋体" w:hAnsi="宋体" w:eastAsia="方正仿宋_GBK" w:cs="方正仿宋_GBK"/>
          <w:sz w:val="30"/>
          <w:szCs w:val="30"/>
        </w:rPr>
      </w:pPr>
      <w:r>
        <w:rPr>
          <w:rFonts w:hint="eastAsia" w:ascii="宋体" w:hAnsi="宋体" w:eastAsia="方正仿宋_GBK" w:cs="方正仿宋_GBK"/>
          <w:sz w:val="30"/>
          <w:szCs w:val="30"/>
        </w:rPr>
        <w:t>（一）工程承包范围</w:t>
      </w:r>
    </w:p>
    <w:p>
      <w:pPr>
        <w:spacing w:line="594" w:lineRule="exact"/>
        <w:ind w:firstLine="600" w:firstLineChars="200"/>
        <w:rPr>
          <w:rFonts w:ascii="宋体" w:hAnsi="宋体" w:eastAsia="方正仿宋_GBK" w:cs="方正仿宋_GBK"/>
          <w:sz w:val="30"/>
          <w:szCs w:val="30"/>
        </w:rPr>
      </w:pPr>
      <w:r>
        <w:rPr>
          <w:rFonts w:hint="eastAsia" w:ascii="宋体" w:hAnsi="宋体" w:eastAsia="方正仿宋_GBK"/>
          <w:sz w:val="30"/>
          <w:szCs w:val="30"/>
          <w:lang w:eastAsia="zh-CN"/>
        </w:rPr>
        <w:t>包括《中小企业家园（产业园区基础设施建设）一期项目精装修工程2#楼施工图（内装通施）》、《中小企业家园（产业园区基础设施建设）一期项目精装修工程2#楼施工图（内装水施）》、《中小企业家园（产业园区基础设施建设）一期项目精装修工程2#楼施工图（电气抗震支架）》、《中小企业家园（产业园区基础设施建设）一期项目精装修工程2#楼施工图（智能化抗震支架）》中涉及抗震支架工程的全部内容</w:t>
      </w:r>
      <w:r>
        <w:rPr>
          <w:rFonts w:hint="eastAsia" w:ascii="宋体" w:hAnsi="宋体" w:eastAsia="方正仿宋_GBK" w:cs="方正仿宋_GBK"/>
          <w:sz w:val="30"/>
          <w:szCs w:val="30"/>
        </w:rPr>
        <w:t>。</w:t>
      </w:r>
    </w:p>
    <w:p>
      <w:pPr>
        <w:spacing w:line="594" w:lineRule="exact"/>
        <w:ind w:firstLine="600" w:firstLineChars="200"/>
        <w:outlineLvl w:val="0"/>
        <w:rPr>
          <w:rFonts w:ascii="宋体" w:hAnsi="宋体" w:eastAsia="方正仿宋_GBK" w:cs="方正仿宋_GBK"/>
          <w:color w:val="000000"/>
          <w:sz w:val="30"/>
          <w:szCs w:val="30"/>
        </w:rPr>
      </w:pPr>
      <w:r>
        <w:rPr>
          <w:rFonts w:hint="eastAsia" w:ascii="宋体" w:hAnsi="宋体" w:eastAsia="方正仿宋_GBK"/>
          <w:snapToGrid w:val="0"/>
          <w:kern w:val="0"/>
          <w:sz w:val="30"/>
          <w:szCs w:val="30"/>
          <w:lang w:val="zh-TW"/>
        </w:rPr>
        <w:t>（二）工程工期</w:t>
      </w:r>
    </w:p>
    <w:p>
      <w:pPr>
        <w:pStyle w:val="20"/>
        <w:spacing w:line="594" w:lineRule="exact"/>
        <w:ind w:firstLine="600" w:firstLineChars="200"/>
        <w:jc w:val="left"/>
        <w:rPr>
          <w:rFonts w:ascii="宋体" w:hAnsi="宋体" w:eastAsia="方正仿宋_GBK" w:cs="仿宋_GB2312"/>
          <w:snapToGrid w:val="0"/>
          <w:color w:val="auto"/>
          <w:kern w:val="0"/>
          <w:sz w:val="30"/>
          <w:szCs w:val="30"/>
          <w:lang w:val="zh-TW"/>
        </w:rPr>
      </w:pPr>
      <w:r>
        <w:rPr>
          <w:rFonts w:hint="eastAsia" w:ascii="宋体" w:hAnsi="宋体" w:eastAsia="方正仿宋_GBK" w:cs="仿宋_GB2312"/>
          <w:snapToGrid w:val="0"/>
          <w:color w:val="auto"/>
          <w:kern w:val="0"/>
          <w:sz w:val="30"/>
          <w:szCs w:val="30"/>
          <w:lang w:val="zh-TW"/>
        </w:rPr>
        <w:t>施工总工期为</w:t>
      </w:r>
      <w:r>
        <w:rPr>
          <w:rFonts w:hint="eastAsia" w:ascii="宋体" w:hAnsi="宋体" w:eastAsia="方正仿宋_GBK" w:cs="仿宋_GB2312"/>
          <w:snapToGrid w:val="0"/>
          <w:color w:val="auto"/>
          <w:kern w:val="0"/>
          <w:sz w:val="30"/>
          <w:szCs w:val="30"/>
          <w:u w:val="single"/>
          <w:lang w:val="en-US" w:eastAsia="zh-CN"/>
        </w:rPr>
        <w:t>3</w:t>
      </w:r>
      <w:r>
        <w:rPr>
          <w:rFonts w:hint="eastAsia" w:ascii="宋体" w:hAnsi="宋体" w:eastAsia="方正仿宋_GBK" w:cs="仿宋_GB2312"/>
          <w:snapToGrid w:val="0"/>
          <w:color w:val="auto"/>
          <w:kern w:val="0"/>
          <w:sz w:val="30"/>
          <w:szCs w:val="30"/>
          <w:u w:val="single"/>
          <w:lang w:val="zh-TW"/>
        </w:rPr>
        <w:t>0</w:t>
      </w:r>
      <w:r>
        <w:rPr>
          <w:rFonts w:hint="eastAsia" w:ascii="宋体" w:hAnsi="宋体" w:eastAsia="方正仿宋_GBK" w:cs="仿宋_GB2312"/>
          <w:snapToGrid w:val="0"/>
          <w:color w:val="auto"/>
          <w:kern w:val="0"/>
          <w:sz w:val="30"/>
          <w:szCs w:val="30"/>
          <w:lang w:val="zh-TW"/>
        </w:rPr>
        <w:t>日历天，开工时间以总监理工程师下达的开工令为准。</w:t>
      </w:r>
    </w:p>
    <w:p>
      <w:pPr>
        <w:pStyle w:val="20"/>
        <w:spacing w:line="594" w:lineRule="exact"/>
        <w:ind w:firstLine="300" w:firstLineChars="100"/>
        <w:jc w:val="left"/>
        <w:outlineLvl w:val="0"/>
        <w:rPr>
          <w:rFonts w:ascii="宋体" w:hAnsi="宋体" w:eastAsia="方正仿宋_GBK" w:cs="仿宋_GB2312"/>
          <w:snapToGrid w:val="0"/>
          <w:color w:val="auto"/>
          <w:kern w:val="0"/>
          <w:sz w:val="30"/>
          <w:szCs w:val="30"/>
          <w:lang w:val="zh-TW"/>
        </w:rPr>
      </w:pPr>
      <w:r>
        <w:rPr>
          <w:rFonts w:hint="eastAsia" w:ascii="宋体" w:hAnsi="宋体" w:eastAsia="方正仿宋_GBK" w:cs="仿宋_GB2312"/>
          <w:snapToGrid w:val="0"/>
          <w:color w:val="auto"/>
          <w:kern w:val="0"/>
          <w:sz w:val="30"/>
          <w:szCs w:val="30"/>
          <w:lang w:val="zh-TW"/>
        </w:rPr>
        <w:t>（三）工程质量</w:t>
      </w:r>
    </w:p>
    <w:p>
      <w:pPr>
        <w:pStyle w:val="8"/>
        <w:spacing w:line="594" w:lineRule="exact"/>
        <w:ind w:firstLine="450" w:firstLineChars="150"/>
        <w:rPr>
          <w:rFonts w:hAnsi="宋体" w:eastAsia="方正仿宋_GBK"/>
          <w:sz w:val="30"/>
          <w:szCs w:val="30"/>
        </w:rPr>
      </w:pPr>
      <w:r>
        <w:rPr>
          <w:rFonts w:hint="eastAsia" w:hAnsi="宋体" w:eastAsia="方正仿宋_GBK"/>
          <w:sz w:val="30"/>
          <w:szCs w:val="30"/>
        </w:rPr>
        <w:t>工程质量符合强制性质量标准，符合国家和重庆市现行有关施工质量验收规范要求，并达到合格标准。</w:t>
      </w:r>
    </w:p>
    <w:p>
      <w:pPr>
        <w:pStyle w:val="20"/>
        <w:spacing w:line="594" w:lineRule="exact"/>
        <w:ind w:firstLine="300" w:firstLineChars="100"/>
        <w:jc w:val="left"/>
        <w:outlineLvl w:val="0"/>
        <w:rPr>
          <w:rFonts w:ascii="宋体" w:hAnsi="宋体" w:eastAsia="方正仿宋_GBK" w:cs="方正仿宋_GBK"/>
          <w:sz w:val="30"/>
          <w:szCs w:val="30"/>
        </w:rPr>
      </w:pPr>
      <w:r>
        <w:rPr>
          <w:rFonts w:hint="eastAsia" w:ascii="宋体" w:hAnsi="宋体" w:eastAsia="方正仿宋_GBK" w:cs="仿宋_GB2312"/>
          <w:snapToGrid w:val="0"/>
          <w:color w:val="auto"/>
          <w:kern w:val="0"/>
          <w:sz w:val="30"/>
          <w:szCs w:val="30"/>
          <w:lang w:val="zh-TW"/>
        </w:rPr>
        <w:t>（四）工程</w:t>
      </w:r>
      <w:r>
        <w:rPr>
          <w:rFonts w:hint="eastAsia" w:ascii="宋体" w:hAnsi="宋体" w:eastAsia="方正仿宋_GBK" w:cs="方正仿宋_GBK"/>
          <w:sz w:val="30"/>
          <w:szCs w:val="30"/>
        </w:rPr>
        <w:t>履约保证金</w:t>
      </w:r>
    </w:p>
    <w:p>
      <w:pPr>
        <w:pStyle w:val="20"/>
        <w:spacing w:line="594" w:lineRule="exact"/>
        <w:ind w:firstLine="600" w:firstLineChars="200"/>
        <w:jc w:val="left"/>
        <w:rPr>
          <w:rFonts w:ascii="宋体" w:hAnsi="宋体" w:eastAsia="方正仿宋_GBK" w:cs="仿宋_GB2312"/>
          <w:snapToGrid w:val="0"/>
          <w:color w:val="auto"/>
          <w:kern w:val="0"/>
          <w:sz w:val="30"/>
          <w:szCs w:val="30"/>
          <w:lang w:val="zh-TW"/>
        </w:rPr>
      </w:pPr>
      <w:r>
        <w:rPr>
          <w:rFonts w:hint="eastAsia" w:ascii="宋体" w:hAnsi="宋体" w:eastAsia="方正仿宋_GBK" w:cs="仿宋_GB2312"/>
          <w:snapToGrid w:val="0"/>
          <w:color w:val="auto"/>
          <w:kern w:val="0"/>
          <w:sz w:val="30"/>
          <w:szCs w:val="30"/>
          <w:lang w:val="zh-TW"/>
        </w:rPr>
        <w:t>本工程履约保证金为</w:t>
      </w:r>
      <w:r>
        <w:rPr>
          <w:rFonts w:hint="eastAsia" w:ascii="宋体" w:hAnsi="宋体" w:eastAsia="方正仿宋_GBK" w:cs="仿宋_GB2312"/>
          <w:snapToGrid w:val="0"/>
          <w:color w:val="auto"/>
          <w:kern w:val="0"/>
          <w:sz w:val="30"/>
          <w:szCs w:val="30"/>
          <w:u w:val="single"/>
          <w:lang w:val="en-US" w:eastAsia="zh-CN"/>
        </w:rPr>
        <w:t>33120</w:t>
      </w:r>
      <w:r>
        <w:rPr>
          <w:rFonts w:hint="eastAsia" w:ascii="宋体" w:hAnsi="宋体" w:eastAsia="方正仿宋_GBK" w:cs="仿宋_GB2312"/>
          <w:snapToGrid w:val="0"/>
          <w:color w:val="auto"/>
          <w:kern w:val="0"/>
          <w:sz w:val="30"/>
          <w:szCs w:val="30"/>
          <w:u w:val="single"/>
          <w:lang w:val="zh-TW"/>
        </w:rPr>
        <w:t>元</w:t>
      </w:r>
      <w:r>
        <w:rPr>
          <w:rFonts w:hint="eastAsia" w:ascii="宋体" w:hAnsi="宋体" w:eastAsia="方正仿宋_GBK" w:cs="仿宋_GB2312"/>
          <w:snapToGrid w:val="0"/>
          <w:color w:val="auto"/>
          <w:kern w:val="0"/>
          <w:sz w:val="30"/>
          <w:szCs w:val="30"/>
          <w:lang w:val="zh-TW"/>
        </w:rPr>
        <w:t>（大写人民币</w:t>
      </w:r>
      <w:r>
        <w:rPr>
          <w:rFonts w:hint="eastAsia" w:ascii="宋体" w:hAnsi="宋体" w:eastAsia="方正仿宋_GBK" w:cs="仿宋_GB2312"/>
          <w:snapToGrid w:val="0"/>
          <w:color w:val="auto"/>
          <w:kern w:val="0"/>
          <w:sz w:val="30"/>
          <w:szCs w:val="30"/>
          <w:lang w:val="en-US" w:eastAsia="zh-CN"/>
        </w:rPr>
        <w:t>叁万叁仟壹佰贰拾</w:t>
      </w:r>
      <w:r>
        <w:rPr>
          <w:rFonts w:hint="eastAsia" w:ascii="宋体" w:hAnsi="宋体" w:eastAsia="方正仿宋_GBK" w:cs="仿宋_GB2312"/>
          <w:snapToGrid w:val="0"/>
          <w:color w:val="auto"/>
          <w:kern w:val="0"/>
          <w:sz w:val="30"/>
          <w:szCs w:val="30"/>
          <w:lang w:val="zh-TW"/>
        </w:rPr>
        <w:t>元整），工程竣工验收合格后一次性退还（不计息）。</w:t>
      </w:r>
    </w:p>
    <w:p>
      <w:pPr>
        <w:pStyle w:val="20"/>
        <w:spacing w:line="594" w:lineRule="exact"/>
        <w:ind w:firstLine="300" w:firstLineChars="100"/>
        <w:jc w:val="left"/>
        <w:outlineLvl w:val="0"/>
        <w:rPr>
          <w:rFonts w:ascii="宋体" w:hAnsi="宋体" w:eastAsia="方正仿宋_GBK" w:cs="仿宋_GB2312"/>
          <w:snapToGrid w:val="0"/>
          <w:color w:val="auto"/>
          <w:kern w:val="0"/>
          <w:sz w:val="30"/>
          <w:szCs w:val="30"/>
          <w:lang w:val="zh-TW"/>
        </w:rPr>
      </w:pPr>
      <w:r>
        <w:rPr>
          <w:rFonts w:hint="eastAsia" w:ascii="宋体" w:hAnsi="宋体" w:eastAsia="方正仿宋_GBK" w:cs="仿宋_GB2312"/>
          <w:snapToGrid w:val="0"/>
          <w:color w:val="auto"/>
          <w:kern w:val="0"/>
          <w:sz w:val="30"/>
          <w:szCs w:val="30"/>
          <w:lang w:val="zh-TW"/>
        </w:rPr>
        <w:t>（五）施工要求</w:t>
      </w:r>
    </w:p>
    <w:p>
      <w:pPr>
        <w:widowControl/>
        <w:shd w:val="clear" w:color="auto" w:fill="FFFFFF"/>
        <w:spacing w:line="594" w:lineRule="exact"/>
        <w:ind w:firstLine="480"/>
        <w:jc w:val="left"/>
        <w:rPr>
          <w:rFonts w:ascii="宋体" w:hAnsi="宋体" w:eastAsia="方正仿宋_GBK" w:cs="宋体"/>
          <w:color w:val="000000"/>
          <w:kern w:val="0"/>
          <w:sz w:val="30"/>
          <w:szCs w:val="30"/>
          <w:shd w:val="clear" w:color="auto" w:fill="FFFFFF"/>
        </w:rPr>
      </w:pPr>
      <w:r>
        <w:rPr>
          <w:rFonts w:hint="eastAsia" w:ascii="宋体" w:hAnsi="宋体" w:eastAsia="方正仿宋_GBK" w:cs="方正仿宋_GBK"/>
          <w:sz w:val="30"/>
          <w:szCs w:val="30"/>
        </w:rPr>
        <w:t>严格按图纸内容及相关规范要求施工，并按璧山府办发〔20</w:t>
      </w:r>
      <w:r>
        <w:rPr>
          <w:rFonts w:hint="eastAsia" w:ascii="宋体" w:hAnsi="宋体" w:eastAsia="方正仿宋_GBK" w:cs="方正仿宋_GBK"/>
          <w:sz w:val="30"/>
          <w:szCs w:val="30"/>
          <w:lang w:val="en-US" w:eastAsia="zh-CN"/>
        </w:rPr>
        <w:t>18</w:t>
      </w:r>
      <w:r>
        <w:rPr>
          <w:rFonts w:hint="eastAsia" w:ascii="宋体" w:hAnsi="宋体" w:eastAsia="方正仿宋_GBK" w:cs="方正仿宋_GBK"/>
          <w:sz w:val="30"/>
          <w:szCs w:val="30"/>
        </w:rPr>
        <w:t>〕53号等相关文件要求做好扬尘控制工作。</w:t>
      </w:r>
    </w:p>
    <w:p>
      <w:pPr>
        <w:pStyle w:val="20"/>
        <w:spacing w:line="594" w:lineRule="exact"/>
        <w:ind w:firstLine="300" w:firstLineChars="100"/>
        <w:jc w:val="left"/>
        <w:outlineLvl w:val="0"/>
        <w:rPr>
          <w:rFonts w:ascii="宋体" w:hAnsi="宋体" w:eastAsia="方正仿宋_GBK" w:cs="仿宋_GB2312"/>
          <w:snapToGrid w:val="0"/>
          <w:color w:val="auto"/>
          <w:kern w:val="0"/>
          <w:sz w:val="30"/>
          <w:szCs w:val="30"/>
          <w:lang w:val="zh-TW"/>
        </w:rPr>
      </w:pPr>
      <w:r>
        <w:rPr>
          <w:rFonts w:hint="eastAsia" w:ascii="宋体" w:hAnsi="宋体" w:eastAsia="方正仿宋_GBK" w:cs="仿宋_GB2312"/>
          <w:snapToGrid w:val="0"/>
          <w:color w:val="auto"/>
          <w:kern w:val="0"/>
          <w:sz w:val="30"/>
          <w:szCs w:val="30"/>
          <w:lang w:val="zh-TW"/>
        </w:rPr>
        <w:t>（六）其他</w:t>
      </w:r>
    </w:p>
    <w:p>
      <w:pPr>
        <w:pStyle w:val="20"/>
        <w:spacing w:line="594" w:lineRule="exact"/>
        <w:ind w:firstLine="600" w:firstLineChars="200"/>
        <w:jc w:val="left"/>
        <w:rPr>
          <w:rFonts w:ascii="宋体" w:hAnsi="宋体" w:eastAsia="方正仿宋_GBK" w:cs="方正仿宋_GBK"/>
          <w:sz w:val="30"/>
          <w:szCs w:val="30"/>
        </w:rPr>
      </w:pPr>
      <w:r>
        <w:rPr>
          <w:rFonts w:hint="eastAsia" w:ascii="宋体" w:hAnsi="宋体" w:eastAsia="方正仿宋_GBK" w:cs="方正仿宋_GBK"/>
          <w:sz w:val="30"/>
          <w:szCs w:val="30"/>
        </w:rPr>
        <w:t>1、</w:t>
      </w:r>
      <w:r>
        <w:rPr>
          <w:rFonts w:hint="eastAsia" w:ascii="宋体" w:hAnsi="宋体" w:eastAsia="方正仿宋_GBK" w:cs="仿宋_GB2312"/>
          <w:snapToGrid w:val="0"/>
          <w:color w:val="auto"/>
          <w:kern w:val="0"/>
          <w:sz w:val="30"/>
          <w:szCs w:val="30"/>
          <w:lang w:val="zh-TW"/>
        </w:rPr>
        <w:t>场地设置</w:t>
      </w:r>
      <w:r>
        <w:rPr>
          <w:rFonts w:hint="eastAsia" w:ascii="宋体" w:hAnsi="宋体" w:eastAsia="方正仿宋_GBK" w:cs="方正仿宋_GBK"/>
          <w:sz w:val="30"/>
          <w:szCs w:val="30"/>
        </w:rPr>
        <w:t>、料场设置和弃土堆放等由承包人选址，发包人可协调有关工作，租金、恢复费等费用由承包人自行承担。</w:t>
      </w:r>
    </w:p>
    <w:p>
      <w:pPr>
        <w:numPr>
          <w:ilvl w:val="0"/>
          <w:numId w:val="1"/>
        </w:numPr>
        <w:spacing w:line="594" w:lineRule="exact"/>
        <w:ind w:firstLine="600" w:firstLineChars="200"/>
        <w:rPr>
          <w:rFonts w:ascii="宋体" w:hAnsi="宋体" w:eastAsia="方正仿宋_GBK" w:cs="方正仿宋_GBK"/>
          <w:sz w:val="30"/>
          <w:szCs w:val="30"/>
        </w:rPr>
      </w:pPr>
      <w:r>
        <w:rPr>
          <w:rFonts w:hint="eastAsia" w:ascii="宋体" w:hAnsi="宋体" w:eastAsia="方正仿宋_GBK" w:cs="方正仿宋_GBK"/>
          <w:sz w:val="30"/>
          <w:szCs w:val="30"/>
        </w:rPr>
        <w:t>施工用水、用电由承包人自费解决，发包人可协助协调。</w:t>
      </w:r>
    </w:p>
    <w:p>
      <w:pPr>
        <w:numPr>
          <w:ilvl w:val="0"/>
          <w:numId w:val="1"/>
        </w:numPr>
        <w:spacing w:line="594" w:lineRule="exact"/>
        <w:ind w:firstLine="600" w:firstLineChars="200"/>
        <w:rPr>
          <w:rFonts w:ascii="宋体" w:hAnsi="宋体" w:eastAsia="方正仿宋_GBK" w:cs="方正仿宋_GBK"/>
          <w:sz w:val="30"/>
          <w:szCs w:val="30"/>
        </w:rPr>
      </w:pPr>
      <w:r>
        <w:rPr>
          <w:rFonts w:hint="eastAsia" w:ascii="宋体" w:hAnsi="宋体" w:eastAsia="方正仿宋_GBK" w:cs="方正仿宋_GBK"/>
          <w:sz w:val="30"/>
          <w:szCs w:val="30"/>
        </w:rPr>
        <w:t>在施工过程中，发包人的现场代表实施全程监管，工程质量达不到规定标准的部分，承包人应按发包人的要求重新施工，直到符合规定标准。因承包人原因达不到规定标准，由承包人整改至合格为准，整改费用由承包人承担，工期不予顺延。</w:t>
      </w:r>
    </w:p>
    <w:p>
      <w:pPr>
        <w:spacing w:line="594" w:lineRule="exact"/>
        <w:ind w:firstLine="600" w:firstLineChars="200"/>
        <w:rPr>
          <w:rFonts w:ascii="宋体" w:hAnsi="宋体" w:eastAsia="方正仿宋_GBK" w:cs="方正仿宋_GBK"/>
          <w:sz w:val="30"/>
          <w:szCs w:val="30"/>
        </w:rPr>
      </w:pPr>
      <w:r>
        <w:rPr>
          <w:rFonts w:hint="eastAsia" w:ascii="宋体" w:hAnsi="宋体" w:eastAsia="方正仿宋_GBK" w:cs="方正仿宋_GBK"/>
          <w:sz w:val="30"/>
          <w:szCs w:val="30"/>
        </w:rPr>
        <w:t>合同签订前按</w:t>
      </w:r>
      <w:r>
        <w:rPr>
          <w:rFonts w:hint="eastAsia" w:ascii="宋体" w:hAnsi="宋体" w:eastAsia="方正仿宋_GBK" w:cs="方正仿宋_GBK"/>
          <w:sz w:val="30"/>
          <w:szCs w:val="30"/>
          <w:lang w:val="en-US" w:eastAsia="zh-CN"/>
        </w:rPr>
        <w:t>相关</w:t>
      </w:r>
      <w:r>
        <w:rPr>
          <w:rFonts w:hint="eastAsia" w:ascii="宋体" w:hAnsi="宋体" w:eastAsia="方正仿宋_GBK" w:cs="方正仿宋_GBK"/>
          <w:sz w:val="30"/>
          <w:szCs w:val="30"/>
        </w:rPr>
        <w:t>规定在璧山</w:t>
      </w:r>
      <w:r>
        <w:rPr>
          <w:rFonts w:hint="eastAsia" w:ascii="宋体" w:hAnsi="宋体" w:eastAsia="方正仿宋_GBK" w:cs="方正仿宋_GBK"/>
          <w:sz w:val="30"/>
          <w:szCs w:val="30"/>
          <w:lang w:val="en-US" w:eastAsia="zh-CN"/>
        </w:rPr>
        <w:t>区</w:t>
      </w:r>
      <w:r>
        <w:rPr>
          <w:rFonts w:hint="eastAsia" w:ascii="宋体" w:hAnsi="宋体" w:eastAsia="方正仿宋_GBK" w:cs="方正仿宋_GBK"/>
          <w:sz w:val="30"/>
          <w:szCs w:val="30"/>
        </w:rPr>
        <w:t>办理农民工工资专户，缴纳农民工工资保证金，具体参照渝人社发〔2022〕5号</w:t>
      </w:r>
      <w:r>
        <w:rPr>
          <w:rFonts w:hint="eastAsia" w:ascii="宋体" w:hAnsi="宋体" w:eastAsia="方正仿宋_GBK" w:cs="方正仿宋_GBK"/>
          <w:sz w:val="30"/>
          <w:szCs w:val="30"/>
          <w:lang w:eastAsia="zh-CN"/>
        </w:rPr>
        <w:t>、</w:t>
      </w:r>
      <w:r>
        <w:rPr>
          <w:rFonts w:hint="eastAsia" w:ascii="宋体" w:hAnsi="宋体" w:eastAsia="方正仿宋_GBK" w:cs="方正仿宋_GBK"/>
          <w:sz w:val="30"/>
          <w:szCs w:val="30"/>
        </w:rPr>
        <w:t xml:space="preserve">璧人社发〔2022〕189号文件的相关要求办理。 </w:t>
      </w:r>
    </w:p>
    <w:p>
      <w:pPr>
        <w:spacing w:line="594" w:lineRule="exact"/>
        <w:ind w:firstLine="602" w:firstLineChars="200"/>
        <w:rPr>
          <w:rFonts w:eastAsia="方正仿宋_GBK" w:cs="方正仿宋_GBK"/>
          <w:sz w:val="30"/>
          <w:szCs w:val="30"/>
        </w:rPr>
      </w:pPr>
      <w:r>
        <w:rPr>
          <w:rFonts w:hint="eastAsia" w:eastAsia="方正仿宋_GBK" w:cs="方正仿宋_GBK"/>
          <w:b/>
          <w:color w:val="000000"/>
          <w:sz w:val="30"/>
          <w:szCs w:val="30"/>
        </w:rPr>
        <w:t>五、</w:t>
      </w:r>
      <w:r>
        <w:rPr>
          <w:rFonts w:hint="eastAsia" w:eastAsia="方正仿宋_GBK" w:cs="方正仿宋_GBK"/>
          <w:b/>
          <w:bCs/>
          <w:sz w:val="30"/>
          <w:szCs w:val="30"/>
        </w:rPr>
        <w:t>施工安全</w:t>
      </w:r>
    </w:p>
    <w:p>
      <w:pPr>
        <w:spacing w:line="594" w:lineRule="exact"/>
        <w:ind w:firstLine="600" w:firstLineChars="200"/>
        <w:rPr>
          <w:rFonts w:eastAsia="方正仿宋_GBK" w:cs="方正仿宋_GBK"/>
          <w:sz w:val="30"/>
          <w:szCs w:val="30"/>
        </w:rPr>
      </w:pPr>
      <w:r>
        <w:rPr>
          <w:rFonts w:hint="eastAsia" w:eastAsia="方正仿宋_GBK" w:cs="方正仿宋_GBK"/>
          <w:sz w:val="30"/>
          <w:szCs w:val="30"/>
        </w:rPr>
        <w:t>1、承包人按照国家及地方有关规定，自行采取切实可行的安全措施和设立相关安全警示标志，搞好安全生产的宣传工作。</w:t>
      </w:r>
    </w:p>
    <w:p>
      <w:pPr>
        <w:spacing w:line="594" w:lineRule="exact"/>
        <w:ind w:firstLine="600" w:firstLineChars="200"/>
        <w:rPr>
          <w:rFonts w:eastAsia="方正仿宋_GBK" w:cs="方正仿宋_GBK"/>
          <w:sz w:val="30"/>
          <w:szCs w:val="30"/>
        </w:rPr>
      </w:pPr>
      <w:r>
        <w:rPr>
          <w:rFonts w:hint="eastAsia" w:eastAsia="方正仿宋_GBK" w:cs="方正仿宋_GBK"/>
          <w:sz w:val="30"/>
          <w:szCs w:val="30"/>
        </w:rPr>
        <w:t>2、承包人应严格按安全操作规程作业，在施工期间造成的伤、残、亡等事故其经济责任和法律责任概由承包人自行承担。</w:t>
      </w:r>
    </w:p>
    <w:p>
      <w:pPr>
        <w:spacing w:line="594" w:lineRule="exact"/>
        <w:ind w:firstLine="600" w:firstLineChars="200"/>
        <w:rPr>
          <w:rFonts w:ascii="宋体" w:hAnsi="宋体" w:eastAsia="方正仿宋_GBK" w:cs="方正仿宋_GBK"/>
          <w:sz w:val="30"/>
          <w:szCs w:val="30"/>
        </w:rPr>
      </w:pPr>
      <w:r>
        <w:rPr>
          <w:rFonts w:hint="eastAsia" w:ascii="宋体" w:hAnsi="宋体" w:eastAsia="方正仿宋_GBK" w:cs="方正仿宋_GBK"/>
          <w:sz w:val="30"/>
          <w:szCs w:val="30"/>
        </w:rPr>
        <w:t>3、承包人应按照国家有关规定参加相关保险，费用由承包人自行承担。</w:t>
      </w:r>
    </w:p>
    <w:p>
      <w:pPr>
        <w:pStyle w:val="7"/>
        <w:spacing w:after="0" w:line="594" w:lineRule="exact"/>
        <w:ind w:firstLine="151" w:firstLineChars="50"/>
        <w:rPr>
          <w:rFonts w:ascii="宋体" w:hAnsi="宋体" w:eastAsia="方正仿宋_GBK" w:cs="方正仿宋_GBK"/>
          <w:b/>
          <w:color w:val="000000"/>
          <w:sz w:val="30"/>
          <w:szCs w:val="30"/>
          <w:highlight w:val="none"/>
        </w:rPr>
      </w:pPr>
      <w:r>
        <w:rPr>
          <w:rFonts w:hint="eastAsia" w:ascii="宋体" w:hAnsi="宋体" w:eastAsia="方正仿宋_GBK" w:cs="方正仿宋_GBK"/>
          <w:b/>
          <w:bCs/>
          <w:sz w:val="30"/>
          <w:szCs w:val="30"/>
          <w:highlight w:val="none"/>
        </w:rPr>
        <w:t>六、</w:t>
      </w:r>
      <w:r>
        <w:rPr>
          <w:rFonts w:hint="eastAsia" w:ascii="宋体" w:hAnsi="宋体" w:eastAsia="方正仿宋_GBK" w:cs="方正仿宋_GBK"/>
          <w:b/>
          <w:color w:val="000000"/>
          <w:sz w:val="30"/>
          <w:szCs w:val="30"/>
          <w:highlight w:val="none"/>
        </w:rPr>
        <w:t>合同价款及工程结算</w:t>
      </w:r>
    </w:p>
    <w:p>
      <w:pPr>
        <w:spacing w:line="594" w:lineRule="exact"/>
        <w:ind w:firstLine="600" w:firstLineChars="200"/>
        <w:rPr>
          <w:rFonts w:ascii="宋体" w:hAnsi="宋体" w:eastAsia="方正仿宋_GBK"/>
          <w:sz w:val="30"/>
          <w:szCs w:val="30"/>
          <w:highlight w:val="none"/>
        </w:rPr>
      </w:pPr>
      <w:r>
        <w:rPr>
          <w:rFonts w:hint="eastAsia" w:ascii="宋体" w:hAnsi="宋体" w:eastAsia="方正仿宋_GBK" w:cs="方正仿宋_GBK"/>
          <w:sz w:val="30"/>
          <w:szCs w:val="30"/>
          <w:highlight w:val="none"/>
        </w:rPr>
        <w:t>1、</w:t>
      </w:r>
      <w:r>
        <w:rPr>
          <w:rFonts w:hint="eastAsia" w:ascii="宋体" w:hAnsi="宋体" w:eastAsia="方正仿宋_GBK"/>
          <w:sz w:val="30"/>
          <w:szCs w:val="30"/>
          <w:highlight w:val="none"/>
          <w:u w:val="single"/>
          <w:lang w:eastAsia="zh-CN"/>
        </w:rPr>
        <w:t>中小企业家园（产业园区基础设施建设）一期项目精装修工程抗震支架工程</w:t>
      </w:r>
      <w:r>
        <w:rPr>
          <w:rFonts w:hint="eastAsia" w:ascii="宋体" w:hAnsi="宋体" w:eastAsia="方正仿宋_GBK" w:cs="宋体"/>
          <w:kern w:val="0"/>
          <w:sz w:val="30"/>
          <w:szCs w:val="30"/>
          <w:highlight w:val="none"/>
          <w:shd w:val="clear" w:color="auto" w:fill="FFFFFF"/>
        </w:rPr>
        <w:t>发包总金额暂定为</w:t>
      </w:r>
      <w:r>
        <w:rPr>
          <w:rFonts w:hint="eastAsia" w:eastAsia="方正仿宋_GBK"/>
          <w:sz w:val="32"/>
          <w:szCs w:val="32"/>
          <w:highlight w:val="none"/>
          <w:u w:val="single"/>
          <w:shd w:val="clear" w:color="auto" w:fill="FFFFFF"/>
          <w:lang w:val="en-US" w:eastAsia="zh-CN"/>
        </w:rPr>
        <w:t>331219.74</w:t>
      </w:r>
      <w:r>
        <w:rPr>
          <w:rFonts w:hint="eastAsia" w:ascii="宋体" w:hAnsi="宋体" w:eastAsia="方正仿宋_GBK" w:cs="宋体"/>
          <w:kern w:val="0"/>
          <w:sz w:val="30"/>
          <w:szCs w:val="30"/>
          <w:highlight w:val="none"/>
          <w:u w:val="single"/>
          <w:shd w:val="clear" w:color="auto" w:fill="FFFFFF"/>
        </w:rPr>
        <w:t>元</w:t>
      </w:r>
      <w:r>
        <w:rPr>
          <w:rFonts w:hint="eastAsia" w:ascii="宋体" w:hAnsi="宋体" w:eastAsia="方正仿宋_GBK" w:cs="宋体"/>
          <w:kern w:val="0"/>
          <w:sz w:val="30"/>
          <w:szCs w:val="30"/>
          <w:highlight w:val="none"/>
          <w:u w:val="single"/>
          <w:shd w:val="clear" w:color="auto" w:fill="FFFFFF"/>
          <w:lang w:eastAsia="zh-CN"/>
        </w:rPr>
        <w:t>（大写叁拾叁万壹仟贰佰</w:t>
      </w:r>
      <w:r>
        <w:rPr>
          <w:rFonts w:hint="eastAsia" w:ascii="宋体" w:hAnsi="宋体" w:eastAsia="方正仿宋_GBK" w:cs="宋体"/>
          <w:kern w:val="0"/>
          <w:sz w:val="30"/>
          <w:szCs w:val="30"/>
          <w:highlight w:val="none"/>
          <w:u w:val="single"/>
          <w:shd w:val="clear" w:color="auto" w:fill="FFFFFF"/>
          <w:lang w:val="en-US" w:eastAsia="zh-CN"/>
        </w:rPr>
        <w:t>壹拾玖元柒角肆分</w:t>
      </w:r>
      <w:r>
        <w:rPr>
          <w:rFonts w:hint="eastAsia" w:ascii="宋体" w:hAnsi="宋体" w:eastAsia="方正仿宋_GBK" w:cs="宋体"/>
          <w:kern w:val="0"/>
          <w:sz w:val="30"/>
          <w:szCs w:val="30"/>
          <w:highlight w:val="none"/>
          <w:u w:val="single"/>
          <w:shd w:val="clear" w:color="auto" w:fill="FFFFFF"/>
          <w:lang w:eastAsia="zh-CN"/>
        </w:rPr>
        <w:t>）</w:t>
      </w:r>
      <w:r>
        <w:rPr>
          <w:rFonts w:hint="eastAsia" w:ascii="宋体" w:hAnsi="宋体" w:eastAsia="方正仿宋_GBK" w:cs="宋体"/>
          <w:kern w:val="0"/>
          <w:sz w:val="30"/>
          <w:szCs w:val="30"/>
          <w:highlight w:val="none"/>
          <w:shd w:val="clear" w:color="auto" w:fill="FFFFFF"/>
        </w:rPr>
        <w:t>。</w:t>
      </w:r>
      <w:r>
        <w:rPr>
          <w:rFonts w:hint="eastAsia" w:ascii="宋体" w:hAnsi="宋体" w:eastAsia="方正仿宋_GBK"/>
          <w:sz w:val="30"/>
          <w:szCs w:val="30"/>
          <w:highlight w:val="none"/>
        </w:rPr>
        <w:t>该工程采用工程量清单计价模式的单价合同方式，采取发包总价和清单单价双控的方式</w:t>
      </w:r>
      <w:r>
        <w:rPr>
          <w:rFonts w:hint="eastAsia" w:ascii="宋体" w:hAnsi="宋体" w:eastAsia="方正仿宋_GBK"/>
          <w:sz w:val="30"/>
          <w:szCs w:val="30"/>
          <w:highlight w:val="none"/>
          <w:lang w:val="en-US" w:eastAsia="zh-CN"/>
        </w:rPr>
        <w:t>计价</w:t>
      </w:r>
      <w:r>
        <w:rPr>
          <w:rFonts w:hint="eastAsia" w:ascii="宋体" w:hAnsi="宋体" w:eastAsia="方正仿宋_GBK"/>
          <w:sz w:val="30"/>
          <w:szCs w:val="30"/>
          <w:highlight w:val="none"/>
        </w:rPr>
        <w:t>，清单综合单价具体详见</w:t>
      </w:r>
      <w:r>
        <w:rPr>
          <w:rFonts w:hint="eastAsia" w:ascii="宋体" w:hAnsi="宋体" w:eastAsia="方正仿宋_GBK"/>
          <w:sz w:val="30"/>
          <w:szCs w:val="30"/>
          <w:highlight w:val="none"/>
          <w:lang w:val="en-US" w:eastAsia="zh-CN"/>
        </w:rPr>
        <w:t>随招标公告</w:t>
      </w:r>
      <w:r>
        <w:rPr>
          <w:rFonts w:hint="eastAsia" w:ascii="宋体" w:hAnsi="宋体" w:eastAsia="方正仿宋_GBK"/>
          <w:sz w:val="30"/>
          <w:szCs w:val="30"/>
          <w:highlight w:val="none"/>
        </w:rPr>
        <w:t>发布的《中小企业家园（产业园区基础设施建设）一期项目精装修工程抗震支架工程招标控制价》相应表格。</w:t>
      </w:r>
    </w:p>
    <w:p>
      <w:pPr>
        <w:spacing w:line="594" w:lineRule="exact"/>
        <w:ind w:firstLine="602" w:firstLineChars="200"/>
        <w:rPr>
          <w:rFonts w:hint="eastAsia" w:ascii="宋体" w:hAnsi="宋体" w:eastAsia="方正仿宋_GBK"/>
          <w:b/>
          <w:bCs/>
          <w:color w:val="auto"/>
          <w:sz w:val="30"/>
          <w:szCs w:val="30"/>
          <w:highlight w:val="none"/>
        </w:rPr>
      </w:pPr>
      <w:r>
        <w:rPr>
          <w:rFonts w:hint="eastAsia" w:ascii="宋体" w:hAnsi="宋体" w:eastAsia="方正仿宋_GBK" w:cs="宋体"/>
          <w:b/>
          <w:bCs/>
          <w:snapToGrid w:val="0"/>
          <w:color w:val="auto"/>
          <w:sz w:val="30"/>
          <w:szCs w:val="30"/>
          <w:highlight w:val="none"/>
        </w:rPr>
        <w:t>本工程</w:t>
      </w:r>
      <w:r>
        <w:rPr>
          <w:rFonts w:hint="eastAsia" w:ascii="宋体" w:hAnsi="宋体" w:eastAsia="方正仿宋_GBK"/>
          <w:b/>
          <w:bCs/>
          <w:color w:val="auto"/>
          <w:sz w:val="30"/>
          <w:szCs w:val="30"/>
          <w:highlight w:val="none"/>
        </w:rPr>
        <w:t>最终结算金额按实际实施的合格工程量和合同单价计算后并总价下浮</w:t>
      </w:r>
      <w:r>
        <w:rPr>
          <w:rFonts w:hint="eastAsia" w:ascii="宋体" w:hAnsi="宋体" w:eastAsia="方正仿宋_GBK"/>
          <w:b/>
          <w:bCs/>
          <w:color w:val="auto"/>
          <w:sz w:val="30"/>
          <w:szCs w:val="30"/>
          <w:highlight w:val="none"/>
          <w:u w:val="single"/>
        </w:rPr>
        <w:t xml:space="preserve"> </w:t>
      </w:r>
      <w:r>
        <w:rPr>
          <w:rFonts w:hint="eastAsia" w:ascii="宋体" w:hAnsi="宋体" w:eastAsia="方正仿宋_GBK"/>
          <w:b/>
          <w:bCs/>
          <w:color w:val="auto"/>
          <w:sz w:val="30"/>
          <w:szCs w:val="30"/>
          <w:highlight w:val="none"/>
          <w:u w:val="single"/>
          <w:lang w:val="en-US" w:eastAsia="zh-CN"/>
        </w:rPr>
        <w:t>5</w:t>
      </w:r>
      <w:r>
        <w:rPr>
          <w:rFonts w:hint="eastAsia" w:ascii="宋体" w:hAnsi="宋体" w:eastAsia="方正仿宋_GBK"/>
          <w:b/>
          <w:bCs/>
          <w:color w:val="auto"/>
          <w:sz w:val="30"/>
          <w:szCs w:val="30"/>
          <w:highlight w:val="none"/>
          <w:u w:val="single"/>
        </w:rPr>
        <w:t xml:space="preserve">% </w:t>
      </w:r>
      <w:r>
        <w:rPr>
          <w:rFonts w:hint="eastAsia" w:ascii="宋体" w:hAnsi="宋体" w:eastAsia="方正仿宋_GBK"/>
          <w:b/>
          <w:bCs/>
          <w:color w:val="auto"/>
          <w:sz w:val="30"/>
          <w:szCs w:val="30"/>
          <w:highlight w:val="none"/>
        </w:rPr>
        <w:t>进行确定</w:t>
      </w:r>
      <w:r>
        <w:rPr>
          <w:rFonts w:hint="eastAsia" w:ascii="宋体" w:hAnsi="宋体" w:eastAsia="方正仿宋_GBK"/>
          <w:b/>
          <w:bCs/>
          <w:color w:val="auto"/>
          <w:sz w:val="30"/>
          <w:szCs w:val="30"/>
          <w:highlight w:val="none"/>
          <w:lang w:eastAsia="zh-CN"/>
        </w:rPr>
        <w:t>，</w:t>
      </w:r>
      <w:r>
        <w:rPr>
          <w:rFonts w:hint="eastAsia" w:ascii="宋体" w:hAnsi="宋体" w:eastAsia="方正仿宋_GBK"/>
          <w:b/>
          <w:bCs/>
          <w:color w:val="auto"/>
          <w:sz w:val="30"/>
          <w:szCs w:val="30"/>
          <w:highlight w:val="none"/>
          <w:lang w:val="en-US" w:eastAsia="zh-CN"/>
        </w:rPr>
        <w:t>但不得超过331219.74元（大写叁拾叁万壹仟贰佰壹拾玖元柒角肆分）</w:t>
      </w:r>
      <w:bookmarkStart w:id="10" w:name="_GoBack"/>
      <w:bookmarkEnd w:id="10"/>
      <w:r>
        <w:rPr>
          <w:rFonts w:hint="eastAsia" w:ascii="宋体" w:hAnsi="宋体" w:eastAsia="方正仿宋_GBK"/>
          <w:b/>
          <w:bCs/>
          <w:color w:val="auto"/>
          <w:sz w:val="30"/>
          <w:szCs w:val="30"/>
          <w:highlight w:val="none"/>
        </w:rPr>
        <w:t>。</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cs="方正仿宋_GBK"/>
          <w:snapToGrid w:val="0"/>
          <w:sz w:val="30"/>
          <w:szCs w:val="30"/>
        </w:rPr>
        <w:t>2、新增或变更项目综合单价的结算原则：</w:t>
      </w:r>
    </w:p>
    <w:p>
      <w:pPr>
        <w:snapToGrid w:val="0"/>
        <w:spacing w:line="594" w:lineRule="exact"/>
        <w:ind w:firstLine="600" w:firstLineChars="200"/>
        <w:rPr>
          <w:rFonts w:ascii="宋体" w:hAnsi="宋体" w:eastAsia="方正仿宋_GBK"/>
          <w:sz w:val="30"/>
          <w:szCs w:val="30"/>
        </w:rPr>
      </w:pPr>
      <w:r>
        <w:rPr>
          <w:rFonts w:hint="eastAsia" w:ascii="宋体" w:hAnsi="宋体" w:eastAsia="方正仿宋_GBK"/>
          <w:sz w:val="30"/>
          <w:szCs w:val="30"/>
        </w:rPr>
        <w:fldChar w:fldCharType="begin"/>
      </w:r>
      <w:r>
        <w:rPr>
          <w:rFonts w:hint="eastAsia" w:ascii="宋体" w:hAnsi="宋体" w:eastAsia="方正仿宋_GBK"/>
          <w:sz w:val="30"/>
          <w:szCs w:val="30"/>
        </w:rPr>
        <w:instrText xml:space="preserve"> = 1 \* GB3 </w:instrText>
      </w:r>
      <w:r>
        <w:rPr>
          <w:rFonts w:hint="eastAsia" w:ascii="宋体" w:hAnsi="宋体" w:eastAsia="方正仿宋_GBK"/>
          <w:sz w:val="30"/>
          <w:szCs w:val="30"/>
        </w:rPr>
        <w:fldChar w:fldCharType="separate"/>
      </w:r>
      <w:r>
        <w:rPr>
          <w:rFonts w:hint="eastAsia" w:ascii="宋体" w:hAnsi="宋体" w:eastAsia="方正仿宋_GBK"/>
          <w:sz w:val="30"/>
          <w:szCs w:val="30"/>
        </w:rPr>
        <w:t>①</w:t>
      </w:r>
      <w:r>
        <w:rPr>
          <w:rFonts w:hint="eastAsia" w:ascii="宋体" w:hAnsi="宋体" w:eastAsia="方正仿宋_GBK"/>
          <w:sz w:val="30"/>
          <w:szCs w:val="30"/>
        </w:rPr>
        <w:fldChar w:fldCharType="end"/>
      </w:r>
      <w:r>
        <w:rPr>
          <w:rFonts w:hint="eastAsia" w:ascii="宋体" w:hAnsi="宋体" w:eastAsia="方正仿宋_GBK"/>
          <w:sz w:val="30"/>
          <w:szCs w:val="30"/>
        </w:rPr>
        <w:t>在中选工程量清单中有相同子目的采用该子目单价。</w:t>
      </w:r>
    </w:p>
    <w:p>
      <w:pPr>
        <w:adjustRightInd w:val="0"/>
        <w:snapToGrid w:val="0"/>
        <w:spacing w:line="594" w:lineRule="exact"/>
        <w:ind w:firstLine="600" w:firstLineChars="200"/>
        <w:rPr>
          <w:rFonts w:ascii="宋体" w:hAnsi="宋体" w:eastAsia="方正仿宋_GBK"/>
          <w:sz w:val="30"/>
          <w:szCs w:val="30"/>
        </w:rPr>
      </w:pPr>
      <w:r>
        <w:rPr>
          <w:rFonts w:hint="eastAsia" w:ascii="宋体" w:hAnsi="宋体" w:eastAsia="方正仿宋_GBK"/>
          <w:sz w:val="30"/>
          <w:szCs w:val="30"/>
        </w:rPr>
        <w:fldChar w:fldCharType="begin"/>
      </w:r>
      <w:r>
        <w:rPr>
          <w:rFonts w:hint="eastAsia" w:ascii="宋体" w:hAnsi="宋体" w:eastAsia="方正仿宋_GBK"/>
          <w:sz w:val="30"/>
          <w:szCs w:val="30"/>
        </w:rPr>
        <w:instrText xml:space="preserve"> = 2 \* GB3 </w:instrText>
      </w:r>
      <w:r>
        <w:rPr>
          <w:rFonts w:hint="eastAsia" w:ascii="宋体" w:hAnsi="宋体" w:eastAsia="方正仿宋_GBK"/>
          <w:sz w:val="30"/>
          <w:szCs w:val="30"/>
        </w:rPr>
        <w:fldChar w:fldCharType="separate"/>
      </w:r>
      <w:r>
        <w:rPr>
          <w:rFonts w:hint="eastAsia" w:ascii="宋体" w:hAnsi="宋体" w:eastAsia="方正仿宋_GBK"/>
          <w:sz w:val="30"/>
          <w:szCs w:val="30"/>
        </w:rPr>
        <w:t>②</w:t>
      </w:r>
      <w:r>
        <w:rPr>
          <w:rFonts w:hint="eastAsia" w:ascii="宋体" w:hAnsi="宋体" w:eastAsia="方正仿宋_GBK"/>
          <w:sz w:val="30"/>
          <w:szCs w:val="30"/>
        </w:rPr>
        <w:fldChar w:fldCharType="end"/>
      </w:r>
      <w:r>
        <w:rPr>
          <w:rFonts w:hint="eastAsia" w:ascii="宋体" w:hAnsi="宋体" w:eastAsia="方正仿宋_GBK"/>
          <w:sz w:val="30"/>
          <w:szCs w:val="30"/>
        </w:rPr>
        <w:t>在中选工程量清单中有类似子目的可以参照类似子目的单价。</w:t>
      </w:r>
    </w:p>
    <w:p>
      <w:pPr>
        <w:adjustRightInd w:val="0"/>
        <w:snapToGrid w:val="0"/>
        <w:spacing w:line="594" w:lineRule="exact"/>
        <w:ind w:firstLine="600" w:firstLineChars="200"/>
        <w:rPr>
          <w:rFonts w:ascii="宋体" w:hAnsi="宋体" w:eastAsia="方正仿宋_GBK"/>
          <w:sz w:val="30"/>
          <w:szCs w:val="30"/>
        </w:rPr>
      </w:pPr>
      <w:r>
        <w:rPr>
          <w:rFonts w:hint="eastAsia" w:ascii="宋体" w:hAnsi="宋体" w:eastAsia="方正仿宋_GBK"/>
          <w:sz w:val="30"/>
          <w:szCs w:val="30"/>
        </w:rPr>
        <w:fldChar w:fldCharType="begin"/>
      </w:r>
      <w:r>
        <w:rPr>
          <w:rFonts w:hint="eastAsia" w:ascii="宋体" w:hAnsi="宋体" w:eastAsia="方正仿宋_GBK"/>
          <w:sz w:val="30"/>
          <w:szCs w:val="30"/>
        </w:rPr>
        <w:instrText xml:space="preserve"> = 3 \* GB3 </w:instrText>
      </w:r>
      <w:r>
        <w:rPr>
          <w:rFonts w:hint="eastAsia" w:ascii="宋体" w:hAnsi="宋体" w:eastAsia="方正仿宋_GBK"/>
          <w:sz w:val="30"/>
          <w:szCs w:val="30"/>
        </w:rPr>
        <w:fldChar w:fldCharType="separate"/>
      </w:r>
      <w:r>
        <w:rPr>
          <w:rFonts w:hint="eastAsia" w:ascii="宋体" w:hAnsi="宋体" w:eastAsia="方正仿宋_GBK"/>
          <w:sz w:val="30"/>
          <w:szCs w:val="30"/>
        </w:rPr>
        <w:t>③</w:t>
      </w:r>
      <w:r>
        <w:rPr>
          <w:rFonts w:hint="eastAsia" w:ascii="宋体" w:hAnsi="宋体" w:eastAsia="方正仿宋_GBK"/>
          <w:sz w:val="30"/>
          <w:szCs w:val="30"/>
        </w:rPr>
        <w:fldChar w:fldCharType="end"/>
      </w:r>
      <w:r>
        <w:rPr>
          <w:rFonts w:hint="eastAsia" w:ascii="宋体" w:hAnsi="宋体" w:eastAsia="方正仿宋_GBK"/>
          <w:sz w:val="30"/>
          <w:szCs w:val="30"/>
        </w:rPr>
        <w:t>在中选工程量清单中无相同或类似子目的单价的：</w:t>
      </w:r>
    </w:p>
    <w:p>
      <w:pPr>
        <w:spacing w:line="594" w:lineRule="exact"/>
        <w:ind w:firstLine="630" w:firstLineChars="210"/>
        <w:rPr>
          <w:rFonts w:hint="eastAsia" w:ascii="宋体" w:hAnsi="宋体" w:eastAsia="方正仿宋_GBK"/>
          <w:sz w:val="30"/>
          <w:szCs w:val="30"/>
          <w:highlight w:val="none"/>
        </w:rPr>
      </w:pPr>
      <w:r>
        <w:rPr>
          <w:rFonts w:hint="eastAsia" w:ascii="宋体" w:hAnsi="宋体" w:eastAsia="方正仿宋_GBK"/>
          <w:snapToGrid w:val="0"/>
          <w:sz w:val="30"/>
          <w:szCs w:val="30"/>
          <w:highlight w:val="none"/>
        </w:rPr>
        <w:t>参照定额：</w:t>
      </w:r>
      <w:r>
        <w:rPr>
          <w:rFonts w:hint="eastAsia" w:ascii="宋体" w:hAnsi="宋体" w:eastAsia="方正仿宋_GBK"/>
          <w:sz w:val="30"/>
          <w:szCs w:val="30"/>
          <w:highlight w:val="none"/>
        </w:rPr>
        <w:t>《建设工程工程量清单计价规范》（GB 50500-2013）、《重庆市建设工程工程量计算规则》(CQJLGZ-2013)、《重庆市建设工程工程量清单计价规则》(CQJJGZ-2013)、2018年《重庆市房屋建筑与装饰工程计价定额》、2018年《重庆市构筑物工程计价定额》、2018年《重庆市通用安装工程计价定额》、2018年《重庆市市政工程计价定额》、2018年《重庆市建设工程费用定额》、重庆市住房城乡建委《关于适用增值税新税率调整建设工程计价依据的通知》（渝建﹝2019﹞143号）</w:t>
      </w:r>
      <w:r>
        <w:rPr>
          <w:rFonts w:hint="eastAsia" w:ascii="宋体" w:hAnsi="宋体" w:eastAsia="方正仿宋_GBK"/>
          <w:sz w:val="30"/>
          <w:szCs w:val="30"/>
          <w:highlight w:val="none"/>
          <w:lang w:eastAsia="zh-CN"/>
        </w:rPr>
        <w:t>、《关于印发璧山区政府投资项目计价原则（2023年第1期）的通知》（璧公管办〔2023〕1号）、《关于发布2022第四季度地方材料价格信息的通知》（</w:t>
      </w:r>
      <w:r>
        <w:rPr>
          <w:rFonts w:hint="eastAsia" w:ascii="宋体" w:hAnsi="宋体" w:eastAsia="方正仿宋_GBK"/>
          <w:sz w:val="30"/>
          <w:szCs w:val="30"/>
          <w:highlight w:val="none"/>
          <w:lang w:val="en-US" w:eastAsia="zh-CN"/>
        </w:rPr>
        <w:t>璧山</w:t>
      </w:r>
      <w:r>
        <w:rPr>
          <w:rFonts w:hint="eastAsia" w:ascii="宋体" w:hAnsi="宋体" w:eastAsia="方正仿宋_GBK"/>
          <w:sz w:val="30"/>
          <w:szCs w:val="30"/>
          <w:highlight w:val="none"/>
          <w:lang w:eastAsia="zh-CN"/>
        </w:rPr>
        <w:t>区建委，2023年1月12日）</w:t>
      </w:r>
      <w:r>
        <w:rPr>
          <w:rFonts w:hint="eastAsia" w:ascii="宋体" w:hAnsi="宋体" w:eastAsia="方正仿宋_GBK"/>
          <w:sz w:val="30"/>
          <w:szCs w:val="30"/>
          <w:highlight w:val="none"/>
        </w:rPr>
        <w:t>及相关配套文件。</w:t>
      </w:r>
    </w:p>
    <w:p>
      <w:pPr>
        <w:spacing w:line="594" w:lineRule="exact"/>
        <w:ind w:firstLine="600" w:firstLineChars="200"/>
        <w:rPr>
          <w:rFonts w:ascii="宋体" w:hAnsi="宋体" w:eastAsia="方正仿宋_GBK"/>
          <w:snapToGrid w:val="0"/>
          <w:sz w:val="30"/>
          <w:szCs w:val="30"/>
          <w:highlight w:val="none"/>
        </w:rPr>
      </w:pPr>
      <w:r>
        <w:rPr>
          <w:rFonts w:hint="eastAsia" w:ascii="宋体" w:hAnsi="宋体" w:eastAsia="方正仿宋_GBK"/>
          <w:snapToGrid w:val="0"/>
          <w:sz w:val="30"/>
          <w:szCs w:val="30"/>
          <w:highlight w:val="none"/>
        </w:rPr>
        <w:t>增减工程按</w:t>
      </w:r>
      <w:r>
        <w:rPr>
          <w:rFonts w:hint="eastAsia" w:ascii="宋体" w:hAnsi="宋体" w:eastAsia="方正仿宋_GBK" w:cs="宋体"/>
          <w:snapToGrid w:val="0"/>
          <w:sz w:val="30"/>
          <w:szCs w:val="30"/>
          <w:highlight w:val="none"/>
        </w:rPr>
        <w:t>璧发改〔2022〕26</w:t>
      </w:r>
      <w:r>
        <w:rPr>
          <w:rFonts w:hint="eastAsia" w:ascii="宋体" w:hAnsi="宋体" w:eastAsia="方正仿宋_GBK" w:cs="宋体"/>
          <w:snapToGrid w:val="0"/>
          <w:sz w:val="30"/>
          <w:szCs w:val="30"/>
          <w:highlight w:val="none"/>
          <w:lang w:val="en-US" w:eastAsia="zh-CN"/>
        </w:rPr>
        <w:t>5</w:t>
      </w:r>
      <w:r>
        <w:rPr>
          <w:rFonts w:hint="eastAsia" w:ascii="宋体" w:hAnsi="宋体" w:eastAsia="方正仿宋_GBK" w:cs="宋体"/>
          <w:snapToGrid w:val="0"/>
          <w:sz w:val="30"/>
          <w:szCs w:val="30"/>
          <w:highlight w:val="none"/>
        </w:rPr>
        <w:t>号</w:t>
      </w:r>
      <w:r>
        <w:rPr>
          <w:rFonts w:hint="eastAsia" w:ascii="宋体" w:hAnsi="宋体" w:eastAsia="方正仿宋_GBK" w:cs="宋体"/>
          <w:snapToGrid w:val="0"/>
          <w:sz w:val="30"/>
          <w:szCs w:val="30"/>
          <w:highlight w:val="none"/>
          <w:lang w:eastAsia="zh-CN"/>
        </w:rPr>
        <w:t>、璧发改〔2022〕266号</w:t>
      </w:r>
      <w:r>
        <w:rPr>
          <w:rFonts w:hint="eastAsia" w:ascii="宋体" w:hAnsi="宋体" w:eastAsia="方正仿宋_GBK" w:cs="宋体"/>
          <w:snapToGrid w:val="0"/>
          <w:sz w:val="30"/>
          <w:szCs w:val="30"/>
          <w:highlight w:val="none"/>
          <w:lang w:val="en-US" w:eastAsia="zh-CN"/>
        </w:rPr>
        <w:t>文件</w:t>
      </w:r>
      <w:r>
        <w:rPr>
          <w:rFonts w:hint="eastAsia" w:ascii="宋体" w:hAnsi="宋体" w:eastAsia="方正仿宋_GBK"/>
          <w:snapToGrid w:val="0"/>
          <w:sz w:val="30"/>
          <w:szCs w:val="30"/>
          <w:highlight w:val="none"/>
        </w:rPr>
        <w:t>规定报批，由</w:t>
      </w:r>
      <w:r>
        <w:rPr>
          <w:rFonts w:hint="eastAsia" w:ascii="宋体" w:hAnsi="宋体" w:eastAsia="方正仿宋_GBK"/>
          <w:snapToGrid w:val="0"/>
          <w:sz w:val="30"/>
          <w:szCs w:val="30"/>
          <w:highlight w:val="none"/>
          <w:lang w:val="en-US" w:eastAsia="zh-CN"/>
        </w:rPr>
        <w:t>建设单位</w:t>
      </w:r>
      <w:r>
        <w:rPr>
          <w:rFonts w:hint="eastAsia" w:ascii="宋体" w:hAnsi="宋体" w:eastAsia="方正仿宋_GBK"/>
          <w:snapToGrid w:val="0"/>
          <w:sz w:val="30"/>
          <w:szCs w:val="30"/>
          <w:highlight w:val="none"/>
        </w:rPr>
        <w:t>、施工单位、监理单位现场签证，并接受重庆市璧山区标后监管机构的监督。</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工程最终结算金额以</w:t>
      </w:r>
      <w:r>
        <w:rPr>
          <w:rFonts w:hint="eastAsia" w:ascii="宋体" w:hAnsi="宋体" w:eastAsia="方正仿宋_GBK"/>
          <w:snapToGrid w:val="0"/>
          <w:sz w:val="30"/>
          <w:szCs w:val="30"/>
          <w:lang w:val="en-US" w:eastAsia="zh-CN"/>
        </w:rPr>
        <w:t>发包</w:t>
      </w:r>
      <w:r>
        <w:rPr>
          <w:rFonts w:hint="eastAsia" w:ascii="宋体" w:hAnsi="宋体" w:eastAsia="方正仿宋_GBK"/>
          <w:snapToGrid w:val="0"/>
          <w:sz w:val="30"/>
          <w:szCs w:val="30"/>
        </w:rPr>
        <w:t>人委托的审计单位的审计结果为准。</w:t>
      </w:r>
    </w:p>
    <w:p>
      <w:pPr>
        <w:spacing w:line="594" w:lineRule="exact"/>
        <w:ind w:firstLine="602" w:firstLineChars="200"/>
        <w:rPr>
          <w:rFonts w:ascii="宋体" w:hAnsi="宋体" w:eastAsia="方正仿宋_GBK" w:cs="方正仿宋_GBK"/>
          <w:b/>
          <w:bCs/>
          <w:sz w:val="30"/>
          <w:szCs w:val="30"/>
          <w:highlight w:val="none"/>
        </w:rPr>
      </w:pPr>
      <w:r>
        <w:rPr>
          <w:rFonts w:hint="eastAsia" w:ascii="宋体" w:hAnsi="宋体" w:eastAsia="方正仿宋_GBK" w:cs="方正仿宋_GBK"/>
          <w:b/>
          <w:bCs/>
          <w:sz w:val="30"/>
          <w:szCs w:val="30"/>
          <w:highlight w:val="none"/>
        </w:rPr>
        <w:t>七、付款方式</w:t>
      </w:r>
    </w:p>
    <w:p>
      <w:pPr>
        <w:pStyle w:val="8"/>
        <w:spacing w:line="594" w:lineRule="exact"/>
        <w:ind w:firstLine="600" w:firstLineChars="200"/>
        <w:rPr>
          <w:rFonts w:hAnsi="宋体" w:eastAsia="方正仿宋_GBK"/>
          <w:sz w:val="30"/>
          <w:szCs w:val="30"/>
          <w:highlight w:val="none"/>
        </w:rPr>
      </w:pPr>
      <w:r>
        <w:rPr>
          <w:rFonts w:hint="eastAsia" w:hAnsi="宋体" w:eastAsia="方正仿宋_GBK"/>
          <w:sz w:val="30"/>
          <w:szCs w:val="30"/>
          <w:highlight w:val="none"/>
        </w:rPr>
        <w:t>1、发包人收取、退还履约保证金。工程竣工</w:t>
      </w:r>
      <w:r>
        <w:rPr>
          <w:rFonts w:hint="eastAsia" w:hAnsi="宋体" w:eastAsia="方正仿宋_GBK"/>
          <w:snapToGrid w:val="0"/>
          <w:sz w:val="30"/>
          <w:szCs w:val="30"/>
          <w:highlight w:val="none"/>
        </w:rPr>
        <w:t>经相关部门</w:t>
      </w:r>
      <w:r>
        <w:rPr>
          <w:rFonts w:hint="eastAsia" w:hAnsi="宋体" w:eastAsia="方正仿宋_GBK"/>
          <w:sz w:val="30"/>
          <w:szCs w:val="30"/>
          <w:highlight w:val="none"/>
        </w:rPr>
        <w:t>验收合格后，</w:t>
      </w:r>
      <w:r>
        <w:rPr>
          <w:rFonts w:hint="eastAsia" w:hAnsi="宋体" w:eastAsia="方正仿宋_GBK"/>
          <w:sz w:val="30"/>
          <w:szCs w:val="30"/>
          <w:highlight w:val="none"/>
          <w:lang w:eastAsia="zh-CN"/>
        </w:rPr>
        <w:t>发包人</w:t>
      </w:r>
      <w:r>
        <w:rPr>
          <w:rFonts w:hint="eastAsia" w:hAnsi="宋体" w:eastAsia="方正仿宋_GBK"/>
          <w:sz w:val="30"/>
          <w:szCs w:val="30"/>
          <w:highlight w:val="none"/>
        </w:rPr>
        <w:t>一次性退还工程履约保证金（不计利息）。</w:t>
      </w:r>
    </w:p>
    <w:p>
      <w:pPr>
        <w:spacing w:line="594" w:lineRule="exact"/>
        <w:ind w:firstLine="600" w:firstLineChars="200"/>
        <w:rPr>
          <w:rFonts w:hint="eastAsia" w:ascii="宋体" w:hAnsi="宋体" w:eastAsia="方正仿宋_GBK"/>
          <w:snapToGrid w:val="0"/>
          <w:sz w:val="30"/>
          <w:szCs w:val="30"/>
          <w:highlight w:val="none"/>
          <w:lang w:eastAsia="zh-CN"/>
        </w:rPr>
      </w:pPr>
      <w:r>
        <w:rPr>
          <w:rFonts w:hint="eastAsia" w:ascii="宋体" w:hAnsi="宋体" w:eastAsia="方正仿宋_GBK"/>
          <w:sz w:val="30"/>
          <w:szCs w:val="30"/>
          <w:highlight w:val="none"/>
        </w:rPr>
        <w:t>2、</w:t>
      </w:r>
      <w:r>
        <w:rPr>
          <w:rFonts w:hint="eastAsia" w:ascii="宋体" w:hAnsi="宋体" w:eastAsia="方正仿宋_GBK"/>
          <w:snapToGrid w:val="0"/>
          <w:sz w:val="30"/>
          <w:szCs w:val="30"/>
          <w:highlight w:val="none"/>
          <w:lang w:val="en-US" w:eastAsia="zh-CN"/>
        </w:rPr>
        <w:t>合同价款</w:t>
      </w:r>
      <w:r>
        <w:rPr>
          <w:rFonts w:hint="eastAsia" w:ascii="宋体" w:hAnsi="宋体" w:eastAsia="方正仿宋_GBK"/>
          <w:snapToGrid w:val="0"/>
          <w:sz w:val="30"/>
          <w:szCs w:val="30"/>
          <w:highlight w:val="none"/>
        </w:rPr>
        <w:t>支付</w:t>
      </w:r>
      <w:r>
        <w:rPr>
          <w:rFonts w:hint="eastAsia" w:ascii="宋体" w:hAnsi="宋体" w:eastAsia="方正仿宋_GBK"/>
          <w:snapToGrid w:val="0"/>
          <w:sz w:val="30"/>
          <w:szCs w:val="30"/>
          <w:highlight w:val="none"/>
          <w:lang w:eastAsia="zh-CN"/>
        </w:rPr>
        <w:t>：</w:t>
      </w:r>
    </w:p>
    <w:p>
      <w:pPr>
        <w:spacing w:line="594" w:lineRule="exact"/>
        <w:ind w:firstLine="600" w:firstLineChars="200"/>
        <w:rPr>
          <w:rFonts w:hint="eastAsia" w:ascii="宋体" w:hAnsi="宋体" w:eastAsia="方正仿宋_GBK"/>
          <w:snapToGrid w:val="0"/>
          <w:sz w:val="30"/>
          <w:szCs w:val="30"/>
          <w:highlight w:val="none"/>
          <w:lang w:eastAsia="zh-CN"/>
        </w:rPr>
      </w:pPr>
      <w:r>
        <w:rPr>
          <w:rFonts w:hint="eastAsia" w:ascii="宋体" w:hAnsi="宋体" w:eastAsia="方正仿宋_GBK"/>
          <w:snapToGrid w:val="0"/>
          <w:sz w:val="30"/>
          <w:szCs w:val="30"/>
          <w:highlight w:val="none"/>
          <w:lang w:eastAsia="zh-CN"/>
        </w:rPr>
        <w:t>①工程进度款支付办法：</w:t>
      </w:r>
    </w:p>
    <w:p>
      <w:pPr>
        <w:spacing w:line="594" w:lineRule="exact"/>
        <w:ind w:firstLine="600" w:firstLineChars="200"/>
        <w:rPr>
          <w:rFonts w:hint="eastAsia" w:ascii="宋体" w:hAnsi="宋体" w:eastAsia="方正仿宋_GBK"/>
          <w:snapToGrid w:val="0"/>
          <w:sz w:val="30"/>
          <w:szCs w:val="30"/>
          <w:highlight w:val="none"/>
          <w:lang w:eastAsia="zh-CN"/>
        </w:rPr>
      </w:pPr>
      <w:r>
        <w:rPr>
          <w:rFonts w:hint="eastAsia" w:ascii="宋体" w:hAnsi="宋体" w:eastAsia="方正仿宋_GBK"/>
          <w:snapToGrid w:val="0"/>
          <w:sz w:val="30"/>
          <w:szCs w:val="30"/>
          <w:highlight w:val="none"/>
          <w:lang w:eastAsia="zh-CN"/>
        </w:rPr>
        <w:t>工程竣工验收合格并经相关部门验收合格、并提交竣工资料后支付至经审核的已完成合格工程量计价款的80%；本工程按重庆市璧山区政府投资项目管理办法（璧发改〔2022〕265号）和政府结算审核相关规定（璧财发〔202</w:t>
      </w:r>
      <w:r>
        <w:rPr>
          <w:rFonts w:hint="eastAsia" w:ascii="宋体" w:hAnsi="宋体" w:eastAsia="方正仿宋_GBK"/>
          <w:snapToGrid w:val="0"/>
          <w:sz w:val="30"/>
          <w:szCs w:val="30"/>
          <w:highlight w:val="none"/>
          <w:lang w:val="en-US" w:eastAsia="zh-CN"/>
        </w:rPr>
        <w:t>1</w:t>
      </w:r>
      <w:r>
        <w:rPr>
          <w:rFonts w:hint="eastAsia" w:ascii="宋体" w:hAnsi="宋体" w:eastAsia="方正仿宋_GBK"/>
          <w:snapToGrid w:val="0"/>
          <w:sz w:val="30"/>
          <w:szCs w:val="30"/>
          <w:highlight w:val="none"/>
          <w:lang w:eastAsia="zh-CN"/>
        </w:rPr>
        <w:t>〕2号）办理结算，移交档案资料且通过档案验收合格后支付至审定金额的97%，余下3%作为质量保证金，待24个月的缺陷责任期满后按规定无息退还。</w:t>
      </w:r>
    </w:p>
    <w:p>
      <w:pPr>
        <w:spacing w:line="594" w:lineRule="exact"/>
        <w:ind w:firstLine="600" w:firstLineChars="200"/>
        <w:rPr>
          <w:rFonts w:hint="eastAsia" w:ascii="宋体" w:hAnsi="宋体" w:eastAsia="方正仿宋_GBK"/>
          <w:snapToGrid w:val="0"/>
          <w:sz w:val="30"/>
          <w:szCs w:val="30"/>
          <w:highlight w:val="none"/>
          <w:lang w:eastAsia="zh-CN"/>
        </w:rPr>
      </w:pPr>
      <w:r>
        <w:rPr>
          <w:rFonts w:hint="eastAsia" w:ascii="宋体" w:hAnsi="宋体" w:eastAsia="方正仿宋_GBK"/>
          <w:snapToGrid w:val="0"/>
          <w:sz w:val="30"/>
          <w:szCs w:val="30"/>
          <w:highlight w:val="none"/>
          <w:lang w:eastAsia="zh-CN"/>
        </w:rPr>
        <w:t>支付方式及发票要求：承包人出具国家税务机关开具的合法发票，并提供璧山区税务机关开具的完税证明后，由发包人采用银行转帐支付或电汇至承包人在璧银行账户。</w:t>
      </w:r>
    </w:p>
    <w:p>
      <w:pPr>
        <w:spacing w:line="594" w:lineRule="exact"/>
        <w:ind w:firstLine="600" w:firstLineChars="200"/>
        <w:rPr>
          <w:rFonts w:hint="eastAsia" w:ascii="宋体" w:hAnsi="宋体" w:eastAsia="方正仿宋_GBK" w:cs="MingLiU"/>
          <w:snapToGrid w:val="0"/>
          <w:sz w:val="30"/>
          <w:szCs w:val="30"/>
          <w:highlight w:val="none"/>
        </w:rPr>
      </w:pPr>
      <w:r>
        <w:rPr>
          <w:rFonts w:hint="eastAsia" w:ascii="宋体" w:hAnsi="宋体" w:eastAsia="方正仿宋_GBK"/>
          <w:snapToGrid w:val="0"/>
          <w:sz w:val="30"/>
          <w:szCs w:val="30"/>
          <w:highlight w:val="none"/>
          <w:lang w:eastAsia="zh-CN"/>
        </w:rPr>
        <w:t>②人工费（</w:t>
      </w:r>
      <w:r>
        <w:rPr>
          <w:rFonts w:hint="eastAsia" w:ascii="宋体" w:hAnsi="宋体" w:eastAsia="方正仿宋_GBK"/>
          <w:snapToGrid w:val="0"/>
          <w:sz w:val="30"/>
          <w:szCs w:val="30"/>
          <w:highlight w:val="none"/>
          <w:lang w:val="en-US" w:eastAsia="zh-CN"/>
        </w:rPr>
        <w:t>农民工工资</w:t>
      </w:r>
      <w:r>
        <w:rPr>
          <w:rFonts w:hint="eastAsia" w:ascii="宋体" w:hAnsi="宋体" w:eastAsia="方正仿宋_GBK"/>
          <w:snapToGrid w:val="0"/>
          <w:sz w:val="30"/>
          <w:szCs w:val="30"/>
          <w:highlight w:val="none"/>
          <w:lang w:eastAsia="zh-CN"/>
        </w:rPr>
        <w:t>）：发包人在签发人工费（工资款）支付证书的次月10日前，按经监理人和发包人审定的当月完成的合同价款的25%（人工费数额大于当月完成的合同价款的25%时，按实际人工费数额拨付；若人工费数额小于当月完成的合同价款的25%时，按不少于当月完成的合同价款的25%拨付），支付至承包人。</w:t>
      </w:r>
    </w:p>
    <w:p>
      <w:pPr>
        <w:spacing w:line="594" w:lineRule="exact"/>
        <w:ind w:firstLine="602" w:firstLineChars="200"/>
        <w:rPr>
          <w:rFonts w:ascii="宋体" w:hAnsi="宋体" w:eastAsia="方正仿宋_GBK"/>
          <w:b/>
          <w:sz w:val="30"/>
          <w:szCs w:val="30"/>
        </w:rPr>
      </w:pPr>
      <w:r>
        <w:rPr>
          <w:rFonts w:hint="eastAsia" w:ascii="宋体" w:hAnsi="宋体" w:eastAsia="方正仿宋_GBK"/>
          <w:b/>
          <w:sz w:val="30"/>
          <w:szCs w:val="30"/>
        </w:rPr>
        <w:t>八、违约责任</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1）承包人未按国家、行业和重庆市有关施工质量验收规范、技术规范、技术标准和规程、《工程建设标准强制性条文》及施工图纸(含设计变更和工程洽商或技术核定单)的要求进行施工，或偷工减料、弄虚作假的，每发现一次或一处，依据《监理工程师通知单》或相关记录资料对承包人处以5000元的违约金。</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2）如果因承包人的原因工程质量达不到合同约定的质量标准，承包人须自行整改，费用由承包人承担，同时工期不顺延。承包人在发包人指定期限内不进行整改或整改后仍不能达到要求的，发包人有权单方解除合同，承包人交纳的履约保证金不予退还。</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（3）承包人向监理人和发包人提供的所有工程资料和数据必须真实可靠。经检查发现承包人有弄虚作假的，每发现一次，依据《监理工程师通知单》或相关记录资料对承包人处以5000元违约金。</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（4）承包人不能因为任何原因拖欠农民工工资，由此引发的任何责任由承包人全部承担；出现拖欠农民工工资行为，发包人有权从承包人工程进度款中扣减</w:t>
      </w:r>
      <w:r>
        <w:rPr>
          <w:rFonts w:hint="eastAsia" w:ascii="宋体" w:hAnsi="宋体" w:eastAsia="方正仿宋_GBK"/>
          <w:snapToGrid w:val="0"/>
          <w:sz w:val="30"/>
          <w:szCs w:val="30"/>
          <w:lang w:val="en-US" w:eastAsia="zh-CN"/>
        </w:rPr>
        <w:t>资金</w:t>
      </w:r>
      <w:r>
        <w:rPr>
          <w:rFonts w:hint="eastAsia" w:ascii="宋体" w:hAnsi="宋体" w:eastAsia="方正仿宋_GBK"/>
          <w:snapToGrid w:val="0"/>
          <w:sz w:val="30"/>
          <w:szCs w:val="30"/>
        </w:rPr>
        <w:t>直接支付给农民工。承包人并因此承担</w:t>
      </w:r>
      <w:r>
        <w:rPr>
          <w:rFonts w:hint="eastAsia" w:ascii="宋体" w:hAnsi="宋体" w:eastAsia="方正仿宋_GBK"/>
          <w:snapToGrid w:val="0"/>
          <w:sz w:val="30"/>
          <w:szCs w:val="30"/>
          <w:lang w:val="en-US" w:eastAsia="zh-CN"/>
        </w:rPr>
        <w:t>3</w:t>
      </w:r>
      <w:r>
        <w:rPr>
          <w:rFonts w:hint="eastAsia" w:ascii="宋体" w:hAnsi="宋体" w:eastAsia="方正仿宋_GBK"/>
          <w:snapToGrid w:val="0"/>
          <w:sz w:val="30"/>
          <w:szCs w:val="30"/>
        </w:rPr>
        <w:t>万元/次的违约责任（以监理人书面通知为准）。</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5）承包人在施工中没有按发包人要求或不明确施工要求而又不向发包人求证明确，致使施工不能达到发包人要求的，发包人有权要求承包人返工并由承包人承担返工损失，工期不得顺延。每违反一次由承包人向发包人支付5000元的违约金（以发包人书面发出的通知书为准）</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6）承包人未严格按照发包人提供的施工图要求以及国家、地方现行规范要求的工程质量标准施工，每发现一次或一处，依据《监理工程师通知单》或相关记录资料对承包人处以5000元违约金，且承包人必须按照发包人要求的时间进行整改。</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7）未经发包人许可，承包人擅自将所承包的工程转包和分包，一经发现，由承包人向发包人支付合同总价的1%的违约金，并无条件改正，工期不得顺延。承包人未在发包人规定期限内整改的，发包人有权解除合同，并责令承包人立即退场，交纳的履约保证金不予退还。</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8）承包人不按审批通过施工组织设计、专项方案的主要施工工艺施工，擅自改变施工工艺，由此引发的任何责任由承包人全部承担，发包人除有权要求向承包人索赔外，依据《监理工程师通知单》或相关记录资料对承包人处以10000元/次的违约金。情节严重的，可要求承包人退场，同时发包人有权解除合同，履约保证金不予退还，并由承包人赔偿由此给发包人造成的损失。</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（9）承包人应在工程竣工验收合格后30天内向发包人提交</w:t>
      </w:r>
      <w:r>
        <w:rPr>
          <w:rFonts w:hint="eastAsia" w:ascii="宋体" w:hAnsi="宋体" w:eastAsia="方正仿宋_GBK"/>
          <w:snapToGrid w:val="0"/>
          <w:sz w:val="30"/>
          <w:szCs w:val="30"/>
          <w:lang w:val="en-US" w:eastAsia="zh-CN"/>
        </w:rPr>
        <w:t>按</w:t>
      </w:r>
      <w:r>
        <w:rPr>
          <w:rFonts w:hint="eastAsia" w:ascii="宋体" w:hAnsi="宋体" w:eastAsia="方正仿宋_GBK"/>
          <w:snapToGrid w:val="0"/>
          <w:sz w:val="30"/>
          <w:szCs w:val="30"/>
        </w:rPr>
        <w:t>当期</w:t>
      </w:r>
      <w:r>
        <w:rPr>
          <w:rFonts w:hint="eastAsia" w:ascii="宋体" w:hAnsi="宋体" w:eastAsia="方正仿宋_GBK"/>
          <w:snapToGrid w:val="0"/>
          <w:sz w:val="30"/>
          <w:szCs w:val="30"/>
          <w:lang w:val="en-US" w:eastAsia="zh-CN"/>
        </w:rPr>
        <w:t>璧山区</w:t>
      </w:r>
      <w:r>
        <w:rPr>
          <w:rFonts w:hint="eastAsia" w:ascii="宋体" w:hAnsi="宋体" w:eastAsia="方正仿宋_GBK"/>
          <w:snapToGrid w:val="0"/>
          <w:sz w:val="30"/>
          <w:szCs w:val="30"/>
        </w:rPr>
        <w:t>政府投资项目计价原则编制的全费用清单工程结算资料</w:t>
      </w:r>
      <w:r>
        <w:rPr>
          <w:rFonts w:hint="eastAsia" w:ascii="宋体" w:hAnsi="宋体" w:eastAsia="方正仿宋_GBK"/>
          <w:snapToGrid w:val="0"/>
          <w:sz w:val="30"/>
          <w:szCs w:val="30"/>
          <w:lang w:eastAsia="zh-CN"/>
        </w:rPr>
        <w:t>，未</w:t>
      </w:r>
      <w:r>
        <w:rPr>
          <w:rFonts w:hint="eastAsia" w:ascii="宋体" w:hAnsi="宋体" w:eastAsia="方正仿宋_GBK"/>
          <w:snapToGrid w:val="0"/>
          <w:sz w:val="30"/>
          <w:szCs w:val="30"/>
          <w:lang w:val="en-US" w:eastAsia="zh-CN"/>
        </w:rPr>
        <w:t>按要求</w:t>
      </w:r>
      <w:r>
        <w:rPr>
          <w:rFonts w:hint="eastAsia" w:ascii="宋体" w:hAnsi="宋体" w:eastAsia="方正仿宋_GBK"/>
          <w:snapToGrid w:val="0"/>
          <w:sz w:val="30"/>
          <w:szCs w:val="30"/>
          <w:lang w:eastAsia="zh-CN"/>
        </w:rPr>
        <w:t>编制的全费用清单，结算审核时对清单单价按当期璧山区政府投资项目计价原则予以修正</w:t>
      </w:r>
      <w:r>
        <w:rPr>
          <w:rFonts w:hint="eastAsia" w:ascii="宋体" w:hAnsi="宋体" w:eastAsia="方正仿宋_GBK"/>
          <w:snapToGrid w:val="0"/>
          <w:sz w:val="30"/>
          <w:szCs w:val="30"/>
        </w:rPr>
        <w:t>。</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10）监理人发出整改通知5日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为不免除承包人应承担的违约责任，也不影响发包人根据合同约定享有的索赔权利。</w:t>
      </w:r>
    </w:p>
    <w:p>
      <w:pPr>
        <w:spacing w:line="594" w:lineRule="exact"/>
        <w:ind w:firstLine="600" w:firstLineChars="200"/>
        <w:rPr>
          <w:rFonts w:ascii="宋体" w:hAnsi="宋体" w:eastAsia="方正仿宋_GBK"/>
          <w:snapToGrid w:val="0"/>
          <w:sz w:val="30"/>
          <w:szCs w:val="30"/>
        </w:rPr>
      </w:pPr>
      <w:r>
        <w:rPr>
          <w:rFonts w:hint="eastAsia" w:ascii="宋体" w:hAnsi="宋体" w:eastAsia="方正仿宋_GBK"/>
          <w:snapToGrid w:val="0"/>
          <w:sz w:val="30"/>
          <w:szCs w:val="30"/>
        </w:rPr>
        <w:t>（11）承包人未按要求办理其装备及人员保险，由此产生的经济、法律责任和费用由承包人承担；</w:t>
      </w:r>
    </w:p>
    <w:p>
      <w:pPr>
        <w:spacing w:line="594" w:lineRule="exact"/>
        <w:ind w:firstLine="600" w:firstLineChars="200"/>
        <w:rPr>
          <w:rFonts w:ascii="宋体" w:hAnsi="宋体" w:eastAsia="方正仿宋_GBK" w:cs="方正仿宋_GBK"/>
          <w:color w:val="000000"/>
          <w:sz w:val="30"/>
          <w:szCs w:val="30"/>
        </w:rPr>
      </w:pPr>
      <w:r>
        <w:rPr>
          <w:rFonts w:hint="eastAsia" w:ascii="宋体" w:hAnsi="宋体" w:eastAsia="方正仿宋_GBK" w:cs="方正仿宋_GBK"/>
          <w:color w:val="000000"/>
          <w:sz w:val="30"/>
          <w:szCs w:val="30"/>
        </w:rPr>
        <w:t>（12）因承包人原因不能按合同工期竣工，每延误一天，须向发包人支付人民币2000元违约金。承包人超过合同规定工期15日仍未完工并经验收合格交付发包方使用的，发包人有权解除合同，责令承包人限期撤场，缴纳的履约保证金不予退还，</w:t>
      </w:r>
      <w:r>
        <w:rPr>
          <w:rFonts w:hint="eastAsia" w:ascii="宋体" w:hAnsi="宋体" w:eastAsia="方正仿宋_GBK" w:cs="方正仿宋_GBK"/>
          <w:color w:val="000000"/>
          <w:sz w:val="30"/>
          <w:szCs w:val="30"/>
          <w:lang w:val="en-US" w:eastAsia="zh-CN"/>
        </w:rPr>
        <w:t>并</w:t>
      </w:r>
      <w:r>
        <w:rPr>
          <w:rFonts w:hint="eastAsia" w:ascii="宋体" w:hAnsi="宋体" w:eastAsia="方正仿宋_GBK" w:cs="方正仿宋_GBK"/>
          <w:color w:val="000000"/>
          <w:sz w:val="30"/>
          <w:szCs w:val="30"/>
        </w:rPr>
        <w:t>由承包人赔偿发包人损失人民币1万元。</w:t>
      </w:r>
    </w:p>
    <w:p>
      <w:pPr>
        <w:spacing w:line="594" w:lineRule="exact"/>
        <w:ind w:firstLine="600" w:firstLineChars="200"/>
        <w:rPr>
          <w:rFonts w:hint="eastAsia" w:ascii="宋体" w:hAnsi="宋体" w:eastAsia="方正仿宋_GBK" w:cs="方正仿宋_GBK"/>
          <w:color w:val="000000"/>
          <w:sz w:val="30"/>
          <w:szCs w:val="30"/>
        </w:rPr>
      </w:pPr>
      <w:r>
        <w:rPr>
          <w:rFonts w:hint="eastAsia" w:ascii="宋体" w:hAnsi="宋体" w:eastAsia="方正仿宋_GBK" w:cs="方正仿宋_GBK"/>
          <w:color w:val="000000"/>
          <w:sz w:val="30"/>
          <w:szCs w:val="30"/>
        </w:rPr>
        <w:t>（13）施工期间，承包人未经发包人书面批准擅自连续停工5日以上或累计停工15日以上，发包人有权解除合同，责令承包人限期撤场，缴纳的履约保证金不予退还，由承包人赔偿</w:t>
      </w:r>
      <w:r>
        <w:rPr>
          <w:rFonts w:hint="eastAsia" w:ascii="宋体" w:hAnsi="宋体" w:eastAsia="方正仿宋_GBK" w:cs="方正仿宋_GBK"/>
          <w:color w:val="000000"/>
          <w:sz w:val="30"/>
          <w:szCs w:val="30"/>
          <w:lang w:val="en-US" w:eastAsia="zh-CN"/>
        </w:rPr>
        <w:t>发包人</w:t>
      </w:r>
      <w:r>
        <w:rPr>
          <w:rFonts w:hint="eastAsia" w:ascii="宋体" w:hAnsi="宋体" w:eastAsia="方正仿宋_GBK" w:cs="方正仿宋_GBK"/>
          <w:color w:val="000000"/>
          <w:sz w:val="30"/>
          <w:szCs w:val="30"/>
        </w:rPr>
        <w:t>损失人民币2万元。</w:t>
      </w:r>
    </w:p>
    <w:p>
      <w:pPr>
        <w:spacing w:line="594" w:lineRule="exact"/>
        <w:ind w:firstLine="600" w:firstLineChars="200"/>
        <w:rPr>
          <w:rFonts w:hint="eastAsia" w:ascii="宋体" w:hAnsi="宋体" w:eastAsia="方正仿宋_GBK" w:cs="方正仿宋_GBK"/>
          <w:color w:val="000000"/>
          <w:sz w:val="30"/>
          <w:szCs w:val="30"/>
          <w:lang w:eastAsia="zh-CN"/>
        </w:rPr>
      </w:pPr>
      <w:r>
        <w:rPr>
          <w:rFonts w:hint="eastAsia" w:ascii="宋体" w:hAnsi="宋体" w:eastAsia="方正仿宋_GBK" w:cs="方正仿宋_GBK"/>
          <w:color w:val="000000"/>
          <w:sz w:val="30"/>
          <w:szCs w:val="30"/>
          <w:lang w:eastAsia="zh-CN"/>
        </w:rPr>
        <w:t>（</w:t>
      </w:r>
      <w:r>
        <w:rPr>
          <w:rFonts w:hint="eastAsia" w:ascii="宋体" w:hAnsi="宋体" w:eastAsia="方正仿宋_GBK" w:cs="方正仿宋_GBK"/>
          <w:color w:val="000000"/>
          <w:sz w:val="30"/>
          <w:szCs w:val="30"/>
          <w:lang w:val="en-US" w:eastAsia="zh-CN"/>
        </w:rPr>
        <w:t>14</w:t>
      </w:r>
      <w:r>
        <w:rPr>
          <w:rFonts w:hint="eastAsia" w:ascii="宋体" w:hAnsi="宋体" w:eastAsia="方正仿宋_GBK" w:cs="方正仿宋_GBK"/>
          <w:color w:val="000000"/>
          <w:sz w:val="30"/>
          <w:szCs w:val="30"/>
          <w:lang w:eastAsia="zh-CN"/>
        </w:rPr>
        <w:t>）</w:t>
      </w:r>
      <w:r>
        <w:rPr>
          <w:rFonts w:hint="eastAsia" w:ascii="宋体" w:hAnsi="宋体" w:eastAsia="方正仿宋_GBK" w:cs="方正仿宋_GBK"/>
          <w:color w:val="000000"/>
          <w:sz w:val="30"/>
          <w:szCs w:val="30"/>
        </w:rPr>
        <w:t>一方违反本合同项下的义务而产生的或导致的所有成本、责任和赔偿（包括律师费、诉讼费、仲裁费、保全费、财产保全担保费、调查取证费用等），均由违约方承担</w:t>
      </w:r>
    </w:p>
    <w:p>
      <w:pPr>
        <w:spacing w:line="594" w:lineRule="exact"/>
        <w:ind w:firstLine="602" w:firstLineChars="200"/>
        <w:rPr>
          <w:rFonts w:ascii="宋体" w:hAnsi="宋体" w:eastAsia="方正仿宋_GBK" w:cs="方正仿宋_GBK"/>
          <w:b/>
          <w:bCs/>
          <w:sz w:val="30"/>
          <w:szCs w:val="30"/>
        </w:rPr>
      </w:pPr>
      <w:r>
        <w:rPr>
          <w:rFonts w:hint="eastAsia" w:ascii="宋体" w:hAnsi="宋体" w:eastAsia="方正仿宋_GBK" w:cs="方正仿宋_GBK"/>
          <w:b/>
          <w:bCs/>
          <w:sz w:val="30"/>
          <w:szCs w:val="30"/>
        </w:rPr>
        <w:t>九、其它</w:t>
      </w:r>
    </w:p>
    <w:p>
      <w:pPr>
        <w:spacing w:line="594" w:lineRule="exact"/>
        <w:ind w:firstLine="600" w:firstLineChars="200"/>
        <w:rPr>
          <w:rFonts w:ascii="宋体" w:hAnsi="宋体" w:eastAsia="方正仿宋_GBK" w:cs="方正仿宋_GBK"/>
          <w:sz w:val="30"/>
          <w:szCs w:val="30"/>
        </w:rPr>
      </w:pPr>
      <w:r>
        <w:rPr>
          <w:rFonts w:hint="eastAsia" w:ascii="宋体" w:hAnsi="宋体" w:eastAsia="方正仿宋_GBK" w:cs="方正仿宋_GBK"/>
          <w:sz w:val="30"/>
          <w:szCs w:val="30"/>
        </w:rPr>
        <w:t>1、为加强工程管理，发包人派驻现场代表一名。承包人派驻工程项目经理</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u w:val="single"/>
          <w:lang w:val="en-US" w:eastAsia="zh-CN"/>
        </w:rPr>
        <w:t xml:space="preserve">  </w:t>
      </w:r>
      <w:r>
        <w:rPr>
          <w:rFonts w:hint="eastAsia" w:ascii="宋体" w:hAnsi="宋体" w:eastAsia="方正仿宋_GBK" w:cs="方正仿宋_GBK"/>
          <w:sz w:val="30"/>
          <w:szCs w:val="30"/>
          <w:u w:val="single"/>
        </w:rPr>
        <w:t xml:space="preserve"> </w:t>
      </w:r>
      <w:r>
        <w:rPr>
          <w:rFonts w:hint="eastAsia" w:ascii="宋体" w:hAnsi="宋体" w:eastAsia="方正仿宋_GBK" w:cs="方正仿宋_GBK"/>
          <w:sz w:val="30"/>
          <w:szCs w:val="30"/>
        </w:rPr>
        <w:t>。</w:t>
      </w:r>
    </w:p>
    <w:p>
      <w:pPr>
        <w:pStyle w:val="8"/>
        <w:spacing w:line="594" w:lineRule="exact"/>
        <w:ind w:firstLine="600" w:firstLineChars="200"/>
        <w:rPr>
          <w:rFonts w:hAnsi="宋体" w:eastAsia="方正仿宋_GBK" w:cs="方正仿宋_GBK"/>
          <w:sz w:val="30"/>
          <w:szCs w:val="30"/>
        </w:rPr>
      </w:pPr>
      <w:r>
        <w:rPr>
          <w:rFonts w:hint="eastAsia" w:hAnsi="宋体" w:eastAsia="方正仿宋_GBK" w:cs="方正仿宋_GBK"/>
          <w:sz w:val="30"/>
          <w:szCs w:val="30"/>
        </w:rPr>
        <w:t>2、工程质量的检测，由承包人报告发包人汇同有关部门对施工质量进行检测。检测的一切费用由承包人负责。</w:t>
      </w:r>
    </w:p>
    <w:p>
      <w:pPr>
        <w:spacing w:line="594" w:lineRule="exact"/>
        <w:ind w:firstLine="602" w:firstLineChars="200"/>
        <w:rPr>
          <w:rFonts w:ascii="宋体" w:hAnsi="宋体" w:eastAsia="方正仿宋_GBK" w:cs="方正仿宋_GBK"/>
          <w:sz w:val="30"/>
          <w:szCs w:val="30"/>
        </w:rPr>
      </w:pPr>
      <w:r>
        <w:rPr>
          <w:rFonts w:hint="eastAsia" w:ascii="宋体" w:hAnsi="宋体" w:eastAsia="方正仿宋_GBK" w:cs="方正仿宋_GBK"/>
          <w:b/>
          <w:sz w:val="30"/>
          <w:szCs w:val="30"/>
        </w:rPr>
        <w:t>十</w:t>
      </w:r>
      <w:r>
        <w:rPr>
          <w:rFonts w:hint="eastAsia" w:ascii="宋体" w:hAnsi="宋体" w:eastAsia="方正仿宋_GBK" w:cs="方正仿宋_GBK"/>
          <w:sz w:val="30"/>
          <w:szCs w:val="30"/>
        </w:rPr>
        <w:t>、本工程的招标文书及补充协议与本合同具有同等法律效力。</w:t>
      </w:r>
    </w:p>
    <w:p>
      <w:pPr>
        <w:spacing w:line="594" w:lineRule="exact"/>
        <w:ind w:firstLine="602" w:firstLineChars="200"/>
        <w:rPr>
          <w:rFonts w:ascii="宋体" w:hAnsi="宋体" w:eastAsia="方正仿宋_GBK" w:cs="方正仿宋_GBK"/>
          <w:sz w:val="30"/>
          <w:szCs w:val="30"/>
        </w:rPr>
      </w:pPr>
      <w:r>
        <w:rPr>
          <w:rFonts w:hint="eastAsia" w:ascii="宋体" w:hAnsi="宋体" w:eastAsia="方正仿宋_GBK" w:cs="方正仿宋_GBK"/>
          <w:b/>
          <w:sz w:val="30"/>
          <w:szCs w:val="30"/>
        </w:rPr>
        <w:t>十一、</w:t>
      </w:r>
      <w:r>
        <w:rPr>
          <w:rFonts w:hint="eastAsia" w:ascii="宋体" w:hAnsi="宋体" w:eastAsia="方正仿宋_GBK" w:cs="方正仿宋_GBK"/>
          <w:sz w:val="30"/>
          <w:szCs w:val="30"/>
        </w:rPr>
        <w:t>本合同一式四份，发包人二份、承包人二份。</w:t>
      </w:r>
    </w:p>
    <w:p>
      <w:pPr>
        <w:spacing w:line="594" w:lineRule="exact"/>
        <w:ind w:firstLine="602" w:firstLineChars="200"/>
        <w:rPr>
          <w:rFonts w:ascii="宋体" w:hAnsi="宋体" w:eastAsia="方正仿宋_GBK" w:cs="方正仿宋_GBK"/>
          <w:sz w:val="30"/>
          <w:szCs w:val="30"/>
        </w:rPr>
      </w:pPr>
      <w:r>
        <w:rPr>
          <w:rFonts w:hint="eastAsia" w:ascii="宋体" w:hAnsi="宋体" w:eastAsia="方正仿宋_GBK" w:cs="方正仿宋_GBK"/>
          <w:b/>
          <w:sz w:val="30"/>
          <w:szCs w:val="30"/>
        </w:rPr>
        <w:t>十二、</w:t>
      </w:r>
      <w:r>
        <w:rPr>
          <w:rFonts w:hint="eastAsia" w:ascii="宋体" w:hAnsi="宋体" w:eastAsia="方正仿宋_GBK" w:cs="方正仿宋_GBK"/>
          <w:sz w:val="30"/>
          <w:szCs w:val="30"/>
        </w:rPr>
        <w:t>未尽事宜，经双方协商后解决</w:t>
      </w:r>
      <w:r>
        <w:rPr>
          <w:rFonts w:hint="eastAsia" w:ascii="宋体" w:hAnsi="宋体" w:eastAsia="方正仿宋_GBK" w:cs="方正仿宋_GBK"/>
          <w:sz w:val="30"/>
          <w:szCs w:val="30"/>
          <w:lang w:eastAsia="zh-CN"/>
        </w:rPr>
        <w:t>；协商不成，任何一方可向重庆市璧山区人民法院起诉</w:t>
      </w:r>
      <w:r>
        <w:rPr>
          <w:rFonts w:hint="eastAsia" w:ascii="宋体" w:hAnsi="宋体" w:eastAsia="方正仿宋_GBK" w:cs="方正仿宋_GBK"/>
          <w:sz w:val="30"/>
          <w:szCs w:val="30"/>
        </w:rPr>
        <w:t>。</w:t>
      </w:r>
    </w:p>
    <w:p>
      <w:pPr>
        <w:spacing w:line="594" w:lineRule="exact"/>
        <w:ind w:firstLine="602" w:firstLineChars="200"/>
        <w:rPr>
          <w:rFonts w:ascii="宋体" w:hAnsi="宋体" w:eastAsia="方正仿宋_GBK" w:cs="方正仿宋_GBK"/>
          <w:sz w:val="30"/>
          <w:szCs w:val="30"/>
        </w:rPr>
      </w:pPr>
      <w:r>
        <w:rPr>
          <w:rFonts w:hint="eastAsia" w:ascii="宋体" w:hAnsi="宋体" w:eastAsia="方正仿宋_GBK" w:cs="方正仿宋_GBK"/>
          <w:b/>
          <w:sz w:val="30"/>
          <w:szCs w:val="30"/>
        </w:rPr>
        <w:t>十三</w:t>
      </w:r>
      <w:r>
        <w:rPr>
          <w:rFonts w:hint="eastAsia" w:ascii="宋体" w:hAnsi="宋体" w:eastAsia="方正仿宋_GBK" w:cs="方正仿宋_GBK"/>
          <w:sz w:val="30"/>
          <w:szCs w:val="30"/>
        </w:rPr>
        <w:t>、承包人交纳工程履约保证金后，双方法定代表人（或授权代理人）签定合同。本合同一式四份，自双方盖章且法定代表人（或授权代理人）签字之日起生效。</w:t>
      </w:r>
    </w:p>
    <w:p>
      <w:pPr>
        <w:spacing w:line="594" w:lineRule="exact"/>
        <w:ind w:firstLine="600" w:firstLineChars="200"/>
        <w:rPr>
          <w:rFonts w:ascii="宋体" w:hAnsi="宋体" w:eastAsia="方正仿宋_GBK" w:cs="方正仿宋_GBK"/>
          <w:sz w:val="30"/>
          <w:szCs w:val="30"/>
        </w:rPr>
      </w:pPr>
      <w:r>
        <w:rPr>
          <w:rFonts w:hint="eastAsia" w:ascii="宋体" w:hAnsi="宋体" w:eastAsia="方正仿宋_GBK" w:cs="方正仿宋_GBK"/>
          <w:sz w:val="30"/>
          <w:szCs w:val="30"/>
        </w:rPr>
        <w:t>（此页以下无正文）</w:t>
      </w:r>
    </w:p>
    <w:p>
      <w:pPr>
        <w:rPr>
          <w:rFonts w:ascii="宋体" w:hAnsi="宋体" w:eastAsia="方正仿宋_GBK" w:cs="方正仿宋_GBK"/>
          <w:sz w:val="30"/>
          <w:szCs w:val="30"/>
        </w:rPr>
      </w:pPr>
    </w:p>
    <w:p>
      <w:pPr>
        <w:rPr>
          <w:rFonts w:ascii="宋体" w:hAnsi="宋体" w:eastAsia="方正仿宋_GBK" w:cs="方正仿宋_GBK"/>
          <w:sz w:val="30"/>
          <w:szCs w:val="30"/>
        </w:rPr>
      </w:pPr>
    </w:p>
    <w:p>
      <w:pPr>
        <w:rPr>
          <w:rFonts w:ascii="宋体" w:hAnsi="宋体" w:eastAsia="方正仿宋_GBK" w:cs="方正仿宋_GBK"/>
          <w:sz w:val="30"/>
          <w:szCs w:val="30"/>
        </w:rPr>
      </w:pPr>
      <w:r>
        <w:rPr>
          <w:rFonts w:hint="eastAsia" w:ascii="宋体" w:hAnsi="宋体" w:eastAsia="方正仿宋_GBK" w:cs="方正仿宋_GBK"/>
          <w:sz w:val="30"/>
          <w:szCs w:val="30"/>
        </w:rPr>
        <w:t>发包人：（盖章）                    承包人：（盖章）</w:t>
      </w:r>
    </w:p>
    <w:p>
      <w:pPr>
        <w:rPr>
          <w:rFonts w:ascii="宋体" w:hAnsi="宋体" w:eastAsia="方正仿宋_GBK" w:cs="方正仿宋_GBK"/>
          <w:sz w:val="30"/>
          <w:szCs w:val="30"/>
        </w:rPr>
      </w:pPr>
    </w:p>
    <w:p>
      <w:pPr>
        <w:rPr>
          <w:rFonts w:ascii="宋体" w:hAnsi="宋体" w:eastAsia="方正仿宋_GBK" w:cs="方正仿宋_GBK"/>
          <w:sz w:val="30"/>
          <w:szCs w:val="30"/>
        </w:rPr>
      </w:pPr>
      <w:r>
        <w:rPr>
          <w:rFonts w:hint="eastAsia" w:ascii="宋体" w:hAnsi="宋体" w:eastAsia="方正仿宋_GBK" w:cs="方正仿宋_GBK"/>
          <w:sz w:val="30"/>
          <w:szCs w:val="30"/>
        </w:rPr>
        <w:t>法定代表人（签章）：    　          法定代表人（签章）：</w:t>
      </w:r>
    </w:p>
    <w:p>
      <w:pPr>
        <w:rPr>
          <w:rFonts w:ascii="宋体" w:hAnsi="宋体" w:eastAsia="方正仿宋_GBK" w:cs="方正仿宋_GBK"/>
          <w:sz w:val="30"/>
          <w:szCs w:val="30"/>
        </w:rPr>
      </w:pPr>
    </w:p>
    <w:p>
      <w:pPr>
        <w:rPr>
          <w:rFonts w:ascii="宋体" w:hAnsi="宋体" w:eastAsia="方正仿宋_GBK" w:cs="方正仿宋_GBK"/>
          <w:sz w:val="30"/>
          <w:szCs w:val="30"/>
        </w:rPr>
      </w:pPr>
      <w:r>
        <w:rPr>
          <w:rFonts w:hint="eastAsia" w:ascii="宋体" w:hAnsi="宋体" w:eastAsia="方正仿宋_GBK" w:cs="方正仿宋_GBK"/>
          <w:sz w:val="30"/>
          <w:szCs w:val="30"/>
        </w:rPr>
        <w:t xml:space="preserve">委托代理人（签字）：　　　　　      委托代理人（签字）： </w:t>
      </w:r>
    </w:p>
    <w:p>
      <w:pPr>
        <w:rPr>
          <w:rFonts w:ascii="宋体" w:hAnsi="宋体" w:eastAsia="方正仿宋_GBK" w:cs="方正仿宋_GBK"/>
          <w:sz w:val="30"/>
          <w:szCs w:val="30"/>
        </w:rPr>
      </w:pPr>
    </w:p>
    <w:p>
      <w:pPr>
        <w:ind w:right="600"/>
        <w:jc w:val="right"/>
      </w:pPr>
      <w:r>
        <w:rPr>
          <w:rFonts w:hint="eastAsia" w:ascii="宋体" w:hAnsi="宋体" w:eastAsia="方正仿宋_GBK" w:cs="方正仿宋_GBK"/>
          <w:sz w:val="30"/>
          <w:szCs w:val="30"/>
          <w:lang w:val="en-US" w:eastAsia="zh-CN"/>
        </w:rPr>
        <w:t>二〇二三</w:t>
      </w:r>
      <w:r>
        <w:rPr>
          <w:rFonts w:hint="eastAsia" w:ascii="宋体" w:hAnsi="宋体" w:eastAsia="方正仿宋_GBK" w:cs="方正仿宋_GBK"/>
          <w:sz w:val="30"/>
          <w:szCs w:val="30"/>
        </w:rPr>
        <w:t>年</w:t>
      </w:r>
      <w:r>
        <w:rPr>
          <w:rFonts w:hint="eastAsia" w:ascii="宋体" w:hAnsi="宋体" w:eastAsia="方正仿宋_GBK" w:cs="方正仿宋_GBK"/>
          <w:sz w:val="30"/>
          <w:szCs w:val="30"/>
          <w:lang w:val="en-US" w:eastAsia="zh-CN"/>
        </w:rPr>
        <w:t xml:space="preserve">  </w:t>
      </w:r>
      <w:r>
        <w:rPr>
          <w:rFonts w:hint="eastAsia" w:ascii="宋体" w:hAnsi="宋体" w:eastAsia="方正仿宋_GBK" w:cs="方正仿宋_GBK"/>
          <w:sz w:val="30"/>
          <w:szCs w:val="30"/>
        </w:rPr>
        <w:t>月</w:t>
      </w:r>
      <w:r>
        <w:rPr>
          <w:rFonts w:hint="eastAsia" w:ascii="宋体" w:hAnsi="宋体" w:eastAsia="方正仿宋_GBK" w:cs="方正仿宋_GBK"/>
          <w:sz w:val="30"/>
          <w:szCs w:val="30"/>
          <w:lang w:val="en-US" w:eastAsia="zh-CN"/>
        </w:rPr>
        <w:t xml:space="preserve">  </w:t>
      </w:r>
      <w:r>
        <w:rPr>
          <w:rFonts w:hint="eastAsia" w:ascii="宋体" w:hAnsi="宋体" w:eastAsia="方正仿宋_GBK" w:cs="方正仿宋_GBK"/>
          <w:sz w:val="30"/>
          <w:szCs w:val="30"/>
        </w:rPr>
        <w:t>日</w:t>
      </w:r>
      <w:bookmarkEnd w:id="0"/>
      <w:bookmarkEnd w:id="1"/>
      <w:bookmarkEnd w:id="2"/>
      <w:bookmarkEnd w:id="3"/>
      <w:bookmarkEnd w:id="4"/>
      <w:bookmarkEnd w:id="5"/>
      <w:bookmarkEnd w:id="6"/>
      <w:bookmarkEnd w:id="7"/>
      <w:bookmarkEnd w:id="8"/>
      <w:bookmarkEnd w:id="9"/>
    </w:p>
    <w:p>
      <w:pPr>
        <w:spacing w:line="540" w:lineRule="exact"/>
      </w:pPr>
    </w:p>
    <w:p>
      <w:pPr>
        <w:rPr>
          <w:rFonts w:ascii="宋体" w:hAnsi="宋体" w:eastAsia="方正仿宋_GBK" w:cs="方正仿宋_GBK"/>
          <w:sz w:val="30"/>
          <w:szCs w:val="30"/>
        </w:rPr>
      </w:pPr>
    </w:p>
    <w:sectPr>
      <w:headerReference r:id="rId8" w:type="first"/>
      <w:footerReference r:id="rId11" w:type="first"/>
      <w:headerReference r:id="rId7" w:type="default"/>
      <w:footerReference r:id="rId9" w:type="default"/>
      <w:footerReference r:id="rId10" w:type="even"/>
      <w:pgSz w:w="11906" w:h="16838"/>
      <w:pgMar w:top="2098" w:right="1531" w:bottom="1984" w:left="1531" w:header="680"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 </w:t>
                          </w:r>
                          <w:r>
                            <w:fldChar w:fldCharType="begin"/>
                          </w:r>
                          <w:r>
                            <w:instrText xml:space="preserve"> PAGE  \* MERGEFORMAT </w:instrText>
                          </w:r>
                          <w:r>
                            <w:fldChar w:fldCharType="separate"/>
                          </w:r>
                          <w:r>
                            <w:t>0</w:t>
                          </w:r>
                          <w:r>
                            <w:fldChar w:fldCharType="end"/>
                          </w:r>
                          <w:r>
                            <w:t xml:space="preserve"> —</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wUxMoBAACc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TwUxMoBAACcAwAADgAAAAAAAAABACAAAAAeAQAAZHJzL2Uyb0Rv&#10;Yy54bWxQSwUGAAAAAAYABgBZAQAAWgUAAAAA&#10;">
              <v:fill on="f" focussize="0,0"/>
              <v:stroke on="f"/>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17"/>
                            </w:rPr>
                          </w:pPr>
                          <w:r>
                            <w:rPr>
                              <w:rStyle w:val="17"/>
                            </w:rPr>
                            <w:t xml:space="preserve">— </w:t>
                          </w:r>
                          <w:r>
                            <w:rPr>
                              <w:rStyle w:val="17"/>
                            </w:rPr>
                            <w:fldChar w:fldCharType="begin"/>
                          </w:r>
                          <w:r>
                            <w:rPr>
                              <w:rStyle w:val="17"/>
                            </w:rPr>
                            <w:instrText xml:space="preserve"> PAGE  \* MERGEFORMAT </w:instrText>
                          </w:r>
                          <w:r>
                            <w:rPr>
                              <w:rStyle w:val="17"/>
                            </w:rPr>
                            <w:fldChar w:fldCharType="separate"/>
                          </w:r>
                          <w:r>
                            <w:rPr>
                              <w:rStyle w:val="17"/>
                            </w:rPr>
                            <w:t>2</w:t>
                          </w:r>
                          <w:r>
                            <w:rPr>
                              <w:rStyle w:val="17"/>
                            </w:rPr>
                            <w:fldChar w:fldCharType="end"/>
                          </w:r>
                          <w:r>
                            <w:rPr>
                              <w:rStyle w:val="17"/>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11"/>
                      <w:rPr>
                        <w:rStyle w:val="17"/>
                      </w:rPr>
                    </w:pPr>
                    <w:r>
                      <w:rPr>
                        <w:rStyle w:val="17"/>
                      </w:rPr>
                      <w:t xml:space="preserve">— </w:t>
                    </w:r>
                    <w:r>
                      <w:rPr>
                        <w:rStyle w:val="17"/>
                      </w:rPr>
                      <w:fldChar w:fldCharType="begin"/>
                    </w:r>
                    <w:r>
                      <w:rPr>
                        <w:rStyle w:val="17"/>
                      </w:rPr>
                      <w:instrText xml:space="preserve"> PAGE  \* MERGEFORMAT </w:instrText>
                    </w:r>
                    <w:r>
                      <w:rPr>
                        <w:rStyle w:val="17"/>
                      </w:rPr>
                      <w:fldChar w:fldCharType="separate"/>
                    </w:r>
                    <w:r>
                      <w:rPr>
                        <w:rStyle w:val="17"/>
                      </w:rPr>
                      <w:t>2</w:t>
                    </w:r>
                    <w:r>
                      <w:rPr>
                        <w:rStyle w:val="17"/>
                      </w:rPr>
                      <w:fldChar w:fldCharType="end"/>
                    </w:r>
                    <w:r>
                      <w:rPr>
                        <w:rStyle w:val="17"/>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mX8sBAACc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VmVWqAtQYeJjwNTUf/B9zp78gM5MvFfR5i9SIhhHfU8XfWWfiMiPylVZFhgSGJsviMOenocI6aP0&#10;lmSjphEHOOjKj/eQxtQ5JVdz/k4bg35eGfePAzGzh+Xexx6zlfpdPzW+880J+XQ4+5o6XHVKzCeH&#10;0uY1mY04G7vZOISo9+2wR7kehNtDwiaG3nKFEXYqjEMb2E0Llrfi+X3Ievqp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fupl/LAQAAnAMAAA4AAAAAAAAAAQAgAAAAHgEAAGRycy9lMm9E&#10;b2MueG1sUEsFBgAAAAAGAAYAWQEAAFsFA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ascii="方正楷体_GBK" w:eastAsia="方正楷体_GBK"/>
        <w:sz w:val="28"/>
        <w:szCs w:val="2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楷体_GBK" w:eastAsia="方正楷体_GBK"/>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ascii="方正楷体_GBK" w:eastAsia="方正楷体_GBK"/>
        <w:sz w:val="28"/>
        <w:szCs w:val="28"/>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方正仿宋_GBK" w:hAnsi="方正仿宋_GBK" w:eastAsia="方正仿宋_GBK" w:cs="方正仿宋_GBK"/>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BA758"/>
    <w:multiLevelType w:val="singleLevel"/>
    <w:tmpl w:val="56EBA75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ZjU2MTQwYTZlMjdjYjA4NGQ5ZjJhMDI1NjZhNWEifQ=="/>
  </w:docVars>
  <w:rsids>
    <w:rsidRoot w:val="009A24FC"/>
    <w:rsid w:val="000007E9"/>
    <w:rsid w:val="00001EAE"/>
    <w:rsid w:val="000442DB"/>
    <w:rsid w:val="000505E2"/>
    <w:rsid w:val="000515F8"/>
    <w:rsid w:val="00052289"/>
    <w:rsid w:val="00057EDA"/>
    <w:rsid w:val="00062761"/>
    <w:rsid w:val="000653FF"/>
    <w:rsid w:val="00081C3D"/>
    <w:rsid w:val="000864D4"/>
    <w:rsid w:val="00090116"/>
    <w:rsid w:val="00092F47"/>
    <w:rsid w:val="000A7074"/>
    <w:rsid w:val="000B0828"/>
    <w:rsid w:val="000E32CD"/>
    <w:rsid w:val="000E628B"/>
    <w:rsid w:val="00102412"/>
    <w:rsid w:val="00102E01"/>
    <w:rsid w:val="00104037"/>
    <w:rsid w:val="001062E0"/>
    <w:rsid w:val="001128CE"/>
    <w:rsid w:val="00113298"/>
    <w:rsid w:val="00116352"/>
    <w:rsid w:val="00117100"/>
    <w:rsid w:val="00120E6B"/>
    <w:rsid w:val="0013487E"/>
    <w:rsid w:val="00145F26"/>
    <w:rsid w:val="001608EC"/>
    <w:rsid w:val="00162E33"/>
    <w:rsid w:val="001674DA"/>
    <w:rsid w:val="00173F23"/>
    <w:rsid w:val="00177B39"/>
    <w:rsid w:val="00183B6D"/>
    <w:rsid w:val="00185BC2"/>
    <w:rsid w:val="0019073D"/>
    <w:rsid w:val="00193F69"/>
    <w:rsid w:val="001C410C"/>
    <w:rsid w:val="001C4D31"/>
    <w:rsid w:val="001D6021"/>
    <w:rsid w:val="001E008F"/>
    <w:rsid w:val="001F17A6"/>
    <w:rsid w:val="00227B46"/>
    <w:rsid w:val="002524DF"/>
    <w:rsid w:val="00255EC2"/>
    <w:rsid w:val="002660D2"/>
    <w:rsid w:val="002772C9"/>
    <w:rsid w:val="0029240A"/>
    <w:rsid w:val="0029252F"/>
    <w:rsid w:val="002A5681"/>
    <w:rsid w:val="002B1CB2"/>
    <w:rsid w:val="002B4784"/>
    <w:rsid w:val="002B687F"/>
    <w:rsid w:val="002C04BE"/>
    <w:rsid w:val="002C23DF"/>
    <w:rsid w:val="002D18F7"/>
    <w:rsid w:val="002E3DC7"/>
    <w:rsid w:val="002E7CD5"/>
    <w:rsid w:val="002F0355"/>
    <w:rsid w:val="002F5627"/>
    <w:rsid w:val="00306FEF"/>
    <w:rsid w:val="00310B37"/>
    <w:rsid w:val="00311402"/>
    <w:rsid w:val="00326853"/>
    <w:rsid w:val="0033200F"/>
    <w:rsid w:val="003351A1"/>
    <w:rsid w:val="00335426"/>
    <w:rsid w:val="00341E2B"/>
    <w:rsid w:val="00345273"/>
    <w:rsid w:val="00347222"/>
    <w:rsid w:val="0035041F"/>
    <w:rsid w:val="00353EB8"/>
    <w:rsid w:val="00361A54"/>
    <w:rsid w:val="003622B8"/>
    <w:rsid w:val="00365BFE"/>
    <w:rsid w:val="0036700F"/>
    <w:rsid w:val="00384F43"/>
    <w:rsid w:val="003B67FA"/>
    <w:rsid w:val="003B6EA1"/>
    <w:rsid w:val="003C6D24"/>
    <w:rsid w:val="003E0096"/>
    <w:rsid w:val="003F1587"/>
    <w:rsid w:val="003F30E9"/>
    <w:rsid w:val="004253B4"/>
    <w:rsid w:val="00433B93"/>
    <w:rsid w:val="00436C9A"/>
    <w:rsid w:val="004622C7"/>
    <w:rsid w:val="004703D5"/>
    <w:rsid w:val="00471AA4"/>
    <w:rsid w:val="004740B9"/>
    <w:rsid w:val="0047512E"/>
    <w:rsid w:val="00475C0C"/>
    <w:rsid w:val="00481BD2"/>
    <w:rsid w:val="00485ED1"/>
    <w:rsid w:val="004A5F44"/>
    <w:rsid w:val="004A644F"/>
    <w:rsid w:val="004A73C2"/>
    <w:rsid w:val="004B6E36"/>
    <w:rsid w:val="004C4E48"/>
    <w:rsid w:val="004D45C1"/>
    <w:rsid w:val="004D66E9"/>
    <w:rsid w:val="004D74AC"/>
    <w:rsid w:val="004E1DB1"/>
    <w:rsid w:val="004E22E7"/>
    <w:rsid w:val="004E2FED"/>
    <w:rsid w:val="004F2B2D"/>
    <w:rsid w:val="004F6C7D"/>
    <w:rsid w:val="00521399"/>
    <w:rsid w:val="00576B95"/>
    <w:rsid w:val="0058257A"/>
    <w:rsid w:val="00583069"/>
    <w:rsid w:val="00586984"/>
    <w:rsid w:val="00592CBD"/>
    <w:rsid w:val="00594BC8"/>
    <w:rsid w:val="0059683F"/>
    <w:rsid w:val="005A06D2"/>
    <w:rsid w:val="005A7B20"/>
    <w:rsid w:val="005B61BE"/>
    <w:rsid w:val="005B7A2B"/>
    <w:rsid w:val="005C06AE"/>
    <w:rsid w:val="005C1112"/>
    <w:rsid w:val="005C321C"/>
    <w:rsid w:val="005C68A1"/>
    <w:rsid w:val="005C6CBB"/>
    <w:rsid w:val="005C79FE"/>
    <w:rsid w:val="005D470F"/>
    <w:rsid w:val="005E3820"/>
    <w:rsid w:val="005F1242"/>
    <w:rsid w:val="00620682"/>
    <w:rsid w:val="0062229E"/>
    <w:rsid w:val="00623BCD"/>
    <w:rsid w:val="0063402B"/>
    <w:rsid w:val="00647B7D"/>
    <w:rsid w:val="006557B0"/>
    <w:rsid w:val="0066482F"/>
    <w:rsid w:val="0067425C"/>
    <w:rsid w:val="00683686"/>
    <w:rsid w:val="0069556D"/>
    <w:rsid w:val="006A6E12"/>
    <w:rsid w:val="006B5980"/>
    <w:rsid w:val="006D1152"/>
    <w:rsid w:val="006D4CB9"/>
    <w:rsid w:val="006E084D"/>
    <w:rsid w:val="006E5788"/>
    <w:rsid w:val="006F4678"/>
    <w:rsid w:val="0070103F"/>
    <w:rsid w:val="0070784C"/>
    <w:rsid w:val="00707B2E"/>
    <w:rsid w:val="00714F22"/>
    <w:rsid w:val="007156D1"/>
    <w:rsid w:val="00720698"/>
    <w:rsid w:val="00722FA0"/>
    <w:rsid w:val="0072783F"/>
    <w:rsid w:val="00735610"/>
    <w:rsid w:val="007357FB"/>
    <w:rsid w:val="007606A9"/>
    <w:rsid w:val="0076148A"/>
    <w:rsid w:val="00767EC3"/>
    <w:rsid w:val="00773865"/>
    <w:rsid w:val="00781395"/>
    <w:rsid w:val="00781B8F"/>
    <w:rsid w:val="00794C7C"/>
    <w:rsid w:val="007A02E3"/>
    <w:rsid w:val="007A6156"/>
    <w:rsid w:val="007B3DC7"/>
    <w:rsid w:val="007C29DB"/>
    <w:rsid w:val="007C607C"/>
    <w:rsid w:val="007C7A94"/>
    <w:rsid w:val="007F0064"/>
    <w:rsid w:val="007F4604"/>
    <w:rsid w:val="008002EE"/>
    <w:rsid w:val="00806F4F"/>
    <w:rsid w:val="0082631E"/>
    <w:rsid w:val="008326E0"/>
    <w:rsid w:val="00833739"/>
    <w:rsid w:val="00834C0E"/>
    <w:rsid w:val="00837FD7"/>
    <w:rsid w:val="00844EC8"/>
    <w:rsid w:val="00846E58"/>
    <w:rsid w:val="0085252A"/>
    <w:rsid w:val="00855A76"/>
    <w:rsid w:val="00860834"/>
    <w:rsid w:val="008669CA"/>
    <w:rsid w:val="008864BC"/>
    <w:rsid w:val="008A1D4C"/>
    <w:rsid w:val="008A280D"/>
    <w:rsid w:val="008A2D4C"/>
    <w:rsid w:val="008B0CD3"/>
    <w:rsid w:val="008B44DD"/>
    <w:rsid w:val="008C6351"/>
    <w:rsid w:val="008C679E"/>
    <w:rsid w:val="008E1325"/>
    <w:rsid w:val="008E6C64"/>
    <w:rsid w:val="008F5D48"/>
    <w:rsid w:val="00900318"/>
    <w:rsid w:val="00912EF1"/>
    <w:rsid w:val="00920026"/>
    <w:rsid w:val="0094136B"/>
    <w:rsid w:val="00952A23"/>
    <w:rsid w:val="009659C2"/>
    <w:rsid w:val="00974A3D"/>
    <w:rsid w:val="0098536E"/>
    <w:rsid w:val="00987FDA"/>
    <w:rsid w:val="00991D98"/>
    <w:rsid w:val="009A0D96"/>
    <w:rsid w:val="009A2055"/>
    <w:rsid w:val="009A24FC"/>
    <w:rsid w:val="009A6F73"/>
    <w:rsid w:val="009C5876"/>
    <w:rsid w:val="009E20A6"/>
    <w:rsid w:val="009F2807"/>
    <w:rsid w:val="00A025B1"/>
    <w:rsid w:val="00A101C0"/>
    <w:rsid w:val="00A1105D"/>
    <w:rsid w:val="00A15DAE"/>
    <w:rsid w:val="00A21CA6"/>
    <w:rsid w:val="00A2251E"/>
    <w:rsid w:val="00A310D8"/>
    <w:rsid w:val="00A32BDA"/>
    <w:rsid w:val="00A350FB"/>
    <w:rsid w:val="00A36F6D"/>
    <w:rsid w:val="00A370FA"/>
    <w:rsid w:val="00A47EFE"/>
    <w:rsid w:val="00A50B94"/>
    <w:rsid w:val="00A57708"/>
    <w:rsid w:val="00A57CA2"/>
    <w:rsid w:val="00A62BF9"/>
    <w:rsid w:val="00A662E2"/>
    <w:rsid w:val="00A670D6"/>
    <w:rsid w:val="00A7670F"/>
    <w:rsid w:val="00A81E86"/>
    <w:rsid w:val="00A82909"/>
    <w:rsid w:val="00A940A7"/>
    <w:rsid w:val="00AA485A"/>
    <w:rsid w:val="00AB0A4A"/>
    <w:rsid w:val="00AB7E41"/>
    <w:rsid w:val="00AC230F"/>
    <w:rsid w:val="00AE160E"/>
    <w:rsid w:val="00AE4A9C"/>
    <w:rsid w:val="00AF0423"/>
    <w:rsid w:val="00AF544A"/>
    <w:rsid w:val="00B01498"/>
    <w:rsid w:val="00B0193E"/>
    <w:rsid w:val="00B05573"/>
    <w:rsid w:val="00B17761"/>
    <w:rsid w:val="00B36710"/>
    <w:rsid w:val="00B42DF8"/>
    <w:rsid w:val="00B42EB7"/>
    <w:rsid w:val="00B57D53"/>
    <w:rsid w:val="00B7045F"/>
    <w:rsid w:val="00B70DA3"/>
    <w:rsid w:val="00B72142"/>
    <w:rsid w:val="00B72F9F"/>
    <w:rsid w:val="00B7526E"/>
    <w:rsid w:val="00B777EC"/>
    <w:rsid w:val="00B82F84"/>
    <w:rsid w:val="00B83117"/>
    <w:rsid w:val="00B83953"/>
    <w:rsid w:val="00B841F8"/>
    <w:rsid w:val="00B87A7F"/>
    <w:rsid w:val="00BB4C98"/>
    <w:rsid w:val="00BB60AB"/>
    <w:rsid w:val="00BC5404"/>
    <w:rsid w:val="00BD14DA"/>
    <w:rsid w:val="00BD3CCB"/>
    <w:rsid w:val="00BD4282"/>
    <w:rsid w:val="00BE035F"/>
    <w:rsid w:val="00BF5FA7"/>
    <w:rsid w:val="00C11677"/>
    <w:rsid w:val="00C170E4"/>
    <w:rsid w:val="00C24450"/>
    <w:rsid w:val="00C51A7E"/>
    <w:rsid w:val="00C562B2"/>
    <w:rsid w:val="00C904E3"/>
    <w:rsid w:val="00C905D6"/>
    <w:rsid w:val="00CA4941"/>
    <w:rsid w:val="00CB76EF"/>
    <w:rsid w:val="00CC2CBA"/>
    <w:rsid w:val="00CC4076"/>
    <w:rsid w:val="00CC4A95"/>
    <w:rsid w:val="00CD3AF7"/>
    <w:rsid w:val="00CE4D9E"/>
    <w:rsid w:val="00CE5B6A"/>
    <w:rsid w:val="00D443C7"/>
    <w:rsid w:val="00D46F33"/>
    <w:rsid w:val="00D476A3"/>
    <w:rsid w:val="00D65276"/>
    <w:rsid w:val="00D7298C"/>
    <w:rsid w:val="00D74DA9"/>
    <w:rsid w:val="00D93EBC"/>
    <w:rsid w:val="00DB044C"/>
    <w:rsid w:val="00DB2EC4"/>
    <w:rsid w:val="00DC0FE5"/>
    <w:rsid w:val="00DD54EF"/>
    <w:rsid w:val="00DD565F"/>
    <w:rsid w:val="00DE1287"/>
    <w:rsid w:val="00E020D4"/>
    <w:rsid w:val="00E21195"/>
    <w:rsid w:val="00E37EFB"/>
    <w:rsid w:val="00E43AE5"/>
    <w:rsid w:val="00E47A81"/>
    <w:rsid w:val="00E5763E"/>
    <w:rsid w:val="00E57E92"/>
    <w:rsid w:val="00E62262"/>
    <w:rsid w:val="00E7002F"/>
    <w:rsid w:val="00E700FA"/>
    <w:rsid w:val="00E81F12"/>
    <w:rsid w:val="00E95F88"/>
    <w:rsid w:val="00EA3EE0"/>
    <w:rsid w:val="00EC1ECD"/>
    <w:rsid w:val="00ED78B0"/>
    <w:rsid w:val="00EE3F33"/>
    <w:rsid w:val="00EE627F"/>
    <w:rsid w:val="00EF0457"/>
    <w:rsid w:val="00EF30FE"/>
    <w:rsid w:val="00EF7230"/>
    <w:rsid w:val="00F036AC"/>
    <w:rsid w:val="00F0653D"/>
    <w:rsid w:val="00F209A4"/>
    <w:rsid w:val="00F2102D"/>
    <w:rsid w:val="00F25811"/>
    <w:rsid w:val="00F3701E"/>
    <w:rsid w:val="00F422C8"/>
    <w:rsid w:val="00F429B3"/>
    <w:rsid w:val="00F43B45"/>
    <w:rsid w:val="00F473BB"/>
    <w:rsid w:val="00F54387"/>
    <w:rsid w:val="00F55BDC"/>
    <w:rsid w:val="00F65336"/>
    <w:rsid w:val="00FA4F99"/>
    <w:rsid w:val="00FB1C06"/>
    <w:rsid w:val="00FB3A1C"/>
    <w:rsid w:val="00FB7DA2"/>
    <w:rsid w:val="00FC0D3F"/>
    <w:rsid w:val="00FC1DF0"/>
    <w:rsid w:val="00FC6394"/>
    <w:rsid w:val="00FD55CE"/>
    <w:rsid w:val="00FE18F7"/>
    <w:rsid w:val="00FE3B9E"/>
    <w:rsid w:val="00FE4765"/>
    <w:rsid w:val="00FE5B38"/>
    <w:rsid w:val="00FE79E0"/>
    <w:rsid w:val="00FF592A"/>
    <w:rsid w:val="0183650E"/>
    <w:rsid w:val="018D0089"/>
    <w:rsid w:val="03E5345A"/>
    <w:rsid w:val="04A14F59"/>
    <w:rsid w:val="04B25F9F"/>
    <w:rsid w:val="04D22A8B"/>
    <w:rsid w:val="05B36305"/>
    <w:rsid w:val="06157AD8"/>
    <w:rsid w:val="069D7B30"/>
    <w:rsid w:val="06DA36E6"/>
    <w:rsid w:val="088F4CBC"/>
    <w:rsid w:val="0955314D"/>
    <w:rsid w:val="0AA26664"/>
    <w:rsid w:val="0D0E001F"/>
    <w:rsid w:val="0E4A4418"/>
    <w:rsid w:val="0FCF7A0F"/>
    <w:rsid w:val="0FD86C9E"/>
    <w:rsid w:val="102567E8"/>
    <w:rsid w:val="12543AB7"/>
    <w:rsid w:val="13181508"/>
    <w:rsid w:val="14C15684"/>
    <w:rsid w:val="15B61D16"/>
    <w:rsid w:val="160E21CF"/>
    <w:rsid w:val="16800E8A"/>
    <w:rsid w:val="171F1269"/>
    <w:rsid w:val="173553F0"/>
    <w:rsid w:val="19393580"/>
    <w:rsid w:val="1982624C"/>
    <w:rsid w:val="19FB6BA4"/>
    <w:rsid w:val="1A7F18ED"/>
    <w:rsid w:val="1CAF7AC6"/>
    <w:rsid w:val="1F971487"/>
    <w:rsid w:val="20FB5952"/>
    <w:rsid w:val="227746E0"/>
    <w:rsid w:val="230F0E8A"/>
    <w:rsid w:val="23B274E4"/>
    <w:rsid w:val="26F31112"/>
    <w:rsid w:val="270949A5"/>
    <w:rsid w:val="275075B3"/>
    <w:rsid w:val="28A62631"/>
    <w:rsid w:val="28B40D42"/>
    <w:rsid w:val="2A806DDB"/>
    <w:rsid w:val="2AC457F4"/>
    <w:rsid w:val="2B1F6F41"/>
    <w:rsid w:val="2BAE6173"/>
    <w:rsid w:val="2BEE0681"/>
    <w:rsid w:val="2CD555AC"/>
    <w:rsid w:val="2DE426E9"/>
    <w:rsid w:val="2F5C4FE7"/>
    <w:rsid w:val="2FB03F14"/>
    <w:rsid w:val="2FC20A65"/>
    <w:rsid w:val="3004660E"/>
    <w:rsid w:val="31666290"/>
    <w:rsid w:val="31C33D33"/>
    <w:rsid w:val="32400948"/>
    <w:rsid w:val="325C09A6"/>
    <w:rsid w:val="3338549E"/>
    <w:rsid w:val="33AB7656"/>
    <w:rsid w:val="38875BF4"/>
    <w:rsid w:val="39E63279"/>
    <w:rsid w:val="3A5730AB"/>
    <w:rsid w:val="3A7F56C8"/>
    <w:rsid w:val="3ADA5671"/>
    <w:rsid w:val="3C033FA1"/>
    <w:rsid w:val="3C1C362D"/>
    <w:rsid w:val="3D17649C"/>
    <w:rsid w:val="3E2E60DA"/>
    <w:rsid w:val="3E8679A8"/>
    <w:rsid w:val="3F9A0A76"/>
    <w:rsid w:val="3FAF6942"/>
    <w:rsid w:val="3FBD4F66"/>
    <w:rsid w:val="403112B6"/>
    <w:rsid w:val="408C19CF"/>
    <w:rsid w:val="412361C4"/>
    <w:rsid w:val="415F7D1F"/>
    <w:rsid w:val="416516B5"/>
    <w:rsid w:val="419339CE"/>
    <w:rsid w:val="41FB7E4E"/>
    <w:rsid w:val="435C3C83"/>
    <w:rsid w:val="43E74CEE"/>
    <w:rsid w:val="45974B94"/>
    <w:rsid w:val="46BA75EC"/>
    <w:rsid w:val="472B1D83"/>
    <w:rsid w:val="48D0282C"/>
    <w:rsid w:val="495F336F"/>
    <w:rsid w:val="49CD147E"/>
    <w:rsid w:val="4A402D97"/>
    <w:rsid w:val="4B552AA6"/>
    <w:rsid w:val="4BCE0CCC"/>
    <w:rsid w:val="4C703D78"/>
    <w:rsid w:val="4CAA3CF8"/>
    <w:rsid w:val="4CD700C2"/>
    <w:rsid w:val="4DCA589B"/>
    <w:rsid w:val="4E832C5D"/>
    <w:rsid w:val="50E21438"/>
    <w:rsid w:val="51030AC8"/>
    <w:rsid w:val="51E7125F"/>
    <w:rsid w:val="51F50BE4"/>
    <w:rsid w:val="53B34731"/>
    <w:rsid w:val="54483C93"/>
    <w:rsid w:val="55904789"/>
    <w:rsid w:val="57480694"/>
    <w:rsid w:val="5794409B"/>
    <w:rsid w:val="57E93B1F"/>
    <w:rsid w:val="58F10BED"/>
    <w:rsid w:val="59E2253B"/>
    <w:rsid w:val="5BDC74A3"/>
    <w:rsid w:val="5C9F483D"/>
    <w:rsid w:val="5CE83C82"/>
    <w:rsid w:val="5D1E1C28"/>
    <w:rsid w:val="5D2D4B87"/>
    <w:rsid w:val="5E6E237B"/>
    <w:rsid w:val="5E900956"/>
    <w:rsid w:val="5F1338E5"/>
    <w:rsid w:val="5F163CE0"/>
    <w:rsid w:val="5F5D3118"/>
    <w:rsid w:val="5F6E6E2A"/>
    <w:rsid w:val="5FF67C26"/>
    <w:rsid w:val="62857F41"/>
    <w:rsid w:val="650C2329"/>
    <w:rsid w:val="672326AB"/>
    <w:rsid w:val="6A2F2ADD"/>
    <w:rsid w:val="6AD9381C"/>
    <w:rsid w:val="6B183069"/>
    <w:rsid w:val="6BC70246"/>
    <w:rsid w:val="6CDA3D2E"/>
    <w:rsid w:val="6D051B7E"/>
    <w:rsid w:val="6FB2215E"/>
    <w:rsid w:val="6FFA46C8"/>
    <w:rsid w:val="70ED62AF"/>
    <w:rsid w:val="716B489A"/>
    <w:rsid w:val="722A4BF6"/>
    <w:rsid w:val="72566808"/>
    <w:rsid w:val="731623D2"/>
    <w:rsid w:val="733867CB"/>
    <w:rsid w:val="73B175F5"/>
    <w:rsid w:val="73ED3FDE"/>
    <w:rsid w:val="7447481A"/>
    <w:rsid w:val="747405C4"/>
    <w:rsid w:val="74A279FF"/>
    <w:rsid w:val="75035840"/>
    <w:rsid w:val="75D955A3"/>
    <w:rsid w:val="76B82792"/>
    <w:rsid w:val="78054D74"/>
    <w:rsid w:val="780D4FB8"/>
    <w:rsid w:val="78755EE0"/>
    <w:rsid w:val="78810918"/>
    <w:rsid w:val="78CF4C59"/>
    <w:rsid w:val="79AE1B80"/>
    <w:rsid w:val="79C60E0B"/>
    <w:rsid w:val="7A164EDE"/>
    <w:rsid w:val="7A265FCF"/>
    <w:rsid w:val="7A3D50C0"/>
    <w:rsid w:val="7B7D7929"/>
    <w:rsid w:val="7BBE1183"/>
    <w:rsid w:val="7C533BE5"/>
    <w:rsid w:val="7D5427F7"/>
    <w:rsid w:val="7F3B2B24"/>
    <w:rsid w:val="7F612495"/>
    <w:rsid w:val="9CFF11C5"/>
    <w:rsid w:val="AC5F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tabs>
        <w:tab w:val="left" w:pos="888"/>
      </w:tabs>
      <w:spacing w:before="260" w:after="260" w:line="416" w:lineRule="auto"/>
      <w:ind w:left="-104" w:firstLine="284"/>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rPr>
      <w:rFonts w:ascii="宋体" w:hAnsi="宋体"/>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link w:val="21"/>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rFonts w:eastAsia="方正仿宋_GBK"/>
      <w:sz w:val="2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widowControl/>
      <w:tabs>
        <w:tab w:val="left" w:pos="8190"/>
      </w:tabs>
      <w:spacing w:before="120" w:line="460" w:lineRule="exact"/>
      <w:ind w:firstLine="637" w:firstLineChars="199"/>
    </w:pPr>
    <w:rPr>
      <w:rFonts w:ascii="仿宋_GB2312" w:hAnsi="宋体" w:eastAsia="仿宋_GB2312"/>
      <w:bCs/>
      <w:iCs/>
      <w:kern w:val="0"/>
      <w:sz w:val="32"/>
      <w:szCs w:val="32"/>
    </w:rPr>
  </w:style>
  <w:style w:type="character" w:styleId="16">
    <w:name w:val="Strong"/>
    <w:basedOn w:val="15"/>
    <w:qFormat/>
    <w:uiPriority w:val="22"/>
    <w:rPr>
      <w:b/>
      <w:bCs/>
    </w:rPr>
  </w:style>
  <w:style w:type="character" w:styleId="17">
    <w:name w:val="page number"/>
    <w:basedOn w:val="15"/>
    <w:qFormat/>
    <w:uiPriority w:val="0"/>
  </w:style>
  <w:style w:type="paragraph" w:customStyle="1" w:styleId="18">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Char"/>
    <w:basedOn w:val="1"/>
    <w:qFormat/>
    <w:uiPriority w:val="0"/>
    <w:rPr>
      <w:rFonts w:ascii="Tahoma" w:hAnsi="Tahoma"/>
      <w:sz w:val="24"/>
      <w:szCs w:val="20"/>
    </w:rPr>
  </w:style>
  <w:style w:type="paragraph" w:customStyle="1" w:styleId="20">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character" w:customStyle="1" w:styleId="21">
    <w:name w:val="纯文本 Char"/>
    <w:link w:val="8"/>
    <w:qFormat/>
    <w:uiPriority w:val="0"/>
    <w:rPr>
      <w:rFonts w:ascii="宋体" w:hAnsi="Courier New" w:eastAsia="宋体" w:cs="Courier New"/>
      <w:kern w:val="2"/>
      <w:sz w:val="21"/>
      <w:szCs w:val="21"/>
      <w:lang w:val="en-US" w:eastAsia="zh-CN" w:bidi="ar-SA"/>
    </w:rPr>
  </w:style>
  <w:style w:type="paragraph" w:customStyle="1" w:styleId="22">
    <w:name w:val="普通(网站)1"/>
    <w:basedOn w:val="1"/>
    <w:qFormat/>
    <w:uiPriority w:val="0"/>
    <w:pPr>
      <w:widowControl/>
      <w:jc w:val="left"/>
    </w:pPr>
    <w:rPr>
      <w:rFonts w:ascii="宋体" w:hAnsi="宋体" w:cs="宋体"/>
      <w:kern w:val="0"/>
      <w:sz w:val="24"/>
    </w:rPr>
  </w:style>
  <w:style w:type="character" w:customStyle="1" w:styleId="23">
    <w:name w:val="Plain Text Char"/>
    <w:semiHidden/>
    <w:qFormat/>
    <w:locked/>
    <w:uiPriority w:val="0"/>
    <w:rPr>
      <w:rFonts w:ascii="宋体" w:hAnsi="Courier New" w:eastAsia="仿宋_GB2312" w:cs="宋体"/>
      <w:kern w:val="0"/>
      <w:sz w:val="21"/>
      <w:szCs w:val="21"/>
      <w:lang w:eastAsia="en-US"/>
    </w:rPr>
  </w:style>
  <w:style w:type="paragraph" w:customStyle="1" w:styleId="24">
    <w:name w:val="列出段落1"/>
    <w:basedOn w:val="1"/>
    <w:qFormat/>
    <w:uiPriority w:val="0"/>
    <w:pPr>
      <w:ind w:firstLine="200" w:firstLineChars="200"/>
    </w:pPr>
    <w:rPr>
      <w:rFonts w:ascii="Calibri" w:hAnsi="Calibri"/>
    </w:rPr>
  </w:style>
  <w:style w:type="character" w:customStyle="1" w:styleId="25">
    <w:name w:val="页脚 Char"/>
    <w:basedOn w:val="15"/>
    <w:link w:val="11"/>
    <w:qFormat/>
    <w:uiPriority w:val="99"/>
    <w:rPr>
      <w:rFonts w:eastAsia="方正仿宋_GBK"/>
      <w:kern w:val="2"/>
      <w:sz w:val="2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璧山东丰电脑</Company>
  <Pages>10</Pages>
  <Words>594</Words>
  <Characters>3392</Characters>
  <Lines>28</Lines>
  <Paragraphs>7</Paragraphs>
  <TotalTime>46</TotalTime>
  <ScaleCrop>false</ScaleCrop>
  <LinksUpToDate>false</LinksUpToDate>
  <CharactersWithSpaces>3979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2021-03-15T15:18:00Z</dcterms:created>
  <dc:creator>方正科技</dc:creator>
  <cp:lastModifiedBy>HHQ</cp:lastModifiedBy>
  <cp:lastPrinted>2021-05-17T07:56:00Z</cp:lastPrinted>
  <dcterms:modified xsi:type="dcterms:W3CDTF">2023-05-11T02:04:17Z</dcterms:modified>
  <dc:title>工程名称：璧山县青杠杨柳西侧标准厂房土地整治工程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A63B16C6F56045FDBFA39FDCCEB19F2B_13</vt:lpwstr>
  </property>
</Properties>
</file>