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D80B4">
      <w:pPr>
        <w:pStyle w:val="4"/>
        <w:rPr>
          <w:rFonts w:ascii="Times New Roman"/>
          <w:sz w:val="20"/>
          <w:highlight w:val="none"/>
        </w:rPr>
      </w:pPr>
    </w:p>
    <w:p w14:paraId="111B75C8">
      <w:pPr>
        <w:pStyle w:val="4"/>
        <w:spacing w:before="10"/>
        <w:rPr>
          <w:rFonts w:ascii="Times New Roman"/>
          <w:sz w:val="15"/>
          <w:highlight w:val="none"/>
        </w:rPr>
      </w:pPr>
    </w:p>
    <w:p w14:paraId="690E825E">
      <w:pPr>
        <w:pStyle w:val="2"/>
        <w:spacing w:before="58"/>
        <w:ind w:left="0" w:right="8159"/>
        <w:rPr>
          <w:szCs w:val="22"/>
          <w:highlight w:val="none"/>
        </w:rPr>
      </w:pPr>
      <w:r>
        <w:rPr>
          <w:rFonts w:hint="eastAsia"/>
          <w:highlight w:val="none"/>
          <w:lang w:val="en-US"/>
        </w:rPr>
        <w:t xml:space="preserve">                                </w:t>
      </w:r>
      <w:r>
        <w:rPr>
          <w:rFonts w:hint="eastAsia"/>
          <w:highlight w:val="none"/>
          <w:lang w:val="en-US" w:eastAsia="zh-CN"/>
        </w:rPr>
        <w:t>璧山区</w:t>
      </w:r>
      <w:r>
        <w:rPr>
          <w:rFonts w:hint="eastAsia"/>
          <w:szCs w:val="22"/>
          <w:highlight w:val="none"/>
        </w:rPr>
        <w:t>2</w:t>
      </w:r>
      <w:r>
        <w:rPr>
          <w:szCs w:val="22"/>
          <w:highlight w:val="none"/>
        </w:rPr>
        <w:t>02</w:t>
      </w:r>
      <w:r>
        <w:rPr>
          <w:rFonts w:hint="eastAsia"/>
          <w:szCs w:val="22"/>
          <w:highlight w:val="none"/>
          <w:lang w:val="en-US" w:eastAsia="zh-CN"/>
        </w:rPr>
        <w:t>2</w:t>
      </w:r>
      <w:r>
        <w:rPr>
          <w:rFonts w:hint="eastAsia"/>
          <w:szCs w:val="22"/>
          <w:highlight w:val="none"/>
        </w:rPr>
        <w:t>年</w:t>
      </w:r>
      <w:r>
        <w:rPr>
          <w:rFonts w:hint="eastAsia"/>
          <w:szCs w:val="22"/>
          <w:highlight w:val="none"/>
          <w:lang w:eastAsia="zh-CN"/>
        </w:rPr>
        <w:t>杨家桥</w:t>
      </w:r>
      <w:r>
        <w:rPr>
          <w:rFonts w:hint="eastAsia"/>
          <w:szCs w:val="22"/>
          <w:highlight w:val="none"/>
        </w:rPr>
        <w:t>水库维修养护工程</w:t>
      </w:r>
    </w:p>
    <w:p w14:paraId="1DF0E82A">
      <w:pPr>
        <w:pStyle w:val="4"/>
        <w:spacing w:before="11"/>
        <w:rPr>
          <w:sz w:val="30"/>
          <w:highlight w:val="none"/>
        </w:rPr>
      </w:pPr>
    </w:p>
    <w:p w14:paraId="094089DD">
      <w:pPr>
        <w:ind w:left="8001" w:right="7562"/>
        <w:jc w:val="both"/>
        <w:rPr>
          <w:sz w:val="30"/>
          <w:highlight w:val="none"/>
        </w:rPr>
      </w:pPr>
      <w:r>
        <w:rPr>
          <w:sz w:val="30"/>
          <w:highlight w:val="none"/>
        </w:rPr>
        <w:t>施工设计说明</w:t>
      </w:r>
    </w:p>
    <w:p w14:paraId="6F6AD093">
      <w:pPr>
        <w:pStyle w:val="4"/>
        <w:rPr>
          <w:sz w:val="20"/>
          <w:highlight w:val="none"/>
        </w:rPr>
      </w:pPr>
    </w:p>
    <w:p w14:paraId="441B9F31">
      <w:pPr>
        <w:pStyle w:val="4"/>
        <w:spacing w:before="6"/>
        <w:rPr>
          <w:sz w:val="19"/>
          <w:highlight w:val="none"/>
        </w:rPr>
      </w:pPr>
    </w:p>
    <w:p w14:paraId="44C641D9">
      <w:pPr>
        <w:rPr>
          <w:sz w:val="19"/>
          <w:highlight w:val="none"/>
        </w:rPr>
        <w:sectPr>
          <w:footerReference r:id="rId3" w:type="default"/>
          <w:type w:val="continuous"/>
          <w:pgSz w:w="23820" w:h="16850" w:orient="landscape"/>
          <w:pgMar w:top="1600" w:right="1180" w:bottom="1180" w:left="1340" w:header="720" w:footer="992" w:gutter="0"/>
          <w:pgNumType w:start="1"/>
          <w:cols w:space="720" w:num="1"/>
        </w:sectPr>
      </w:pPr>
    </w:p>
    <w:p w14:paraId="4F9E481A">
      <w:pPr>
        <w:pStyle w:val="4"/>
        <w:keepNext w:val="0"/>
        <w:keepLines w:val="0"/>
        <w:pageBreakBefore w:val="0"/>
        <w:widowControl w:val="0"/>
        <w:kinsoku/>
        <w:wordWrap/>
        <w:overflowPunct/>
        <w:topLinePunct w:val="0"/>
        <w:autoSpaceDE w:val="0"/>
        <w:autoSpaceDN w:val="0"/>
        <w:bidi w:val="0"/>
        <w:adjustRightInd/>
        <w:snapToGrid/>
        <w:spacing w:before="61" w:line="360" w:lineRule="auto"/>
        <w:textAlignment w:val="auto"/>
        <w:rPr>
          <w:highlight w:val="none"/>
        </w:rPr>
      </w:pPr>
      <w:r>
        <w:rPr>
          <w:rFonts w:hint="eastAsia"/>
          <w:sz w:val="32"/>
          <w:szCs w:val="32"/>
          <w:highlight w:val="none"/>
          <w:lang w:val="en-US"/>
        </w:rPr>
        <w:t>一、基本情况</w:t>
      </w:r>
    </w:p>
    <w:p w14:paraId="795BFE9D">
      <w:pPr>
        <w:keepNext w:val="0"/>
        <w:keepLines w:val="0"/>
        <w:pageBreakBefore w:val="0"/>
        <w:widowControl w:val="0"/>
        <w:tabs>
          <w:tab w:val="left" w:pos="1260"/>
        </w:tabs>
        <w:kinsoku/>
        <w:wordWrap/>
        <w:overflowPunct/>
        <w:topLinePunct w:val="0"/>
        <w:autoSpaceDE w:val="0"/>
        <w:autoSpaceDN w:val="0"/>
        <w:bidi w:val="0"/>
        <w:adjustRightInd/>
        <w:snapToGrid/>
        <w:spacing w:line="360" w:lineRule="auto"/>
        <w:ind w:firstLine="562" w:firstLineChars="201"/>
        <w:textAlignment w:val="auto"/>
        <w:rPr>
          <w:sz w:val="28"/>
          <w:szCs w:val="28"/>
        </w:rPr>
      </w:pPr>
      <w:r>
        <w:rPr>
          <w:sz w:val="28"/>
          <w:szCs w:val="28"/>
        </w:rPr>
        <w:t>杨家桥水库位于</w:t>
      </w:r>
      <w:r>
        <w:rPr>
          <w:rFonts w:hint="eastAsia"/>
          <w:sz w:val="28"/>
          <w:szCs w:val="28"/>
        </w:rPr>
        <w:t>建龙镇寨子村</w:t>
      </w:r>
      <w:r>
        <w:rPr>
          <w:sz w:val="28"/>
          <w:szCs w:val="28"/>
        </w:rPr>
        <w:t>，水库所在河流属长江流域</w:t>
      </w:r>
      <w:r>
        <w:rPr>
          <w:rFonts w:hint="eastAsia"/>
          <w:sz w:val="28"/>
          <w:szCs w:val="28"/>
        </w:rPr>
        <w:t>璧南</w:t>
      </w:r>
      <w:r>
        <w:rPr>
          <w:sz w:val="28"/>
          <w:szCs w:val="28"/>
        </w:rPr>
        <w:t>河</w:t>
      </w:r>
      <w:r>
        <w:rPr>
          <w:rFonts w:hint="eastAsia"/>
          <w:sz w:val="28"/>
          <w:szCs w:val="28"/>
        </w:rPr>
        <w:t>中下游一</w:t>
      </w:r>
      <w:r>
        <w:rPr>
          <w:sz w:val="28"/>
          <w:szCs w:val="28"/>
        </w:rPr>
        <w:t>支流，坝址距</w:t>
      </w:r>
      <w:r>
        <w:rPr>
          <w:rFonts w:hint="eastAsia"/>
          <w:sz w:val="28"/>
          <w:szCs w:val="28"/>
        </w:rPr>
        <w:t>健龙镇约1.5km</w:t>
      </w:r>
      <w:r>
        <w:rPr>
          <w:sz w:val="28"/>
          <w:szCs w:val="28"/>
        </w:rPr>
        <w:t>，有公路通至坝顶，交通便</w:t>
      </w:r>
      <w:r>
        <w:rPr>
          <w:rFonts w:hint="eastAsia"/>
          <w:sz w:val="28"/>
          <w:szCs w:val="28"/>
        </w:rPr>
        <w:t>利</w:t>
      </w:r>
      <w:r>
        <w:rPr>
          <w:sz w:val="28"/>
          <w:szCs w:val="28"/>
        </w:rPr>
        <w:t>，是一座以灌溉为主，兼防洪、供水于一体的小</w:t>
      </w:r>
      <w:r>
        <w:rPr>
          <w:rFonts w:hint="eastAsia"/>
          <w:sz w:val="28"/>
          <w:szCs w:val="28"/>
        </w:rPr>
        <w:t>（2）</w:t>
      </w:r>
      <w:r>
        <w:rPr>
          <w:sz w:val="28"/>
          <w:szCs w:val="28"/>
        </w:rPr>
        <w:t>型骨干水利工程</w:t>
      </w:r>
      <w:r>
        <w:rPr>
          <w:rFonts w:hint="eastAsia"/>
          <w:sz w:val="28"/>
          <w:szCs w:val="28"/>
        </w:rPr>
        <w:t>。</w:t>
      </w:r>
    </w:p>
    <w:p w14:paraId="07393E9C">
      <w:pPr>
        <w:keepNext w:val="0"/>
        <w:keepLines w:val="0"/>
        <w:pageBreakBefore w:val="0"/>
        <w:widowControl w:val="0"/>
        <w:tabs>
          <w:tab w:val="left" w:pos="1260"/>
        </w:tabs>
        <w:kinsoku/>
        <w:wordWrap/>
        <w:overflowPunct/>
        <w:topLinePunct w:val="0"/>
        <w:autoSpaceDE w:val="0"/>
        <w:autoSpaceDN w:val="0"/>
        <w:bidi w:val="0"/>
        <w:adjustRightInd/>
        <w:snapToGrid/>
        <w:spacing w:line="360" w:lineRule="auto"/>
        <w:ind w:firstLine="562" w:firstLineChars="201"/>
        <w:textAlignment w:val="auto"/>
        <w:rPr>
          <w:rFonts w:hint="eastAsia" w:ascii="黑体" w:hAnsi="黑体" w:eastAsia="黑体" w:cs="黑体"/>
          <w:spacing w:val="-8"/>
          <w:sz w:val="28"/>
          <w:szCs w:val="28"/>
          <w:highlight w:val="none"/>
          <w:lang w:val="en-US" w:eastAsia="zh-CN" w:bidi="zh-CN"/>
        </w:rPr>
      </w:pPr>
      <w:r>
        <w:rPr>
          <w:rFonts w:hint="eastAsia"/>
          <w:snapToGrid w:val="0"/>
          <w:sz w:val="28"/>
          <w:szCs w:val="28"/>
        </w:rPr>
        <w:t>大坝坝型为</w:t>
      </w:r>
      <w:r>
        <w:rPr>
          <w:rFonts w:hint="eastAsia"/>
          <w:sz w:val="28"/>
          <w:szCs w:val="28"/>
        </w:rPr>
        <w:t>粘土均质坝，</w:t>
      </w:r>
      <w:r>
        <w:rPr>
          <w:sz w:val="28"/>
          <w:szCs w:val="28"/>
        </w:rPr>
        <w:t>坝高</w:t>
      </w:r>
      <w:r>
        <w:rPr>
          <w:rFonts w:hint="eastAsia"/>
          <w:sz w:val="28"/>
          <w:szCs w:val="28"/>
        </w:rPr>
        <w:t>13.9</w:t>
      </w:r>
      <w:r>
        <w:rPr>
          <w:sz w:val="28"/>
          <w:szCs w:val="28"/>
        </w:rPr>
        <w:t>m</w:t>
      </w:r>
      <w:r>
        <w:rPr>
          <w:rFonts w:hint="eastAsia"/>
          <w:sz w:val="28"/>
          <w:szCs w:val="28"/>
        </w:rPr>
        <w:t>，坝顶高程为281.61m，坝顶宽4.0m，坝轴线长93.8m，坝顶为20cm厚C20砼路面，上游侧设有12cm厚、1.2m高青石栏杆；</w:t>
      </w:r>
      <w:r>
        <w:rPr>
          <w:sz w:val="28"/>
          <w:szCs w:val="28"/>
        </w:rPr>
        <w:t>水库总库容</w:t>
      </w:r>
      <w:r>
        <w:rPr>
          <w:rFonts w:hint="eastAsia"/>
          <w:sz w:val="28"/>
          <w:szCs w:val="28"/>
        </w:rPr>
        <w:t>87.76</w:t>
      </w:r>
      <w:r>
        <w:rPr>
          <w:sz w:val="28"/>
          <w:szCs w:val="28"/>
        </w:rPr>
        <w:t>万m³，正常蓄水位</w:t>
      </w:r>
      <w:r>
        <w:rPr>
          <w:rFonts w:hint="eastAsia"/>
          <w:sz w:val="28"/>
          <w:szCs w:val="28"/>
        </w:rPr>
        <w:t>277.32</w:t>
      </w:r>
      <w:r>
        <w:rPr>
          <w:sz w:val="28"/>
          <w:szCs w:val="28"/>
        </w:rPr>
        <w:t>m，正常库容</w:t>
      </w:r>
      <w:r>
        <w:rPr>
          <w:rFonts w:hint="eastAsia"/>
          <w:sz w:val="28"/>
          <w:szCs w:val="28"/>
        </w:rPr>
        <w:t>54</w:t>
      </w:r>
      <w:r>
        <w:rPr>
          <w:sz w:val="28"/>
          <w:szCs w:val="28"/>
        </w:rPr>
        <w:t>万m³，死水位</w:t>
      </w:r>
      <w:r>
        <w:rPr>
          <w:rFonts w:hint="eastAsia"/>
          <w:sz w:val="28"/>
          <w:szCs w:val="28"/>
        </w:rPr>
        <w:t>272.61</w:t>
      </w:r>
      <w:r>
        <w:rPr>
          <w:sz w:val="28"/>
          <w:szCs w:val="28"/>
        </w:rPr>
        <w:t>m，死库容</w:t>
      </w:r>
      <w:r>
        <w:rPr>
          <w:rFonts w:hint="eastAsia"/>
          <w:sz w:val="28"/>
          <w:szCs w:val="28"/>
        </w:rPr>
        <w:t>6</w:t>
      </w:r>
      <w:r>
        <w:rPr>
          <w:sz w:val="28"/>
          <w:szCs w:val="28"/>
        </w:rPr>
        <w:t>万m³</w:t>
      </w:r>
      <w:r>
        <w:rPr>
          <w:rFonts w:hint="eastAsia"/>
          <w:sz w:val="28"/>
          <w:szCs w:val="28"/>
        </w:rPr>
        <w:t>；枢纽工程由大坝、溢洪道、放水设施三部分组成</w:t>
      </w:r>
      <w:r>
        <w:rPr>
          <w:rFonts w:hint="eastAsia" w:ascii="黑体" w:hAnsi="黑体" w:eastAsia="黑体" w:cs="黑体"/>
          <w:spacing w:val="-8"/>
          <w:sz w:val="28"/>
          <w:szCs w:val="28"/>
          <w:highlight w:val="none"/>
          <w:lang w:val="en-US" w:eastAsia="zh-CN" w:bidi="zh-CN"/>
        </w:rPr>
        <w:t>。</w:t>
      </w:r>
    </w:p>
    <w:p w14:paraId="7E150D7D">
      <w:pPr>
        <w:pStyle w:val="4"/>
        <w:keepNext w:val="0"/>
        <w:keepLines w:val="0"/>
        <w:pageBreakBefore w:val="0"/>
        <w:widowControl w:val="0"/>
        <w:numPr>
          <w:ilvl w:val="0"/>
          <w:numId w:val="1"/>
        </w:numPr>
        <w:kinsoku/>
        <w:wordWrap/>
        <w:overflowPunct/>
        <w:topLinePunct w:val="0"/>
        <w:autoSpaceDE w:val="0"/>
        <w:autoSpaceDN w:val="0"/>
        <w:bidi w:val="0"/>
        <w:adjustRightInd/>
        <w:snapToGrid/>
        <w:spacing w:before="61" w:line="360" w:lineRule="auto"/>
        <w:textAlignment w:val="auto"/>
        <w:rPr>
          <w:sz w:val="32"/>
          <w:szCs w:val="32"/>
          <w:highlight w:val="none"/>
          <w:lang w:val="en-US"/>
        </w:rPr>
      </w:pPr>
      <w:r>
        <w:rPr>
          <w:rFonts w:hint="eastAsia"/>
          <w:sz w:val="32"/>
          <w:szCs w:val="32"/>
          <w:highlight w:val="none"/>
          <w:lang w:val="en-US"/>
        </w:rPr>
        <w:t>存在问题</w:t>
      </w:r>
    </w:p>
    <w:p w14:paraId="18663E58">
      <w:pPr>
        <w:pStyle w:val="4"/>
        <w:numPr>
          <w:ilvl w:val="0"/>
          <w:numId w:val="2"/>
        </w:numPr>
        <w:spacing w:line="417" w:lineRule="auto"/>
        <w:ind w:left="100" w:right="180" w:firstLine="559"/>
        <w:rPr>
          <w:spacing w:val="-8"/>
          <w:highlight w:val="none"/>
          <w:lang w:val="en-US"/>
        </w:rPr>
      </w:pPr>
      <w:r>
        <w:rPr>
          <w:rFonts w:hint="eastAsia"/>
          <w:spacing w:val="-8"/>
          <w:highlight w:val="none"/>
          <w:lang w:val="en-US" w:eastAsia="zh-CN"/>
        </w:rPr>
        <w:t>溢洪道侧堰存在明显渗漏现象。</w:t>
      </w:r>
    </w:p>
    <w:p w14:paraId="63758693">
      <w:pPr>
        <w:pStyle w:val="4"/>
        <w:numPr>
          <w:ilvl w:val="0"/>
          <w:numId w:val="2"/>
        </w:numPr>
        <w:spacing w:line="417" w:lineRule="auto"/>
        <w:ind w:left="100" w:right="180" w:firstLine="559"/>
        <w:rPr>
          <w:spacing w:val="-8"/>
          <w:highlight w:val="none"/>
          <w:lang w:val="en-US"/>
        </w:rPr>
      </w:pPr>
      <w:r>
        <w:rPr>
          <w:rFonts w:hint="eastAsia"/>
          <w:spacing w:val="-8"/>
          <w:highlight w:val="none"/>
          <w:lang w:val="en-US" w:eastAsia="zh-CN"/>
        </w:rPr>
        <w:t>溢洪道进口段右边墙行人小路无防护措施，左侧边墙砂浆脱落。</w:t>
      </w:r>
    </w:p>
    <w:p w14:paraId="43971751">
      <w:pPr>
        <w:pStyle w:val="4"/>
        <w:numPr>
          <w:ilvl w:val="0"/>
          <w:numId w:val="2"/>
        </w:numPr>
        <w:spacing w:line="417" w:lineRule="auto"/>
        <w:ind w:left="100" w:leftChars="0" w:right="180" w:rightChars="0" w:firstLine="559" w:firstLineChars="0"/>
        <w:rPr>
          <w:rFonts w:hint="eastAsia"/>
          <w:spacing w:val="-8"/>
          <w:highlight w:val="none"/>
          <w:lang w:val="en-US" w:eastAsia="zh-CN"/>
        </w:rPr>
      </w:pPr>
      <w:r>
        <w:rPr>
          <w:rFonts w:hint="eastAsia"/>
          <w:spacing w:val="-8"/>
          <w:highlight w:val="none"/>
          <w:lang w:val="en-US" w:eastAsia="zh-CN"/>
        </w:rPr>
        <w:t>溢洪道消力池段右侧边墙有9m出现垮塌；同时根据安全鉴定报告，</w:t>
      </w:r>
      <w:r>
        <w:rPr>
          <w:rFonts w:hint="eastAsia"/>
          <w:highlight w:val="none"/>
        </w:rPr>
        <w:t>溢洪道边墙高度不满足规范要求部分进行加高，并按照2012年除险加固施工图恢复消力池。</w:t>
      </w:r>
    </w:p>
    <w:p w14:paraId="6C11D97D">
      <w:pPr>
        <w:pStyle w:val="4"/>
        <w:numPr>
          <w:ilvl w:val="0"/>
          <w:numId w:val="2"/>
        </w:numPr>
        <w:spacing w:line="417" w:lineRule="auto"/>
        <w:ind w:left="100" w:leftChars="0" w:right="180" w:rightChars="0" w:firstLine="559" w:firstLineChars="0"/>
        <w:rPr>
          <w:rFonts w:hint="default"/>
          <w:spacing w:val="-8"/>
          <w:highlight w:val="none"/>
          <w:lang w:val="en-US" w:eastAsia="zh-CN"/>
        </w:rPr>
      </w:pPr>
      <w:r>
        <w:rPr>
          <w:rFonts w:hint="eastAsia"/>
          <w:color w:val="auto"/>
          <w:highlight w:val="none"/>
        </w:rPr>
        <w:t>放水涵管不存在渗漏，放水竖井井壁存在明显渗漏现象</w:t>
      </w:r>
      <w:r>
        <w:rPr>
          <w:rFonts w:hint="eastAsia"/>
          <w:color w:val="auto"/>
          <w:highlight w:val="none"/>
          <w:lang w:eastAsia="zh-CN"/>
        </w:rPr>
        <w:t>。</w:t>
      </w:r>
    </w:p>
    <w:p w14:paraId="1212325F">
      <w:pPr>
        <w:pStyle w:val="4"/>
        <w:numPr>
          <w:ilvl w:val="0"/>
          <w:numId w:val="1"/>
        </w:numPr>
        <w:spacing w:before="61"/>
        <w:rPr>
          <w:rFonts w:hint="eastAsia"/>
          <w:sz w:val="32"/>
          <w:szCs w:val="32"/>
          <w:highlight w:val="none"/>
          <w:lang w:val="en-US"/>
        </w:rPr>
      </w:pPr>
      <w:r>
        <w:rPr>
          <w:rFonts w:hint="eastAsia"/>
          <w:sz w:val="32"/>
          <w:szCs w:val="32"/>
          <w:highlight w:val="none"/>
          <w:lang w:val="en-US"/>
        </w:rPr>
        <w:t>设计依据及规范</w:t>
      </w:r>
    </w:p>
    <w:p w14:paraId="74956CD9">
      <w:pPr>
        <w:pStyle w:val="4"/>
        <w:spacing w:line="417" w:lineRule="auto"/>
        <w:ind w:left="100" w:right="180" w:firstLine="559"/>
        <w:rPr>
          <w:rFonts w:hint="eastAsia"/>
          <w:spacing w:val="-8"/>
          <w:highlight w:val="none"/>
          <w:lang w:val="en-US" w:eastAsia="zh-CN"/>
        </w:rPr>
      </w:pPr>
      <w:r>
        <w:rPr>
          <w:rFonts w:hint="eastAsia"/>
          <w:spacing w:val="-8"/>
          <w:highlight w:val="none"/>
          <w:lang w:val="en-US" w:eastAsia="zh-CN"/>
        </w:rPr>
        <w:t>（1）《水利工程建设标准强制性条文》（2020 年版）；</w:t>
      </w:r>
    </w:p>
    <w:p w14:paraId="1A3AC78A">
      <w:pPr>
        <w:pStyle w:val="4"/>
        <w:spacing w:line="417" w:lineRule="auto"/>
        <w:ind w:left="100" w:right="180" w:firstLine="559"/>
        <w:rPr>
          <w:rFonts w:hint="eastAsia"/>
          <w:spacing w:val="-8"/>
          <w:highlight w:val="none"/>
          <w:lang w:val="en-US" w:eastAsia="zh-CN"/>
        </w:rPr>
      </w:pPr>
      <w:r>
        <w:rPr>
          <w:rFonts w:hint="eastAsia"/>
          <w:spacing w:val="-8"/>
          <w:highlight w:val="none"/>
          <w:lang w:val="en-US" w:eastAsia="zh-CN"/>
        </w:rPr>
        <w:t>（2）《防洪标准》（GB50201-2014）；</w:t>
      </w:r>
    </w:p>
    <w:p w14:paraId="1A704A54">
      <w:pPr>
        <w:pStyle w:val="4"/>
        <w:spacing w:line="417" w:lineRule="auto"/>
        <w:ind w:left="100" w:right="180" w:firstLine="559"/>
        <w:rPr>
          <w:rFonts w:hint="eastAsia"/>
          <w:spacing w:val="-8"/>
          <w:highlight w:val="none"/>
          <w:lang w:val="en-US" w:eastAsia="zh-CN"/>
        </w:rPr>
      </w:pPr>
      <w:r>
        <w:rPr>
          <w:rFonts w:hint="eastAsia"/>
          <w:spacing w:val="-8"/>
          <w:highlight w:val="none"/>
          <w:lang w:val="en-US" w:eastAsia="zh-CN"/>
        </w:rPr>
        <w:t>（3）《水利水电工程等级划分及洪水标准》（SL252-2017）；</w:t>
      </w:r>
    </w:p>
    <w:p w14:paraId="440353C5">
      <w:pPr>
        <w:pStyle w:val="4"/>
        <w:spacing w:line="417" w:lineRule="auto"/>
        <w:ind w:left="100" w:right="180" w:firstLine="559"/>
        <w:rPr>
          <w:rFonts w:hint="eastAsia"/>
          <w:spacing w:val="-8"/>
          <w:highlight w:val="none"/>
          <w:lang w:val="en-US" w:eastAsia="zh-CN"/>
        </w:rPr>
      </w:pPr>
      <w:r>
        <w:rPr>
          <w:rFonts w:hint="eastAsia"/>
          <w:spacing w:val="-8"/>
          <w:highlight w:val="none"/>
          <w:lang w:val="en-US" w:eastAsia="zh-CN"/>
        </w:rPr>
        <w:t>（4）《水利水电工程设计洪水计算规范》（SL44-2006）；</w:t>
      </w:r>
    </w:p>
    <w:p w14:paraId="4E68F55C">
      <w:pPr>
        <w:pStyle w:val="4"/>
        <w:spacing w:line="417" w:lineRule="auto"/>
        <w:ind w:left="100" w:right="180" w:firstLine="559"/>
        <w:rPr>
          <w:rFonts w:hint="eastAsia"/>
          <w:spacing w:val="-8"/>
          <w:highlight w:val="none"/>
          <w:lang w:val="en-US" w:eastAsia="zh-CN"/>
        </w:rPr>
      </w:pPr>
      <w:r>
        <w:rPr>
          <w:rFonts w:hint="eastAsia"/>
          <w:spacing w:val="-8"/>
          <w:highlight w:val="none"/>
          <w:lang w:val="en-US" w:eastAsia="zh-CN"/>
        </w:rPr>
        <w:t>（5）《水工混凝土结构设计规范》（SL191-2008）；</w:t>
      </w:r>
    </w:p>
    <w:p w14:paraId="11C01EA8">
      <w:pPr>
        <w:pStyle w:val="4"/>
        <w:spacing w:line="417" w:lineRule="auto"/>
        <w:ind w:left="100" w:right="180" w:firstLine="559"/>
        <w:rPr>
          <w:rFonts w:hint="eastAsia"/>
          <w:spacing w:val="-8"/>
          <w:highlight w:val="none"/>
          <w:lang w:val="en-US" w:eastAsia="zh-CN"/>
        </w:rPr>
      </w:pPr>
      <w:r>
        <w:rPr>
          <w:rFonts w:hint="eastAsia"/>
          <w:spacing w:val="-8"/>
          <w:highlight w:val="none"/>
          <w:lang w:val="en-US" w:eastAsia="zh-CN"/>
        </w:rPr>
        <w:t>（6）《水利工程水利计算规范》（SL104－2015）；</w:t>
      </w:r>
    </w:p>
    <w:p w14:paraId="49061DDA">
      <w:pPr>
        <w:pStyle w:val="4"/>
        <w:spacing w:line="417" w:lineRule="auto"/>
        <w:ind w:left="100" w:right="180" w:firstLine="559"/>
        <w:rPr>
          <w:rFonts w:hint="eastAsia"/>
          <w:spacing w:val="-8"/>
          <w:highlight w:val="none"/>
          <w:lang w:val="en-US" w:eastAsia="zh-CN"/>
        </w:rPr>
      </w:pPr>
      <w:r>
        <w:rPr>
          <w:rFonts w:hint="eastAsia"/>
          <w:spacing w:val="-8"/>
          <w:highlight w:val="none"/>
          <w:lang w:val="en-US" w:eastAsia="zh-CN"/>
        </w:rPr>
        <w:t>（7）《水工混凝土施工规范》（SL677-2014）；</w:t>
      </w:r>
    </w:p>
    <w:p w14:paraId="10EE32E9">
      <w:pPr>
        <w:pStyle w:val="4"/>
        <w:spacing w:line="417" w:lineRule="auto"/>
        <w:ind w:left="100" w:right="180" w:firstLine="559"/>
        <w:rPr>
          <w:rFonts w:hint="eastAsia"/>
          <w:spacing w:val="-8"/>
          <w:highlight w:val="none"/>
          <w:lang w:val="en-US" w:eastAsia="zh-CN"/>
        </w:rPr>
      </w:pPr>
      <w:r>
        <w:rPr>
          <w:rFonts w:hint="eastAsia"/>
          <w:spacing w:val="-8"/>
          <w:highlight w:val="none"/>
          <w:lang w:val="en-US" w:eastAsia="zh-CN"/>
        </w:rPr>
        <w:t>（8）《混凝土结构工程施工质量验收规范》（GB50204-2015）；</w:t>
      </w:r>
    </w:p>
    <w:p w14:paraId="28A02F2A">
      <w:pPr>
        <w:pStyle w:val="4"/>
        <w:spacing w:line="417" w:lineRule="auto"/>
        <w:ind w:left="100" w:right="180" w:firstLine="559"/>
        <w:rPr>
          <w:rFonts w:hint="eastAsia"/>
          <w:spacing w:val="-8"/>
          <w:highlight w:val="none"/>
          <w:lang w:val="en-US" w:eastAsia="zh-CN"/>
        </w:rPr>
      </w:pPr>
      <w:r>
        <w:rPr>
          <w:rFonts w:hint="eastAsia"/>
          <w:spacing w:val="-8"/>
          <w:highlight w:val="none"/>
          <w:lang w:val="en-US" w:eastAsia="zh-CN"/>
        </w:rPr>
        <w:t>（9）《小型水利水电工程碾压式土石坝设计规范》（SL 189-2013）；</w:t>
      </w:r>
    </w:p>
    <w:p w14:paraId="5B417475">
      <w:pPr>
        <w:pStyle w:val="4"/>
        <w:keepNext w:val="0"/>
        <w:keepLines w:val="0"/>
        <w:pageBreakBefore w:val="0"/>
        <w:widowControl w:val="0"/>
        <w:kinsoku/>
        <w:wordWrap/>
        <w:overflowPunct/>
        <w:topLinePunct w:val="0"/>
        <w:autoSpaceDE w:val="0"/>
        <w:autoSpaceDN w:val="0"/>
        <w:bidi w:val="0"/>
        <w:adjustRightInd/>
        <w:snapToGrid w:val="0"/>
        <w:spacing w:line="360" w:lineRule="auto"/>
        <w:ind w:left="100" w:right="180" w:firstLine="559"/>
        <w:textAlignment w:val="auto"/>
        <w:rPr>
          <w:rFonts w:hint="eastAsia"/>
          <w:spacing w:val="-8"/>
          <w:highlight w:val="none"/>
          <w:lang w:val="en-US" w:eastAsia="zh-CN"/>
        </w:rPr>
      </w:pPr>
      <w:r>
        <w:rPr>
          <w:rFonts w:hint="eastAsia"/>
          <w:spacing w:val="-8"/>
          <w:highlight w:val="none"/>
          <w:lang w:val="en-US" w:eastAsia="zh-CN"/>
        </w:rPr>
        <w:t>（10）《溢洪道设计规范》（SL253－2018）；</w:t>
      </w:r>
    </w:p>
    <w:p w14:paraId="6263592D">
      <w:pPr>
        <w:pStyle w:val="4"/>
        <w:keepNext w:val="0"/>
        <w:keepLines w:val="0"/>
        <w:pageBreakBefore w:val="0"/>
        <w:widowControl w:val="0"/>
        <w:numPr>
          <w:ilvl w:val="0"/>
          <w:numId w:val="1"/>
        </w:numPr>
        <w:kinsoku/>
        <w:wordWrap/>
        <w:overflowPunct/>
        <w:topLinePunct w:val="0"/>
        <w:autoSpaceDE w:val="0"/>
        <w:autoSpaceDN w:val="0"/>
        <w:bidi w:val="0"/>
        <w:adjustRightInd/>
        <w:snapToGrid w:val="0"/>
        <w:spacing w:before="61" w:line="360" w:lineRule="auto"/>
        <w:textAlignment w:val="auto"/>
        <w:rPr>
          <w:highlight w:val="none"/>
        </w:rPr>
      </w:pPr>
      <w:r>
        <w:rPr>
          <w:rFonts w:hint="eastAsia"/>
          <w:sz w:val="32"/>
          <w:szCs w:val="32"/>
          <w:highlight w:val="none"/>
          <w:lang w:val="en-US"/>
        </w:rPr>
        <w:t>工程设计</w:t>
      </w:r>
    </w:p>
    <w:p w14:paraId="678ED2BB">
      <w:pPr>
        <w:pStyle w:val="4"/>
        <w:keepNext w:val="0"/>
        <w:keepLines w:val="0"/>
        <w:pageBreakBefore w:val="0"/>
        <w:widowControl w:val="0"/>
        <w:kinsoku/>
        <w:wordWrap/>
        <w:overflowPunct/>
        <w:topLinePunct w:val="0"/>
        <w:autoSpaceDE w:val="0"/>
        <w:autoSpaceDN w:val="0"/>
        <w:bidi w:val="0"/>
        <w:adjustRightInd/>
        <w:snapToGrid w:val="0"/>
        <w:spacing w:line="360" w:lineRule="auto"/>
        <w:ind w:left="100" w:right="180" w:firstLine="559"/>
        <w:textAlignment w:val="auto"/>
        <w:rPr>
          <w:color w:val="auto"/>
          <w:spacing w:val="-8"/>
          <w:sz w:val="28"/>
          <w:szCs w:val="28"/>
          <w:highlight w:val="none"/>
          <w:lang w:val="en-US"/>
        </w:rPr>
      </w:pPr>
      <w:r>
        <w:rPr>
          <w:rFonts w:hint="eastAsia"/>
          <w:color w:val="auto"/>
          <w:spacing w:val="-8"/>
          <w:sz w:val="28"/>
          <w:szCs w:val="28"/>
          <w:highlight w:val="none"/>
          <w:lang w:val="en-US"/>
        </w:rPr>
        <w:t>（一）工程任务</w:t>
      </w:r>
    </w:p>
    <w:p w14:paraId="1E002284">
      <w:pPr>
        <w:pStyle w:val="4"/>
        <w:keepNext w:val="0"/>
        <w:keepLines w:val="0"/>
        <w:pageBreakBefore w:val="0"/>
        <w:widowControl w:val="0"/>
        <w:kinsoku/>
        <w:wordWrap/>
        <w:overflowPunct/>
        <w:topLinePunct w:val="0"/>
        <w:autoSpaceDE w:val="0"/>
        <w:autoSpaceDN w:val="0"/>
        <w:bidi w:val="0"/>
        <w:adjustRightInd/>
        <w:snapToGrid w:val="0"/>
        <w:spacing w:line="360" w:lineRule="auto"/>
        <w:ind w:right="180" w:firstLine="528" w:firstLineChars="200"/>
        <w:textAlignment w:val="auto"/>
        <w:rPr>
          <w:rFonts w:hint="eastAsia"/>
          <w:color w:val="auto"/>
          <w:spacing w:val="-8"/>
          <w:sz w:val="28"/>
          <w:szCs w:val="28"/>
          <w:highlight w:val="none"/>
          <w:lang w:val="en-US" w:eastAsia="zh-CN"/>
        </w:rPr>
      </w:pPr>
      <w:r>
        <w:rPr>
          <w:rFonts w:hint="eastAsia"/>
          <w:color w:val="auto"/>
          <w:spacing w:val="-8"/>
          <w:sz w:val="28"/>
          <w:szCs w:val="28"/>
          <w:highlight w:val="none"/>
          <w:lang w:val="en-US" w:eastAsia="zh-CN"/>
        </w:rPr>
        <w:t>本次维修养护主要为恢复溢洪道泄洪能力，放水竖井井璧堵漏。</w:t>
      </w:r>
    </w:p>
    <w:p w14:paraId="7739E936">
      <w:pPr>
        <w:pStyle w:val="4"/>
        <w:keepNext w:val="0"/>
        <w:keepLines w:val="0"/>
        <w:pageBreakBefore w:val="0"/>
        <w:widowControl w:val="0"/>
        <w:kinsoku/>
        <w:wordWrap/>
        <w:overflowPunct/>
        <w:topLinePunct w:val="0"/>
        <w:autoSpaceDE w:val="0"/>
        <w:autoSpaceDN w:val="0"/>
        <w:bidi w:val="0"/>
        <w:adjustRightInd/>
        <w:snapToGrid w:val="0"/>
        <w:spacing w:line="360" w:lineRule="auto"/>
        <w:ind w:left="100" w:right="180" w:firstLine="559"/>
        <w:textAlignment w:val="auto"/>
        <w:rPr>
          <w:spacing w:val="-8"/>
          <w:highlight w:val="none"/>
          <w:lang w:val="en-US"/>
        </w:rPr>
      </w:pPr>
      <w:r>
        <w:rPr>
          <w:rFonts w:hint="eastAsia"/>
          <w:spacing w:val="-8"/>
          <w:highlight w:val="none"/>
          <w:lang w:val="en-US"/>
        </w:rPr>
        <w:t>（二）工程设计</w:t>
      </w:r>
    </w:p>
    <w:p w14:paraId="75AD08BB">
      <w:pPr>
        <w:pStyle w:val="4"/>
        <w:keepNext w:val="0"/>
        <w:keepLines w:val="0"/>
        <w:pageBreakBefore w:val="0"/>
        <w:widowControl w:val="0"/>
        <w:kinsoku/>
        <w:wordWrap/>
        <w:overflowPunct/>
        <w:topLinePunct w:val="0"/>
        <w:autoSpaceDE w:val="0"/>
        <w:autoSpaceDN w:val="0"/>
        <w:bidi w:val="0"/>
        <w:adjustRightInd/>
        <w:snapToGrid w:val="0"/>
        <w:spacing w:line="360" w:lineRule="auto"/>
        <w:ind w:right="181" w:firstLine="528" w:firstLineChars="200"/>
        <w:textAlignment w:val="auto"/>
        <w:rPr>
          <w:rFonts w:hint="default" w:ascii="黑体" w:hAnsi="黑体" w:eastAsia="黑体" w:cs="黑体"/>
          <w:spacing w:val="-8"/>
          <w:sz w:val="28"/>
          <w:szCs w:val="28"/>
          <w:highlight w:val="none"/>
          <w:lang w:val="en-US" w:eastAsia="zh-CN" w:bidi="zh-CN"/>
        </w:rPr>
      </w:pPr>
      <w:r>
        <w:rPr>
          <w:rFonts w:hint="eastAsia" w:ascii="黑体" w:hAnsi="黑体" w:eastAsia="黑体" w:cs="黑体"/>
          <w:spacing w:val="-8"/>
          <w:sz w:val="28"/>
          <w:szCs w:val="28"/>
          <w:highlight w:val="none"/>
          <w:lang w:val="en-US" w:eastAsia="zh-CN" w:bidi="zh-CN"/>
        </w:rPr>
        <w:t>（</w:t>
      </w:r>
      <w:r>
        <w:rPr>
          <w:rFonts w:hint="eastAsia" w:cs="黑体"/>
          <w:spacing w:val="-8"/>
          <w:sz w:val="28"/>
          <w:szCs w:val="28"/>
          <w:highlight w:val="none"/>
          <w:lang w:val="en-US" w:eastAsia="zh-CN" w:bidi="zh-CN"/>
        </w:rPr>
        <w:t>1</w:t>
      </w:r>
      <w:r>
        <w:rPr>
          <w:rFonts w:hint="eastAsia" w:ascii="黑体" w:hAnsi="黑体" w:eastAsia="黑体" w:cs="黑体"/>
          <w:spacing w:val="-8"/>
          <w:sz w:val="28"/>
          <w:szCs w:val="28"/>
          <w:highlight w:val="none"/>
          <w:lang w:val="en-US" w:eastAsia="zh-CN" w:bidi="zh-CN"/>
        </w:rPr>
        <w:t>）</w:t>
      </w:r>
      <w:r>
        <w:rPr>
          <w:rFonts w:hint="eastAsia" w:cs="黑体"/>
          <w:spacing w:val="-8"/>
          <w:sz w:val="28"/>
          <w:szCs w:val="28"/>
          <w:highlight w:val="none"/>
          <w:lang w:val="en-US" w:eastAsia="zh-CN" w:bidi="zh-CN"/>
        </w:rPr>
        <w:t>溢洪道</w:t>
      </w:r>
    </w:p>
    <w:p w14:paraId="44961666">
      <w:pPr>
        <w:pStyle w:val="4"/>
        <w:keepNext w:val="0"/>
        <w:keepLines w:val="0"/>
        <w:pageBreakBefore w:val="0"/>
        <w:widowControl w:val="0"/>
        <w:kinsoku/>
        <w:wordWrap/>
        <w:overflowPunct/>
        <w:topLinePunct w:val="0"/>
        <w:autoSpaceDE w:val="0"/>
        <w:autoSpaceDN w:val="0"/>
        <w:bidi w:val="0"/>
        <w:adjustRightInd/>
        <w:snapToGrid w:val="0"/>
        <w:spacing w:line="360" w:lineRule="auto"/>
        <w:ind w:right="181" w:firstLine="560" w:firstLineChars="200"/>
        <w:textAlignment w:val="auto"/>
        <w:rPr>
          <w:rFonts w:hint="default" w:ascii="宋体" w:hAnsi="宋体" w:eastAsia="黑体"/>
          <w:color w:val="auto"/>
          <w:sz w:val="28"/>
          <w:szCs w:val="28"/>
          <w:highlight w:val="none"/>
          <w:lang w:val="en-US" w:eastAsia="zh-CN"/>
        </w:rPr>
      </w:pPr>
      <w:r>
        <w:rPr>
          <w:rFonts w:hint="eastAsia" w:ascii="宋体" w:hAnsi="宋体"/>
          <w:color w:val="auto"/>
          <w:sz w:val="28"/>
          <w:szCs w:val="28"/>
          <w:highlight w:val="none"/>
          <w:lang w:val="en-US" w:eastAsia="zh-CN"/>
        </w:rPr>
        <w:t>在溢流侧堰迎水面设C25砼防渗墙，厚度为20cm，总高1.5m，长9m，采用ф12@500钢筋锚固，锚入深度0.5m。</w:t>
      </w:r>
    </w:p>
    <w:p w14:paraId="5E14C50F">
      <w:pPr>
        <w:pStyle w:val="4"/>
        <w:keepNext w:val="0"/>
        <w:keepLines w:val="0"/>
        <w:pageBreakBefore w:val="0"/>
        <w:widowControl w:val="0"/>
        <w:kinsoku/>
        <w:wordWrap/>
        <w:overflowPunct/>
        <w:topLinePunct w:val="0"/>
        <w:autoSpaceDE w:val="0"/>
        <w:autoSpaceDN w:val="0"/>
        <w:bidi w:val="0"/>
        <w:adjustRightInd/>
        <w:snapToGrid w:val="0"/>
        <w:spacing w:line="360" w:lineRule="auto"/>
        <w:ind w:right="181" w:firstLine="560" w:firstLineChars="200"/>
        <w:textAlignment w:val="auto"/>
        <w:rPr>
          <w:rFonts w:hint="eastAsia"/>
          <w:color w:val="auto"/>
          <w:spacing w:val="-8"/>
          <w:sz w:val="28"/>
          <w:szCs w:val="28"/>
          <w:highlight w:val="none"/>
          <w:lang w:val="en-US" w:eastAsia="zh-CN"/>
        </w:rPr>
      </w:pPr>
      <w:r>
        <w:rPr>
          <w:rFonts w:hint="eastAsia" w:ascii="宋体" w:hAnsi="宋体"/>
          <w:color w:val="auto"/>
          <w:sz w:val="28"/>
          <w:szCs w:val="28"/>
          <w:highlight w:val="none"/>
        </w:rPr>
        <w:t>在溢洪道</w:t>
      </w:r>
      <w:r>
        <w:rPr>
          <w:rFonts w:hint="eastAsia" w:ascii="宋体" w:hAnsi="宋体"/>
          <w:color w:val="auto"/>
          <w:sz w:val="28"/>
          <w:szCs w:val="28"/>
          <w:highlight w:val="none"/>
          <w:lang w:val="en-US" w:eastAsia="zh-CN"/>
        </w:rPr>
        <w:t>进口段右侧</w:t>
      </w:r>
      <w:r>
        <w:rPr>
          <w:rFonts w:hint="eastAsia" w:ascii="宋体" w:hAnsi="宋体"/>
          <w:color w:val="auto"/>
          <w:sz w:val="28"/>
          <w:szCs w:val="28"/>
          <w:highlight w:val="none"/>
        </w:rPr>
        <w:t>边墙顶部安装304不锈钢护栏（设计为主杆为</w:t>
      </w:r>
      <w:r>
        <w:rPr>
          <w:rFonts w:hint="default" w:ascii="ISOCPEUR" w:hAnsi="ISOCPEUR" w:eastAsia="ISOCPEUR"/>
          <w:color w:val="auto"/>
          <w:sz w:val="28"/>
          <w:szCs w:val="28"/>
          <w:highlight w:val="none"/>
        </w:rPr>
        <w:t>∅</w:t>
      </w:r>
      <w:r>
        <w:rPr>
          <w:rFonts w:hint="eastAsia" w:ascii="宋体" w:hAnsi="宋体"/>
          <w:color w:val="auto"/>
          <w:sz w:val="28"/>
          <w:szCs w:val="28"/>
          <w:highlight w:val="none"/>
        </w:rPr>
        <w:t>50mm不锈钢管，副杆为</w:t>
      </w:r>
      <w:r>
        <w:rPr>
          <w:rFonts w:hint="default" w:ascii="ISOCPEUR" w:hAnsi="ISOCPEUR" w:eastAsia="ISOCPEUR"/>
          <w:color w:val="auto"/>
          <w:sz w:val="28"/>
          <w:szCs w:val="28"/>
          <w:highlight w:val="none"/>
        </w:rPr>
        <w:t>∅</w:t>
      </w:r>
      <w:r>
        <w:rPr>
          <w:rFonts w:hint="eastAsia" w:ascii="宋体" w:hAnsi="宋体"/>
          <w:color w:val="auto"/>
          <w:sz w:val="28"/>
          <w:szCs w:val="28"/>
          <w:highlight w:val="none"/>
        </w:rPr>
        <w:t>20mm不锈钢管，间距100mm焊接。业主可自行更改），长</w:t>
      </w:r>
      <w:r>
        <w:rPr>
          <w:rFonts w:hint="eastAsia" w:ascii="宋体" w:hAnsi="宋体"/>
          <w:color w:val="auto"/>
          <w:sz w:val="28"/>
          <w:szCs w:val="28"/>
          <w:highlight w:val="none"/>
          <w:lang w:val="en-US" w:eastAsia="zh-CN"/>
        </w:rPr>
        <w:t>4</w:t>
      </w:r>
      <w:r>
        <w:rPr>
          <w:rFonts w:hint="eastAsia" w:ascii="宋体" w:hAnsi="宋体"/>
          <w:color w:val="auto"/>
          <w:sz w:val="28"/>
          <w:szCs w:val="28"/>
          <w:highlight w:val="none"/>
        </w:rPr>
        <w:t>5m，高1.2m</w:t>
      </w:r>
      <w:r>
        <w:rPr>
          <w:rFonts w:hint="eastAsia"/>
          <w:color w:val="auto"/>
          <w:spacing w:val="-8"/>
          <w:sz w:val="28"/>
          <w:szCs w:val="28"/>
          <w:highlight w:val="none"/>
          <w:lang w:val="en-US" w:eastAsia="zh-CN"/>
        </w:rPr>
        <w:t>，共计54m</w:t>
      </w:r>
      <w:r>
        <w:rPr>
          <w:rFonts w:hint="eastAsia"/>
          <w:color w:val="auto"/>
          <w:spacing w:val="-8"/>
          <w:sz w:val="28"/>
          <w:szCs w:val="28"/>
          <w:highlight w:val="none"/>
          <w:vertAlign w:val="superscript"/>
          <w:lang w:val="en-US" w:eastAsia="zh-CN"/>
        </w:rPr>
        <w:t>2</w:t>
      </w:r>
      <w:r>
        <w:rPr>
          <w:rFonts w:hint="eastAsia"/>
          <w:color w:val="auto"/>
          <w:spacing w:val="-8"/>
          <w:sz w:val="28"/>
          <w:szCs w:val="28"/>
          <w:highlight w:val="none"/>
          <w:lang w:val="en-US" w:eastAsia="zh-CN"/>
        </w:rPr>
        <w:t>。同时左侧边墙砂浆脱落处，采用M10水泥砂浆开槽勾缝，面积约40m</w:t>
      </w:r>
      <w:r>
        <w:rPr>
          <w:rFonts w:hint="eastAsia"/>
          <w:color w:val="auto"/>
          <w:spacing w:val="-8"/>
          <w:sz w:val="28"/>
          <w:szCs w:val="28"/>
          <w:highlight w:val="none"/>
          <w:vertAlign w:val="superscript"/>
          <w:lang w:val="en-US" w:eastAsia="zh-CN"/>
        </w:rPr>
        <w:t>2</w:t>
      </w:r>
      <w:r>
        <w:rPr>
          <w:rFonts w:hint="eastAsia"/>
          <w:color w:val="auto"/>
          <w:spacing w:val="-8"/>
          <w:sz w:val="28"/>
          <w:szCs w:val="28"/>
          <w:highlight w:val="none"/>
          <w:lang w:val="en-US" w:eastAsia="zh-CN"/>
        </w:rPr>
        <w:t>。</w:t>
      </w:r>
    </w:p>
    <w:p w14:paraId="48FD0C26">
      <w:pPr>
        <w:pStyle w:val="4"/>
        <w:keepNext w:val="0"/>
        <w:keepLines w:val="0"/>
        <w:pageBreakBefore w:val="0"/>
        <w:widowControl w:val="0"/>
        <w:kinsoku/>
        <w:wordWrap/>
        <w:overflowPunct/>
        <w:topLinePunct w:val="0"/>
        <w:autoSpaceDE w:val="0"/>
        <w:autoSpaceDN w:val="0"/>
        <w:bidi w:val="0"/>
        <w:adjustRightInd/>
        <w:snapToGrid w:val="0"/>
        <w:spacing w:line="360" w:lineRule="auto"/>
        <w:ind w:right="181" w:firstLine="528" w:firstLineChars="200"/>
        <w:textAlignment w:val="auto"/>
        <w:rPr>
          <w:rFonts w:hint="eastAsia"/>
          <w:color w:val="auto"/>
          <w:spacing w:val="-8"/>
          <w:sz w:val="28"/>
          <w:szCs w:val="28"/>
          <w:highlight w:val="none"/>
          <w:lang w:val="en-US" w:eastAsia="zh-CN"/>
        </w:rPr>
      </w:pPr>
      <w:r>
        <w:rPr>
          <w:rFonts w:hint="eastAsia"/>
          <w:color w:val="auto"/>
          <w:spacing w:val="-8"/>
          <w:sz w:val="28"/>
          <w:szCs w:val="28"/>
          <w:highlight w:val="none"/>
          <w:lang w:val="en-US" w:eastAsia="zh-CN"/>
        </w:rPr>
        <w:t>溢洪道消力池段，保持原溢洪道泄流能力不变，拆除重建溢洪道右侧边墙，长9m，边墙顶宽0.6m，总高3.9m，底宽1.5m，左侧边墙加高1.2m，顶宽0.6m，长度15m。</w:t>
      </w:r>
      <w:r>
        <w:rPr>
          <w:rFonts w:hint="default"/>
          <w:spacing w:val="-8"/>
          <w:lang w:val="en-US" w:eastAsia="zh-CN"/>
        </w:rPr>
        <w:t>边墙迎水面采用M10水泥砂浆开槽勾缝</w:t>
      </w:r>
      <w:r>
        <w:rPr>
          <w:rFonts w:hint="eastAsia"/>
          <w:spacing w:val="-8"/>
          <w:lang w:val="en-US" w:eastAsia="zh-CN"/>
        </w:rPr>
        <w:t>。</w:t>
      </w:r>
      <w:r>
        <w:rPr>
          <w:rFonts w:hint="eastAsia"/>
          <w:color w:val="auto"/>
          <w:spacing w:val="-8"/>
          <w:sz w:val="28"/>
          <w:szCs w:val="28"/>
          <w:highlight w:val="none"/>
          <w:lang w:val="en-US" w:eastAsia="zh-CN"/>
        </w:rPr>
        <w:t>同时恢复消力池底板，底板为C25钢筋砼底板φ8@200双层双向 20cm厚。</w:t>
      </w:r>
    </w:p>
    <w:p w14:paraId="087633DB">
      <w:pPr>
        <w:pStyle w:val="4"/>
        <w:keepNext w:val="0"/>
        <w:keepLines w:val="0"/>
        <w:pageBreakBefore w:val="0"/>
        <w:widowControl w:val="0"/>
        <w:numPr>
          <w:ilvl w:val="0"/>
          <w:numId w:val="3"/>
        </w:numPr>
        <w:kinsoku/>
        <w:wordWrap/>
        <w:overflowPunct/>
        <w:topLinePunct w:val="0"/>
        <w:autoSpaceDE w:val="0"/>
        <w:autoSpaceDN w:val="0"/>
        <w:bidi w:val="0"/>
        <w:adjustRightInd/>
        <w:snapToGrid w:val="0"/>
        <w:spacing w:line="360" w:lineRule="auto"/>
        <w:ind w:right="181" w:firstLine="528" w:firstLineChars="200"/>
        <w:textAlignment w:val="auto"/>
        <w:rPr>
          <w:rFonts w:hint="eastAsia"/>
          <w:color w:val="auto"/>
          <w:spacing w:val="-8"/>
          <w:sz w:val="28"/>
          <w:szCs w:val="28"/>
          <w:highlight w:val="none"/>
          <w:lang w:val="en-US" w:eastAsia="zh-CN"/>
        </w:rPr>
      </w:pPr>
      <w:r>
        <w:rPr>
          <w:rFonts w:hint="eastAsia"/>
          <w:color w:val="auto"/>
          <w:spacing w:val="-8"/>
          <w:sz w:val="28"/>
          <w:szCs w:val="28"/>
          <w:highlight w:val="none"/>
          <w:lang w:val="en-US" w:eastAsia="zh-CN"/>
        </w:rPr>
        <w:t>放水竖井</w:t>
      </w:r>
    </w:p>
    <w:p w14:paraId="5D9AC2ED">
      <w:pPr>
        <w:pStyle w:val="4"/>
        <w:keepNext w:val="0"/>
        <w:keepLines w:val="0"/>
        <w:pageBreakBefore w:val="0"/>
        <w:widowControl w:val="0"/>
        <w:kinsoku/>
        <w:wordWrap/>
        <w:overflowPunct/>
        <w:topLinePunct w:val="0"/>
        <w:autoSpaceDE w:val="0"/>
        <w:autoSpaceDN w:val="0"/>
        <w:bidi w:val="0"/>
        <w:adjustRightInd/>
        <w:snapToGrid w:val="0"/>
        <w:spacing w:line="360" w:lineRule="auto"/>
        <w:ind w:right="181" w:firstLine="528" w:firstLineChars="200"/>
        <w:textAlignment w:val="auto"/>
        <w:rPr>
          <w:rFonts w:hint="default"/>
          <w:color w:val="auto"/>
          <w:spacing w:val="-8"/>
          <w:sz w:val="28"/>
          <w:szCs w:val="28"/>
          <w:highlight w:val="none"/>
          <w:lang w:val="en-US" w:eastAsia="zh-CN"/>
        </w:rPr>
      </w:pPr>
      <w:r>
        <w:rPr>
          <w:rFonts w:hint="default"/>
          <w:color w:val="auto"/>
          <w:spacing w:val="-8"/>
          <w:sz w:val="28"/>
          <w:szCs w:val="28"/>
          <w:highlight w:val="none"/>
          <w:lang w:val="en-US" w:eastAsia="zh-CN"/>
        </w:rPr>
        <w:t>对放水竖井内部墙体重新</w:t>
      </w:r>
      <w:r>
        <w:rPr>
          <w:rFonts w:hint="eastAsia"/>
          <w:color w:val="auto"/>
          <w:spacing w:val="-8"/>
          <w:sz w:val="28"/>
          <w:szCs w:val="28"/>
          <w:highlight w:val="none"/>
          <w:lang w:val="en-US" w:eastAsia="zh-CN"/>
        </w:rPr>
        <w:t>采用M10水泥砂浆</w:t>
      </w:r>
      <w:r>
        <w:rPr>
          <w:rFonts w:hint="default"/>
          <w:color w:val="auto"/>
          <w:spacing w:val="-8"/>
          <w:sz w:val="28"/>
          <w:szCs w:val="28"/>
          <w:highlight w:val="none"/>
          <w:lang w:val="en-US" w:eastAsia="zh-CN"/>
        </w:rPr>
        <w:t>开槽勾缝</w:t>
      </w:r>
      <w:r>
        <w:rPr>
          <w:rFonts w:hint="eastAsia"/>
          <w:color w:val="auto"/>
          <w:spacing w:val="-8"/>
          <w:sz w:val="28"/>
          <w:szCs w:val="28"/>
          <w:highlight w:val="none"/>
          <w:lang w:val="en-US" w:eastAsia="zh-CN"/>
        </w:rPr>
        <w:t>，</w:t>
      </w:r>
      <w:r>
        <w:rPr>
          <w:rFonts w:hint="default"/>
          <w:color w:val="auto"/>
          <w:spacing w:val="-8"/>
          <w:sz w:val="28"/>
          <w:szCs w:val="28"/>
          <w:highlight w:val="none"/>
          <w:lang w:val="en-US" w:eastAsia="zh-CN"/>
        </w:rPr>
        <w:t>抹防水砂浆</w:t>
      </w:r>
      <w:r>
        <w:rPr>
          <w:rFonts w:hint="eastAsia"/>
          <w:color w:val="auto"/>
          <w:spacing w:val="-8"/>
          <w:sz w:val="28"/>
          <w:szCs w:val="28"/>
          <w:highlight w:val="none"/>
          <w:lang w:val="en-US" w:eastAsia="zh-CN"/>
        </w:rPr>
        <w:t>厚度25mm，面积约33m</w:t>
      </w:r>
      <w:r>
        <w:rPr>
          <w:rFonts w:hint="eastAsia"/>
          <w:color w:val="auto"/>
          <w:spacing w:val="-8"/>
          <w:sz w:val="28"/>
          <w:szCs w:val="28"/>
          <w:highlight w:val="none"/>
          <w:vertAlign w:val="superscript"/>
          <w:lang w:val="en-US" w:eastAsia="zh-CN"/>
        </w:rPr>
        <w:t>2</w:t>
      </w:r>
      <w:r>
        <w:rPr>
          <w:rFonts w:hint="eastAsia"/>
          <w:color w:val="auto"/>
          <w:spacing w:val="-8"/>
          <w:sz w:val="28"/>
          <w:szCs w:val="28"/>
          <w:highlight w:val="none"/>
          <w:lang w:val="en-US" w:eastAsia="zh-CN"/>
        </w:rPr>
        <w:t>。</w:t>
      </w:r>
    </w:p>
    <w:p w14:paraId="0675F077">
      <w:pPr>
        <w:pStyle w:val="4"/>
        <w:numPr>
          <w:ilvl w:val="0"/>
          <w:numId w:val="1"/>
        </w:numPr>
        <w:spacing w:before="61"/>
        <w:rPr>
          <w:sz w:val="32"/>
          <w:szCs w:val="32"/>
          <w:highlight w:val="none"/>
          <w:lang w:val="en-US"/>
        </w:rPr>
      </w:pPr>
      <w:r>
        <w:rPr>
          <w:rFonts w:hint="eastAsia"/>
          <w:sz w:val="32"/>
          <w:szCs w:val="32"/>
          <w:highlight w:val="none"/>
          <w:lang w:val="en-US"/>
        </w:rPr>
        <w:t>施工技术要求</w:t>
      </w:r>
    </w:p>
    <w:p w14:paraId="63AE98AA">
      <w:pPr>
        <w:pStyle w:val="4"/>
        <w:spacing w:before="8"/>
        <w:rPr>
          <w:sz w:val="20"/>
          <w:highlight w:val="none"/>
        </w:rPr>
      </w:pPr>
    </w:p>
    <w:p w14:paraId="51101879">
      <w:pPr>
        <w:pStyle w:val="4"/>
        <w:spacing w:line="358" w:lineRule="exact"/>
        <w:ind w:left="659"/>
      </w:pPr>
      <w:r>
        <w:t>（</w:t>
      </w:r>
      <w:r>
        <w:rPr>
          <w:rFonts w:hint="eastAsia"/>
          <w:lang w:val="en-US" w:eastAsia="zh-CN"/>
        </w:rPr>
        <w:t>1</w:t>
      </w:r>
      <w:r>
        <w:t>）混凝土</w:t>
      </w:r>
    </w:p>
    <w:p w14:paraId="1D6697A2">
      <w:pPr>
        <w:pStyle w:val="4"/>
        <w:spacing w:before="9"/>
        <w:rPr>
          <w:sz w:val="20"/>
        </w:rPr>
      </w:pPr>
    </w:p>
    <w:p w14:paraId="63164C92">
      <w:pPr>
        <w:pStyle w:val="4"/>
        <w:spacing w:line="417" w:lineRule="auto"/>
        <w:ind w:left="100" w:right="38" w:firstLine="559"/>
      </w:pPr>
      <w:r>
        <w:rPr>
          <w:spacing w:val="-9"/>
        </w:rPr>
        <w:t>本</w:t>
      </w:r>
      <w:r>
        <w:rPr>
          <w:rFonts w:hint="eastAsia"/>
          <w:spacing w:val="-9"/>
          <w:lang w:val="en-US" w:eastAsia="zh-CN"/>
        </w:rPr>
        <w:t>工程</w:t>
      </w:r>
      <w:r>
        <w:rPr>
          <w:spacing w:val="-9"/>
        </w:rPr>
        <w:t>混凝土用量较小，混凝土采用</w:t>
      </w:r>
      <w:r>
        <w:rPr>
          <w:rFonts w:hint="eastAsia"/>
          <w:spacing w:val="-9"/>
          <w:lang w:val="en-US" w:eastAsia="zh-CN"/>
        </w:rPr>
        <w:t>自拌砼</w:t>
      </w:r>
      <w:r>
        <w:rPr>
          <w:spacing w:val="-9"/>
        </w:rPr>
        <w:t>，组合钢模板，人工</w:t>
      </w:r>
      <w:r>
        <w:rPr>
          <w:spacing w:val="-19"/>
        </w:rPr>
        <w:t>立模方式。模板安装过程应与钢筋架设、混凝土浇筑等工序密切配合，做到互不干扰。</w:t>
      </w:r>
      <w:r>
        <w:rPr>
          <w:spacing w:val="-9"/>
        </w:rPr>
        <w:t>钢筋在加工厂加工成型运至现场，人工绑扎。各部位</w:t>
      </w:r>
      <w:r>
        <w:rPr>
          <w:rFonts w:hint="eastAsia"/>
          <w:spacing w:val="-9"/>
        </w:rPr>
        <w:t>混凝土浇筑</w:t>
      </w:r>
      <w:bookmarkStart w:id="3" w:name="_GoBack"/>
      <w:bookmarkEnd w:id="3"/>
      <w:r>
        <w:rPr>
          <w:spacing w:val="-6"/>
        </w:rPr>
        <w:t>工中要求作好砼的温控措施，防止砼开裂。</w:t>
      </w:r>
    </w:p>
    <w:p w14:paraId="50171EFD">
      <w:pPr>
        <w:pStyle w:val="4"/>
        <w:spacing w:line="417" w:lineRule="auto"/>
        <w:ind w:left="100" w:right="180" w:firstLine="559"/>
      </w:pPr>
      <w:r>
        <w:rPr>
          <w:spacing w:val="-12"/>
        </w:rPr>
        <w:t>现浇混凝土施工程序为：基础面验收—测量放样—钢筋制安—模板安装—验仓签</w:t>
      </w:r>
      <w:r>
        <w:rPr>
          <w:spacing w:val="-3"/>
        </w:rPr>
        <w:t>证—混凝土浇筑—拆模养护。</w:t>
      </w:r>
    </w:p>
    <w:p w14:paraId="173C2316">
      <w:pPr>
        <w:pStyle w:val="4"/>
        <w:spacing w:line="358" w:lineRule="exact"/>
        <w:ind w:left="659"/>
      </w:pPr>
      <w:r>
        <w:t>施工工艺要求：</w:t>
      </w:r>
    </w:p>
    <w:p w14:paraId="70CE3354">
      <w:pPr>
        <w:pStyle w:val="4"/>
        <w:spacing w:before="9"/>
        <w:rPr>
          <w:sz w:val="20"/>
        </w:rPr>
      </w:pPr>
    </w:p>
    <w:p w14:paraId="6D538E49">
      <w:pPr>
        <w:pStyle w:val="4"/>
        <w:spacing w:line="417" w:lineRule="auto"/>
        <w:ind w:left="100" w:right="177" w:firstLine="559"/>
        <w:jc w:val="both"/>
      </w:pPr>
      <w:r>
        <w:t>1</w:t>
      </w:r>
      <w:r>
        <w:rPr>
          <w:spacing w:val="-1"/>
        </w:rPr>
        <w:t>、混凝土级配为二级，施工前混凝土配合比应进行试验。施工时，混凝土级配</w:t>
      </w:r>
      <w:r>
        <w:rPr>
          <w:spacing w:val="-11"/>
        </w:rPr>
        <w:t>配合比、强度必须达到设计要求，凡不合格的混凝土料严禁入仓。水泥质量符合规范</w:t>
      </w:r>
      <w:r>
        <w:rPr>
          <w:spacing w:val="-8"/>
        </w:rPr>
        <w:t xml:space="preserve">要求，水泥标号不得低于 </w:t>
      </w:r>
      <w:r>
        <w:rPr>
          <w:rFonts w:hint="eastAsia"/>
          <w:lang w:val="en-US" w:eastAsia="zh-CN"/>
        </w:rPr>
        <w:t>3</w:t>
      </w:r>
      <w:r>
        <w:t>2.5R</w:t>
      </w:r>
      <w:r>
        <w:rPr>
          <w:spacing w:val="-3"/>
        </w:rPr>
        <w:t>。水泥、粗细骨料和水应符合国家质量标准。</w:t>
      </w:r>
    </w:p>
    <w:p w14:paraId="2B42470A">
      <w:pPr>
        <w:pStyle w:val="4"/>
        <w:spacing w:line="417" w:lineRule="auto"/>
        <w:ind w:left="100" w:right="178" w:firstLine="559"/>
      </w:pPr>
      <w:r>
        <w:t>2、模板制作安装既要满足设计强度与刚度要求，又要满足施工工艺要求、表面平整光洁、接缝严密，架立安装与支撑牢固可靠，不得有任何松动。</w:t>
      </w:r>
    </w:p>
    <w:p w14:paraId="1245BA3E">
      <w:pPr>
        <w:pStyle w:val="4"/>
        <w:spacing w:line="417" w:lineRule="auto"/>
        <w:ind w:left="100" w:right="178" w:firstLine="559"/>
      </w:pPr>
      <w:r>
        <w:t>3、混凝土浇注前应详细检查仓外模板、钢筋和基础面是否符合设计与规范要求，</w:t>
      </w:r>
    </w:p>
    <w:p w14:paraId="4B9A85A5">
      <w:pPr>
        <w:pStyle w:val="4"/>
        <w:spacing w:line="417" w:lineRule="auto"/>
        <w:ind w:right="178"/>
      </w:pPr>
      <w:r>
        <w:t>经验收合格后方能浇注。</w:t>
      </w:r>
    </w:p>
    <w:p w14:paraId="1BB6C01C">
      <w:pPr>
        <w:pStyle w:val="4"/>
        <w:spacing w:before="1" w:line="417" w:lineRule="auto"/>
        <w:ind w:left="100" w:right="116" w:firstLine="559"/>
      </w:pPr>
      <w:r>
        <w:t>4、混凝土应按顺序和方向分层平仓浇注振捣密实，不得有气泡蜂窝，切实做到</w:t>
      </w:r>
      <w:r>
        <w:rPr>
          <w:spacing w:val="-19"/>
        </w:rPr>
        <w:t xml:space="preserve">内实外美。砼浇筑必须并保持连续性，如因故中止或混凝土施工已超过允许间歇时间， </w:t>
      </w:r>
      <w:r>
        <w:rPr>
          <w:spacing w:val="-3"/>
        </w:rPr>
        <w:t>待复工时必须按工作缝</w:t>
      </w:r>
      <w:r>
        <w:t>（</w:t>
      </w:r>
      <w:r>
        <w:rPr>
          <w:spacing w:val="-3"/>
        </w:rPr>
        <w:t>面</w:t>
      </w:r>
      <w:r>
        <w:t>）</w:t>
      </w:r>
      <w:r>
        <w:rPr>
          <w:spacing w:val="-3"/>
        </w:rPr>
        <w:t>处理后方能进行下步工作。</w:t>
      </w:r>
    </w:p>
    <w:p w14:paraId="0D1F68DF">
      <w:pPr>
        <w:pStyle w:val="4"/>
        <w:spacing w:line="417" w:lineRule="auto"/>
        <w:ind w:left="100" w:right="250" w:firstLine="559"/>
      </w:pPr>
      <w:r>
        <w:t>5、各阶段混凝土浇筑完毕，待初凝后应及时进行养护，养护时间不得少于 10 天。</w:t>
      </w:r>
    </w:p>
    <w:p w14:paraId="2ACD3D5E">
      <w:pPr>
        <w:pStyle w:val="4"/>
        <w:spacing w:line="417" w:lineRule="auto"/>
        <w:ind w:left="100" w:right="254" w:firstLine="559"/>
      </w:pPr>
      <w:r>
        <w:t>6</w:t>
      </w:r>
      <w:r>
        <w:rPr>
          <w:spacing w:val="-9"/>
        </w:rPr>
        <w:t>、本工程应按《水工混凝土施工规范</w:t>
      </w:r>
      <w:r>
        <w:rPr>
          <w:spacing w:val="-168"/>
        </w:rPr>
        <w:t>》</w:t>
      </w:r>
      <w:r>
        <w:rPr>
          <w:spacing w:val="-4"/>
        </w:rPr>
        <w:t>（SL677-2014）</w:t>
      </w:r>
      <w:r>
        <w:rPr>
          <w:spacing w:val="-3"/>
        </w:rPr>
        <w:t>的有关规定进行混凝土表面保护。</w:t>
      </w:r>
    </w:p>
    <w:p w14:paraId="1B0A7DFA">
      <w:pPr>
        <w:pStyle w:val="4"/>
        <w:spacing w:line="417" w:lineRule="auto"/>
        <w:ind w:left="100" w:right="253" w:firstLine="559"/>
        <w:jc w:val="both"/>
      </w:pPr>
      <w:r>
        <w:rPr>
          <w:spacing w:val="-7"/>
        </w:rPr>
        <w:t>混凝土工程施工严格按《水工混凝土施工规范》</w:t>
      </w:r>
      <w:r>
        <w:t>（SL677-2014）进行。施工质量</w:t>
      </w:r>
      <w:r>
        <w:rPr>
          <w:spacing w:val="-12"/>
        </w:rPr>
        <w:t>按《混凝土质量控制标准》</w:t>
      </w:r>
      <w:r>
        <w:t>（GB50164-2011）进行控制，且严格执行《水工混凝土试</w:t>
      </w:r>
      <w:r>
        <w:rPr>
          <w:spacing w:val="-43"/>
          <w:w w:val="100"/>
        </w:rPr>
        <w:t>验规程》</w:t>
      </w:r>
      <w:r>
        <w:rPr>
          <w:w w:val="100"/>
        </w:rPr>
        <w:t>（</w:t>
      </w:r>
      <w:r>
        <w:rPr>
          <w:spacing w:val="-2"/>
          <w:w w:val="100"/>
        </w:rPr>
        <w:t>SL3</w:t>
      </w:r>
      <w:r>
        <w:rPr>
          <w:w w:val="100"/>
        </w:rPr>
        <w:t>5</w:t>
      </w:r>
      <w:r>
        <w:rPr>
          <w:spacing w:val="-2"/>
          <w:w w:val="100"/>
        </w:rPr>
        <w:t>2-</w:t>
      </w:r>
      <w:r>
        <w:rPr>
          <w:w w:val="100"/>
        </w:rPr>
        <w:t>2</w:t>
      </w:r>
      <w:r>
        <w:rPr>
          <w:spacing w:val="-2"/>
          <w:w w:val="100"/>
        </w:rPr>
        <w:t>0</w:t>
      </w:r>
      <w:r>
        <w:rPr>
          <w:w w:val="100"/>
        </w:rPr>
        <w:t>0</w:t>
      </w:r>
      <w:r>
        <w:rPr>
          <w:spacing w:val="-1"/>
          <w:w w:val="100"/>
        </w:rPr>
        <w:t>6</w:t>
      </w:r>
      <w:r>
        <w:rPr>
          <w:spacing w:val="-140"/>
          <w:w w:val="100"/>
        </w:rPr>
        <w:t>）</w:t>
      </w:r>
      <w:r>
        <w:rPr>
          <w:spacing w:val="-10"/>
          <w:w w:val="100"/>
        </w:rPr>
        <w:t>。混凝土一个单元工程施工完毕，将资料整理归档，及时组织</w:t>
      </w:r>
      <w:r>
        <w:rPr>
          <w:spacing w:val="-8"/>
        </w:rPr>
        <w:t>验收评定。</w:t>
      </w:r>
    </w:p>
    <w:p w14:paraId="73DD61A8">
      <w:pPr>
        <w:pStyle w:val="4"/>
        <w:spacing w:before="1" w:line="417" w:lineRule="auto"/>
        <w:ind w:left="100" w:right="252" w:firstLine="559"/>
        <w:jc w:val="both"/>
        <w:rPr>
          <w:rFonts w:hint="eastAsia"/>
        </w:rPr>
      </w:pPr>
      <w:r>
        <w:rPr>
          <w:rFonts w:hint="eastAsia"/>
        </w:rPr>
        <w:t>（</w:t>
      </w:r>
      <w:r>
        <w:rPr>
          <w:rFonts w:hint="eastAsia"/>
          <w:lang w:val="en-US" w:eastAsia="zh-CN"/>
        </w:rPr>
        <w:t>2</w:t>
      </w:r>
      <w:r>
        <w:rPr>
          <w:rFonts w:hint="eastAsia"/>
        </w:rPr>
        <w:t>）浆砌条石</w:t>
      </w:r>
    </w:p>
    <w:p w14:paraId="1399A0FD">
      <w:pPr>
        <w:pStyle w:val="4"/>
        <w:spacing w:before="1" w:line="417" w:lineRule="auto"/>
        <w:ind w:left="100" w:right="252" w:firstLine="559"/>
        <w:jc w:val="both"/>
        <w:rPr>
          <w:rFonts w:hint="eastAsia"/>
        </w:rPr>
      </w:pPr>
      <w:r>
        <w:rPr>
          <w:rFonts w:hint="eastAsia"/>
        </w:rPr>
        <w:t>浆砌石砌筑施工参照《浆砌石坝设计规范》（SL25-2006）及相关的施工技术规范执行。</w:t>
      </w:r>
    </w:p>
    <w:p w14:paraId="2E201319">
      <w:pPr>
        <w:pStyle w:val="4"/>
        <w:spacing w:before="1" w:line="417" w:lineRule="auto"/>
        <w:ind w:left="100" w:right="252" w:firstLine="559"/>
        <w:jc w:val="both"/>
        <w:rPr>
          <w:rFonts w:hint="eastAsia"/>
        </w:rPr>
      </w:pPr>
      <w:r>
        <w:rPr>
          <w:rFonts w:hint="eastAsia"/>
        </w:rPr>
        <w:t>浆砌石施工工艺及施工的要求，施工程序为:基础面验收→铺浆→安砌→填缝→</w:t>
      </w:r>
    </w:p>
    <w:p w14:paraId="2CEA44B0">
      <w:pPr>
        <w:pStyle w:val="4"/>
        <w:spacing w:before="1" w:line="417" w:lineRule="auto"/>
        <w:ind w:left="100" w:right="252" w:firstLine="559"/>
        <w:jc w:val="both"/>
        <w:rPr>
          <w:rFonts w:hint="eastAsia"/>
        </w:rPr>
      </w:pPr>
      <w:r>
        <w:rPr>
          <w:rFonts w:hint="eastAsia"/>
        </w:rPr>
        <w:t>插捣→勾缝→养护→下一循环。</w:t>
      </w:r>
    </w:p>
    <w:p w14:paraId="7EDD6D86">
      <w:pPr>
        <w:pStyle w:val="4"/>
        <w:spacing w:before="1" w:line="417" w:lineRule="auto"/>
        <w:ind w:left="100" w:right="252" w:firstLine="559"/>
        <w:jc w:val="both"/>
        <w:rPr>
          <w:rFonts w:hint="eastAsia"/>
        </w:rPr>
      </w:pPr>
      <w:r>
        <w:rPr>
          <w:rFonts w:hint="eastAsia"/>
        </w:rPr>
        <w:t>建基面经打毛冲洗处理并符合设计及规范要求，经验收签证后方可砌筑。在砌筑前清除石料表面泥土及水锈，并进行冲洗。浆砌条石施工方法采用座浆法砌筑。对于土质基础，砌筑前先将基础夯实，并在基础面上铺一层 3～5cm 厚的稠砂浆，然后再安放条石，对于岩石基础，铺浆前先将基础表面泥土、杂物清除并冲洗干净，洒水湿润。条石在砌筑前必须冲洗干净、并洒水湿润。砌石要并层、错缝砌筑。</w:t>
      </w:r>
    </w:p>
    <w:p w14:paraId="5EE214F9">
      <w:pPr>
        <w:pStyle w:val="4"/>
        <w:spacing w:before="1" w:line="417" w:lineRule="auto"/>
        <w:ind w:left="100" w:right="252" w:firstLine="559"/>
        <w:jc w:val="both"/>
        <w:rPr>
          <w:rFonts w:hint="eastAsia" w:ascii="黑体" w:hAnsi="黑体" w:eastAsia="黑体" w:cs="黑体"/>
          <w:spacing w:val="-7"/>
          <w:sz w:val="28"/>
          <w:szCs w:val="28"/>
          <w:highlight w:val="none"/>
          <w:lang w:val="en-US" w:eastAsia="zh-CN" w:bidi="zh-CN"/>
        </w:rPr>
      </w:pPr>
      <w:r>
        <w:rPr>
          <w:rFonts w:hint="eastAsia"/>
        </w:rPr>
        <w:t>条石砌筑采用座浆分层法砌筑，即先铺砂浆后砌筑。同一层面应大致砌平，相邻砌筑石块高差不超过 2～3cm。条石安砌必须稳固，严禁条石直接接触，座浆及砌缝砂浆填塞应饱满密实，铺浆应均匀，竖缝填塞砂浆后应插捣至表面泛浆为止。同一砌层内，相邻块条石应错缝砌筑，不得存在通缝；上下相邻砌筑条石，也应错缝搭接， 避免竖向通缝。每隔一定距离，应安砌一丁石。在浆砌条石砌筑完成 24 小时后，进行清缝，清缝深度小于砌缝宽度的 2 倍，清缝宽度不小于砌缝宽度。勾缝前必须将缝冲洗干净，不留灰渣、积块，并保持湿润，用单独拌制的砂浆（一般灰砂比为 1:1～ 1:2）向分几次缝内填充，钎插、压实、抹光。浆砌条石外露面，在砌筑后 12～18 小时开始养护，养护时间不少于 14 天。勾缝砂浆初凝即可进行养护，养护时间为 12 天</w:t>
      </w:r>
      <w:r>
        <w:rPr>
          <w:rFonts w:hint="eastAsia"/>
          <w:lang w:eastAsia="zh-CN"/>
        </w:rPr>
        <w:t>。</w:t>
      </w:r>
    </w:p>
    <w:p w14:paraId="53755C3E">
      <w:pPr>
        <w:pStyle w:val="4"/>
        <w:spacing w:line="417" w:lineRule="auto"/>
        <w:ind w:right="180" w:firstLine="640" w:firstLineChars="200"/>
        <w:rPr>
          <w:sz w:val="32"/>
          <w:szCs w:val="32"/>
          <w:highlight w:val="none"/>
          <w:lang w:val="en-US"/>
        </w:rPr>
      </w:pPr>
      <w:r>
        <w:rPr>
          <w:rFonts w:hint="eastAsia"/>
          <w:sz w:val="32"/>
          <w:szCs w:val="32"/>
          <w:highlight w:val="none"/>
          <w:lang w:val="en-US"/>
        </w:rPr>
        <w:t>六、其他主要建筑材料要求</w:t>
      </w:r>
    </w:p>
    <w:p w14:paraId="22C5687F">
      <w:pPr>
        <w:pStyle w:val="4"/>
        <w:numPr>
          <w:ilvl w:val="0"/>
          <w:numId w:val="4"/>
        </w:numPr>
        <w:spacing w:before="1" w:line="417" w:lineRule="auto"/>
        <w:ind w:left="100" w:right="252" w:firstLine="559"/>
        <w:jc w:val="both"/>
        <w:rPr>
          <w:highlight w:val="none"/>
        </w:rPr>
      </w:pPr>
      <w:r>
        <w:rPr>
          <w:highlight w:val="none"/>
        </w:rPr>
        <w:t>砂</w:t>
      </w:r>
    </w:p>
    <w:p w14:paraId="41759E6F">
      <w:pPr>
        <w:pStyle w:val="4"/>
        <w:spacing w:before="1" w:line="417" w:lineRule="auto"/>
        <w:ind w:left="100" w:right="252" w:firstLine="559"/>
        <w:jc w:val="both"/>
        <w:rPr>
          <w:highlight w:val="none"/>
        </w:rPr>
      </w:pPr>
      <w:r>
        <w:rPr>
          <w:rFonts w:hint="eastAsia"/>
          <w:highlight w:val="none"/>
        </w:rPr>
        <w:t>砂的质量应符合《浆砌石坝施工技术规定》（SD120-84）表 2.1.2 和表 2.1.3 的规定。砂浆采用的砂料，要求粒径为 0.15～5mm，细度模数为 2.5～3.0。</w:t>
      </w:r>
    </w:p>
    <w:p w14:paraId="6A9F7468">
      <w:pPr>
        <w:pStyle w:val="4"/>
        <w:numPr>
          <w:ilvl w:val="0"/>
          <w:numId w:val="4"/>
        </w:numPr>
        <w:spacing w:before="1" w:line="417" w:lineRule="auto"/>
        <w:ind w:left="100" w:right="252" w:firstLine="559"/>
        <w:jc w:val="both"/>
        <w:rPr>
          <w:highlight w:val="none"/>
        </w:rPr>
      </w:pPr>
      <w:r>
        <w:rPr>
          <w:highlight w:val="none"/>
        </w:rPr>
        <w:t>碎石</w:t>
      </w:r>
    </w:p>
    <w:p w14:paraId="114B3285">
      <w:pPr>
        <w:pStyle w:val="4"/>
        <w:spacing w:before="1" w:line="417" w:lineRule="auto"/>
        <w:ind w:left="100" w:right="252" w:firstLine="559"/>
        <w:jc w:val="both"/>
        <w:rPr>
          <w:highlight w:val="none"/>
        </w:rPr>
      </w:pPr>
      <w:r>
        <w:rPr>
          <w:rFonts w:hint="eastAsia"/>
          <w:highlight w:val="none"/>
        </w:rPr>
        <w:t>原则采用石灰石或 Mu50 号以上的砂岩由破碎机破碎呈立方体的成型碎石，薄片、针状碎石含量不得大于 15％。碎石的粒径分成 5～20mm 和 20～40mm，最大粒径为40mm。其他粗骨料的质量要求应符合《水工混凝土施工规范》（SL677-2014）中的相关规定。</w:t>
      </w:r>
    </w:p>
    <w:p w14:paraId="12985007">
      <w:pPr>
        <w:pStyle w:val="4"/>
        <w:spacing w:before="61"/>
        <w:ind w:firstLine="320" w:firstLineChars="100"/>
        <w:rPr>
          <w:sz w:val="32"/>
          <w:szCs w:val="32"/>
          <w:highlight w:val="none"/>
          <w:lang w:val="en-US"/>
        </w:rPr>
      </w:pPr>
      <w:r>
        <w:rPr>
          <w:rFonts w:hint="eastAsia"/>
          <w:sz w:val="32"/>
          <w:szCs w:val="32"/>
          <w:highlight w:val="none"/>
          <w:lang w:val="en-US"/>
        </w:rPr>
        <w:t>七、其他</w:t>
      </w:r>
    </w:p>
    <w:p w14:paraId="3CA03382">
      <w:pPr>
        <w:pStyle w:val="4"/>
        <w:spacing w:before="1" w:line="417" w:lineRule="auto"/>
        <w:ind w:left="100" w:right="252" w:firstLine="559"/>
        <w:jc w:val="both"/>
        <w:rPr>
          <w:highlight w:val="none"/>
        </w:rPr>
      </w:pPr>
      <w:r>
        <w:rPr>
          <w:rFonts w:hint="eastAsia"/>
          <w:highlight w:val="none"/>
        </w:rPr>
        <w:t>（1）施工时应严格按照监理审批的施工方案施工。若施工中，实际情况与设计出现不相符的情况时，请按基本建设程序和要求完善变更设计。</w:t>
      </w:r>
    </w:p>
    <w:p w14:paraId="483E8D17">
      <w:pPr>
        <w:pStyle w:val="4"/>
        <w:spacing w:before="1" w:line="417" w:lineRule="auto"/>
        <w:ind w:left="100" w:right="252" w:firstLine="559"/>
        <w:jc w:val="both"/>
        <w:rPr>
          <w:highlight w:val="none"/>
        </w:rPr>
      </w:pPr>
      <w:r>
        <w:rPr>
          <w:rFonts w:hint="eastAsia"/>
          <w:highlight w:val="none"/>
        </w:rPr>
        <w:t>（</w:t>
      </w:r>
      <w:r>
        <w:rPr>
          <w:rFonts w:hint="eastAsia"/>
          <w:highlight w:val="none"/>
          <w:lang w:val="en-US"/>
        </w:rPr>
        <w:t>2</w:t>
      </w:r>
      <w:r>
        <w:rPr>
          <w:rFonts w:hint="eastAsia"/>
          <w:highlight w:val="none"/>
        </w:rPr>
        <w:t>）未详尽部分，按照有关规程规范、《招标文件》的相关条款及监理工程师的要求执行。</w:t>
      </w:r>
    </w:p>
    <w:p w14:paraId="5EA781F5">
      <w:pPr>
        <w:pStyle w:val="4"/>
        <w:spacing w:before="61"/>
        <w:ind w:firstLine="320" w:firstLineChars="100"/>
        <w:rPr>
          <w:sz w:val="32"/>
          <w:szCs w:val="32"/>
          <w:highlight w:val="none"/>
          <w:lang w:val="en-US"/>
        </w:rPr>
      </w:pPr>
      <w:r>
        <w:rPr>
          <w:rFonts w:hint="eastAsia"/>
          <w:sz w:val="32"/>
          <w:szCs w:val="32"/>
          <w:highlight w:val="none"/>
          <w:lang w:val="en-US"/>
        </w:rPr>
        <w:t>八、工程预算</w:t>
      </w:r>
    </w:p>
    <w:p w14:paraId="494B2E1C">
      <w:pPr>
        <w:pStyle w:val="14"/>
        <w:numPr>
          <w:ilvl w:val="0"/>
          <w:numId w:val="0"/>
        </w:numPr>
        <w:tabs>
          <w:tab w:val="left" w:pos="1362"/>
        </w:tabs>
        <w:spacing w:before="62" w:after="0" w:line="240" w:lineRule="auto"/>
        <w:ind w:right="0" w:rightChars="0"/>
        <w:jc w:val="left"/>
        <w:rPr>
          <w:rFonts w:hint="eastAsia"/>
          <w:b/>
          <w:bCs/>
          <w:sz w:val="28"/>
          <w:lang w:eastAsia="zh-CN"/>
        </w:rPr>
      </w:pPr>
      <w:r>
        <w:rPr>
          <w:rFonts w:hint="eastAsia"/>
          <w:b/>
          <w:bCs/>
          <w:sz w:val="28"/>
          <w:lang w:eastAsia="zh-CN"/>
        </w:rPr>
        <w:t>（</w:t>
      </w:r>
      <w:r>
        <w:rPr>
          <w:rFonts w:hint="eastAsia"/>
          <w:b/>
          <w:bCs/>
          <w:sz w:val="28"/>
          <w:lang w:val="en-US" w:eastAsia="zh-CN"/>
        </w:rPr>
        <w:t>一</w:t>
      </w:r>
      <w:r>
        <w:rPr>
          <w:rFonts w:hint="eastAsia"/>
          <w:b/>
          <w:bCs/>
          <w:sz w:val="28"/>
          <w:lang w:eastAsia="zh-CN"/>
        </w:rPr>
        <w:t>）编制定额及有关规定</w:t>
      </w:r>
    </w:p>
    <w:p w14:paraId="14C06CEC">
      <w:pPr>
        <w:pStyle w:val="4"/>
        <w:spacing w:line="417" w:lineRule="auto"/>
        <w:ind w:left="100" w:right="253" w:firstLine="559"/>
        <w:jc w:val="both"/>
        <w:rPr>
          <w:rFonts w:hint="eastAsia"/>
          <w:spacing w:val="-7"/>
          <w:lang w:eastAsia="zh-CN"/>
        </w:rPr>
      </w:pPr>
      <w:r>
        <w:rPr>
          <w:rFonts w:hint="eastAsia"/>
          <w:spacing w:val="-7"/>
          <w:lang w:eastAsia="zh-CN"/>
        </w:rPr>
        <w:t>（</w:t>
      </w:r>
      <w:r>
        <w:rPr>
          <w:rFonts w:hint="eastAsia"/>
          <w:spacing w:val="-7"/>
          <w:lang w:val="en-US" w:eastAsia="zh-CN"/>
        </w:rPr>
        <w:t>1</w:t>
      </w:r>
      <w:r>
        <w:rPr>
          <w:rFonts w:hint="eastAsia"/>
          <w:spacing w:val="-7"/>
          <w:lang w:eastAsia="zh-CN"/>
        </w:rPr>
        <w:t>）采用有关规定及依据</w:t>
      </w:r>
    </w:p>
    <w:p w14:paraId="7FB625F0">
      <w:pPr>
        <w:pStyle w:val="4"/>
        <w:spacing w:line="417" w:lineRule="auto"/>
        <w:ind w:left="100" w:right="253" w:firstLine="559"/>
        <w:jc w:val="both"/>
        <w:rPr>
          <w:spacing w:val="-7"/>
          <w:highlight w:val="none"/>
          <w:lang w:val="en-US"/>
        </w:rPr>
      </w:pPr>
      <w:r>
        <w:rPr>
          <w:rFonts w:hint="eastAsia"/>
          <w:spacing w:val="-7"/>
          <w:lang w:eastAsia="zh-CN"/>
        </w:rPr>
        <w:t>重庆市水利局、重庆市发展和改革委员会</w:t>
      </w:r>
      <w:r>
        <w:rPr>
          <w:rFonts w:hint="eastAsia"/>
          <w:spacing w:val="-7"/>
          <w:highlight w:val="none"/>
        </w:rPr>
        <w:t>关于发布2021版《重庆市水利工程设计概（估）算编制规定》的通知（渝水建[2021]7号）及重庆市水利局关于发布2021版《重庆市水利建筑工程概算定额》《重庆市水利建筑工程预算定额》《重庆市水利工程机械台式费定额》的通知（渝水建[2021]8号）</w:t>
      </w:r>
      <w:r>
        <w:rPr>
          <w:rFonts w:hint="eastAsia"/>
          <w:spacing w:val="-7"/>
          <w:highlight w:val="none"/>
          <w:lang w:eastAsia="zh-CN"/>
        </w:rPr>
        <w:t>，</w:t>
      </w:r>
      <w:r>
        <w:rPr>
          <w:rFonts w:hint="eastAsia"/>
          <w:spacing w:val="-7"/>
          <w:highlight w:val="none"/>
        </w:rPr>
        <w:t>《关于水利工程营业税改增值税后计价依据调整通知》（渝水[2016]151号），重庆市水利局关于重新调整水利工程和水土保持工程计价依据中增值税税率的通知（渝水[2019]55号）</w:t>
      </w:r>
      <w:r>
        <w:rPr>
          <w:rFonts w:hint="eastAsia"/>
          <w:spacing w:val="-7"/>
          <w:highlight w:val="none"/>
          <w:lang w:eastAsia="zh-CN"/>
        </w:rPr>
        <w:t>、《重庆市水利局办公室关于调整水利工程计价依据安全生产费计算标准的通知》（渝水办建〔2023〕8 号）</w:t>
      </w:r>
      <w:r>
        <w:rPr>
          <w:rFonts w:hint="eastAsia"/>
          <w:spacing w:val="-7"/>
          <w:highlight w:val="none"/>
        </w:rPr>
        <w:t>。</w:t>
      </w:r>
      <w:r>
        <w:rPr>
          <w:rFonts w:hint="eastAsia"/>
          <w:spacing w:val="-7"/>
          <w:highlight w:val="none"/>
          <w:lang w:val="en-US"/>
        </w:rPr>
        <w:t xml:space="preserve"> </w:t>
      </w:r>
    </w:p>
    <w:p w14:paraId="7E61B5EF">
      <w:pPr>
        <w:pStyle w:val="4"/>
        <w:spacing w:line="417" w:lineRule="auto"/>
        <w:ind w:left="100" w:right="253" w:firstLine="559"/>
        <w:jc w:val="both"/>
        <w:rPr>
          <w:spacing w:val="-7"/>
          <w:highlight w:val="none"/>
          <w:lang w:val="en-US"/>
        </w:rPr>
      </w:pPr>
      <w:r>
        <w:rPr>
          <w:rFonts w:hint="eastAsia"/>
          <w:spacing w:val="-7"/>
          <w:highlight w:val="none"/>
          <w:lang w:val="en-US"/>
        </w:rPr>
        <w:t>（2）编制设计预算采用的定额</w:t>
      </w:r>
    </w:p>
    <w:p w14:paraId="3682CE04">
      <w:pPr>
        <w:pStyle w:val="4"/>
        <w:spacing w:line="417" w:lineRule="auto"/>
        <w:ind w:left="100" w:right="253" w:firstLine="559"/>
        <w:jc w:val="both"/>
        <w:rPr>
          <w:spacing w:val="-7"/>
          <w:highlight w:val="none"/>
          <w:lang w:val="en-US"/>
        </w:rPr>
      </w:pPr>
      <w:r>
        <w:rPr>
          <w:rFonts w:hint="eastAsia"/>
          <w:spacing w:val="-7"/>
          <w:highlight w:val="none"/>
          <w:lang w:val="en-US"/>
        </w:rPr>
        <w:t>建筑工程：渝水基[2021]8号发布的《重庆市水利建筑工程预算定额》、《重庆市水利工程机械台时费定额》</w:t>
      </w:r>
      <w:r>
        <w:rPr>
          <w:rFonts w:hint="eastAsia"/>
          <w:highlight w:val="none"/>
        </w:rPr>
        <w:t>及重庆市工民建2018定额</w:t>
      </w:r>
      <w:r>
        <w:rPr>
          <w:rFonts w:hint="eastAsia"/>
          <w:highlight w:val="none"/>
          <w:lang w:val="en-US"/>
        </w:rPr>
        <w:t>。</w:t>
      </w:r>
    </w:p>
    <w:p w14:paraId="465E82D8">
      <w:pPr>
        <w:pStyle w:val="4"/>
        <w:spacing w:before="1" w:line="417" w:lineRule="auto"/>
        <w:ind w:left="100" w:right="252" w:firstLine="559"/>
        <w:jc w:val="both"/>
        <w:rPr>
          <w:highlight w:val="none"/>
          <w:lang w:val="en-US"/>
        </w:rPr>
      </w:pPr>
      <w:r>
        <w:rPr>
          <w:rFonts w:hint="eastAsia"/>
          <w:spacing w:val="-7"/>
          <w:highlight w:val="none"/>
          <w:lang w:val="en-US"/>
        </w:rPr>
        <w:t>安装工程：《重庆市水利工程机械台时费定额》（2021年版）、《重庆市中小型水利水电设备安装工程预算定额》（2008 年版）</w:t>
      </w:r>
      <w:r>
        <w:rPr>
          <w:rFonts w:hint="eastAsia"/>
          <w:highlight w:val="none"/>
        </w:rPr>
        <w:t>及重庆市工民建2018定额</w:t>
      </w:r>
      <w:r>
        <w:rPr>
          <w:rFonts w:hint="eastAsia"/>
          <w:highlight w:val="none"/>
          <w:lang w:val="en-US"/>
        </w:rPr>
        <w:t>。</w:t>
      </w:r>
    </w:p>
    <w:p w14:paraId="2AAE061A">
      <w:pPr>
        <w:pStyle w:val="4"/>
        <w:spacing w:before="1" w:line="417" w:lineRule="auto"/>
        <w:ind w:left="100" w:right="252" w:firstLine="559"/>
        <w:jc w:val="both"/>
        <w:rPr>
          <w:highlight w:val="none"/>
          <w:lang w:val="en-US"/>
        </w:rPr>
      </w:pPr>
      <w:r>
        <w:rPr>
          <w:rFonts w:hint="eastAsia"/>
          <w:highlight w:val="none"/>
          <w:lang w:val="en-US"/>
        </w:rPr>
        <w:t>（二）基础资料</w:t>
      </w:r>
    </w:p>
    <w:p w14:paraId="596B3C7D">
      <w:pPr>
        <w:spacing w:line="360" w:lineRule="auto"/>
        <w:ind w:firstLine="562" w:firstLineChars="200"/>
        <w:rPr>
          <w:rFonts w:ascii="宋体" w:hAnsi="宋体"/>
          <w:b/>
          <w:snapToGrid w:val="0"/>
          <w:sz w:val="28"/>
          <w:szCs w:val="28"/>
          <w:highlight w:val="none"/>
        </w:rPr>
      </w:pPr>
      <w:r>
        <w:rPr>
          <w:rFonts w:hint="eastAsia" w:ascii="宋体" w:hAnsi="宋体"/>
          <w:b/>
          <w:snapToGrid w:val="0"/>
          <w:sz w:val="28"/>
          <w:szCs w:val="28"/>
          <w:highlight w:val="none"/>
        </w:rPr>
        <w:t>1）人工预算单价</w:t>
      </w:r>
    </w:p>
    <w:p w14:paraId="093A0750">
      <w:pPr>
        <w:spacing w:line="360" w:lineRule="auto"/>
        <w:ind w:firstLine="560" w:firstLineChars="200"/>
        <w:rPr>
          <w:rFonts w:ascii="宋体" w:hAnsi="宋体"/>
          <w:sz w:val="28"/>
          <w:szCs w:val="28"/>
          <w:highlight w:val="none"/>
        </w:rPr>
      </w:pPr>
      <w:r>
        <w:rPr>
          <w:rFonts w:hint="eastAsia" w:ascii="宋体" w:hAnsi="宋体"/>
          <w:sz w:val="28"/>
          <w:szCs w:val="28"/>
          <w:highlight w:val="none"/>
        </w:rPr>
        <w:t>① 人工基价</w:t>
      </w:r>
    </w:p>
    <w:p w14:paraId="2169D9F7">
      <w:pPr>
        <w:spacing w:line="360" w:lineRule="auto"/>
        <w:ind w:firstLine="560" w:firstLineChars="200"/>
        <w:rPr>
          <w:rFonts w:hint="eastAsia" w:ascii="宋体" w:hAnsi="宋体"/>
          <w:sz w:val="28"/>
          <w:szCs w:val="28"/>
          <w:highlight w:val="none"/>
        </w:rPr>
      </w:pPr>
      <w:r>
        <w:rPr>
          <w:rFonts w:hint="eastAsia" w:ascii="宋体" w:hAnsi="宋体"/>
          <w:sz w:val="28"/>
          <w:szCs w:val="28"/>
          <w:highlight w:val="none"/>
        </w:rPr>
        <w:t>根据重庆市水利局、重庆市发展和改革委员会文件“渝水建[2021]7号” 文颁发的《重庆市水利工程设计概（估）算编制规定》计算人工预算单价如下：</w:t>
      </w:r>
    </w:p>
    <w:p w14:paraId="171BBB60">
      <w:pPr>
        <w:spacing w:line="360" w:lineRule="auto"/>
        <w:ind w:firstLine="560" w:firstLineChars="200"/>
        <w:rPr>
          <w:rFonts w:ascii="宋体" w:hAnsi="宋体"/>
          <w:sz w:val="28"/>
          <w:szCs w:val="28"/>
          <w:highlight w:val="none"/>
        </w:rPr>
      </w:pPr>
      <w:r>
        <w:rPr>
          <w:rFonts w:hint="eastAsia" w:ascii="宋体" w:hAnsi="宋体"/>
          <w:sz w:val="28"/>
          <w:szCs w:val="28"/>
          <w:highlight w:val="none"/>
        </w:rPr>
        <w:t>枢纽工程及引水工程：工长12.12元/工时，高级工11.26元/工时，中级工9.59元/工时，初级工5.19元/工时。</w:t>
      </w:r>
    </w:p>
    <w:p w14:paraId="6242026C">
      <w:pPr>
        <w:spacing w:line="360" w:lineRule="auto"/>
        <w:ind w:firstLine="560" w:firstLineChars="200"/>
        <w:rPr>
          <w:rFonts w:ascii="宋体" w:hAnsi="宋体"/>
          <w:sz w:val="28"/>
          <w:szCs w:val="28"/>
          <w:highlight w:val="none"/>
        </w:rPr>
      </w:pPr>
      <w:r>
        <w:rPr>
          <w:rFonts w:hint="eastAsia" w:ascii="宋体" w:hAnsi="宋体"/>
          <w:sz w:val="28"/>
          <w:szCs w:val="28"/>
          <w:highlight w:val="none"/>
        </w:rPr>
        <w:t>② 市场人工价格</w:t>
      </w:r>
    </w:p>
    <w:p w14:paraId="2EEA79B6">
      <w:pPr>
        <w:spacing w:line="360" w:lineRule="auto"/>
        <w:ind w:firstLine="560" w:firstLineChars="200"/>
        <w:rPr>
          <w:rFonts w:ascii="宋体" w:hAnsi="宋体"/>
          <w:bCs/>
          <w:color w:val="000000"/>
          <w:sz w:val="28"/>
          <w:szCs w:val="28"/>
          <w:highlight w:val="none"/>
        </w:rPr>
      </w:pPr>
      <w:r>
        <w:rPr>
          <w:rFonts w:hint="eastAsia" w:ascii="宋体" w:hAnsi="宋体"/>
          <w:bCs/>
          <w:color w:val="000000"/>
          <w:sz w:val="28"/>
          <w:szCs w:val="28"/>
          <w:highlight w:val="none"/>
        </w:rPr>
        <w:t>采用由重庆市水利工程造价管理站公布的重庆市水利工程202</w:t>
      </w:r>
      <w:r>
        <w:rPr>
          <w:rFonts w:hint="eastAsia" w:ascii="宋体" w:hAnsi="宋体"/>
          <w:bCs/>
          <w:color w:val="000000"/>
          <w:sz w:val="28"/>
          <w:szCs w:val="28"/>
          <w:highlight w:val="none"/>
          <w:lang w:val="en-US" w:eastAsia="zh-CN"/>
        </w:rPr>
        <w:t>2</w:t>
      </w:r>
      <w:r>
        <w:rPr>
          <w:rFonts w:hint="eastAsia" w:ascii="宋体" w:hAnsi="宋体"/>
          <w:bCs/>
          <w:color w:val="000000"/>
          <w:sz w:val="28"/>
          <w:szCs w:val="28"/>
          <w:highlight w:val="none"/>
          <w:lang w:val="en-US"/>
        </w:rPr>
        <w:t>年</w:t>
      </w:r>
      <w:r>
        <w:rPr>
          <w:rFonts w:hint="eastAsia" w:ascii="宋体" w:hAnsi="宋体"/>
          <w:bCs/>
          <w:color w:val="000000"/>
          <w:sz w:val="28"/>
          <w:szCs w:val="28"/>
          <w:highlight w:val="none"/>
        </w:rPr>
        <w:t>第</w:t>
      </w:r>
      <w:r>
        <w:rPr>
          <w:rFonts w:hint="eastAsia" w:ascii="宋体" w:hAnsi="宋体"/>
          <w:bCs/>
          <w:color w:val="000000"/>
          <w:sz w:val="28"/>
          <w:szCs w:val="28"/>
          <w:highlight w:val="none"/>
          <w:lang w:val="en-US" w:eastAsia="zh-CN"/>
        </w:rPr>
        <w:t>二</w:t>
      </w:r>
      <w:r>
        <w:rPr>
          <w:rFonts w:hint="eastAsia" w:ascii="宋体" w:hAnsi="宋体"/>
          <w:bCs/>
          <w:color w:val="000000"/>
          <w:sz w:val="28"/>
          <w:szCs w:val="28"/>
          <w:highlight w:val="none"/>
        </w:rPr>
        <w:t>期人工费价格信息（渝水造价[202</w:t>
      </w:r>
      <w:r>
        <w:rPr>
          <w:rFonts w:hint="eastAsia" w:ascii="宋体" w:hAnsi="宋体"/>
          <w:bCs/>
          <w:color w:val="000000"/>
          <w:sz w:val="28"/>
          <w:szCs w:val="28"/>
          <w:highlight w:val="none"/>
          <w:lang w:val="en-US" w:eastAsia="zh-CN"/>
        </w:rPr>
        <w:t>2</w:t>
      </w:r>
      <w:r>
        <w:rPr>
          <w:rFonts w:hint="eastAsia" w:ascii="宋体" w:hAnsi="宋体"/>
          <w:bCs/>
          <w:color w:val="000000"/>
          <w:sz w:val="28"/>
          <w:szCs w:val="28"/>
          <w:highlight w:val="none"/>
        </w:rPr>
        <w:t>]</w:t>
      </w:r>
      <w:r>
        <w:rPr>
          <w:rFonts w:hint="eastAsia" w:ascii="宋体" w:hAnsi="宋体"/>
          <w:bCs/>
          <w:color w:val="000000"/>
          <w:sz w:val="28"/>
          <w:szCs w:val="28"/>
          <w:highlight w:val="none"/>
          <w:lang w:val="en-US" w:eastAsia="zh-CN"/>
        </w:rPr>
        <w:t>6</w:t>
      </w:r>
      <w:r>
        <w:rPr>
          <w:rFonts w:hint="eastAsia" w:ascii="宋体" w:hAnsi="宋体"/>
          <w:bCs/>
          <w:color w:val="000000"/>
          <w:sz w:val="28"/>
          <w:szCs w:val="28"/>
          <w:highlight w:val="none"/>
        </w:rPr>
        <w:t>号）：</w:t>
      </w:r>
    </w:p>
    <w:p w14:paraId="0A311D8E">
      <w:pPr>
        <w:spacing w:line="360" w:lineRule="auto"/>
        <w:ind w:firstLine="560" w:firstLineChars="200"/>
        <w:rPr>
          <w:rFonts w:ascii="宋体" w:hAnsi="宋体"/>
          <w:sz w:val="28"/>
          <w:szCs w:val="28"/>
          <w:highlight w:val="none"/>
        </w:rPr>
      </w:pPr>
      <w:r>
        <w:rPr>
          <w:rFonts w:hint="eastAsia" w:ascii="宋体" w:hAnsi="宋体"/>
          <w:sz w:val="28"/>
          <w:szCs w:val="28"/>
          <w:highlight w:val="none"/>
          <w:lang w:val="en-US"/>
        </w:rPr>
        <w:t>枢纽</w:t>
      </w:r>
      <w:r>
        <w:rPr>
          <w:rFonts w:hint="eastAsia" w:ascii="宋体" w:hAnsi="宋体"/>
          <w:snapToGrid w:val="0"/>
          <w:color w:val="000000"/>
          <w:sz w:val="28"/>
          <w:szCs w:val="28"/>
          <w:highlight w:val="none"/>
        </w:rPr>
        <w:t>工程：工长</w:t>
      </w:r>
      <w:r>
        <w:rPr>
          <w:rFonts w:hint="eastAsia" w:ascii="宋体" w:hAnsi="宋体"/>
          <w:snapToGrid w:val="0"/>
          <w:color w:val="000000"/>
          <w:sz w:val="28"/>
          <w:szCs w:val="28"/>
          <w:highlight w:val="none"/>
          <w:lang w:val="en-US"/>
        </w:rPr>
        <w:t>12.12</w:t>
      </w:r>
      <w:r>
        <w:rPr>
          <w:rFonts w:hint="eastAsia" w:ascii="宋体" w:hAnsi="宋体"/>
          <w:snapToGrid w:val="0"/>
          <w:color w:val="000000"/>
          <w:sz w:val="28"/>
          <w:szCs w:val="28"/>
          <w:highlight w:val="none"/>
        </w:rPr>
        <w:t>元/工时，高级工</w:t>
      </w:r>
      <w:r>
        <w:rPr>
          <w:rFonts w:hint="eastAsia" w:ascii="宋体" w:hAnsi="宋体"/>
          <w:snapToGrid w:val="0"/>
          <w:color w:val="000000"/>
          <w:sz w:val="28"/>
          <w:szCs w:val="28"/>
          <w:highlight w:val="none"/>
          <w:lang w:val="en-US"/>
        </w:rPr>
        <w:t>11.26</w:t>
      </w:r>
      <w:r>
        <w:rPr>
          <w:rFonts w:hint="eastAsia" w:ascii="宋体" w:hAnsi="宋体"/>
          <w:snapToGrid w:val="0"/>
          <w:color w:val="000000"/>
          <w:sz w:val="28"/>
          <w:szCs w:val="28"/>
          <w:highlight w:val="none"/>
        </w:rPr>
        <w:t>元/工时，中级工</w:t>
      </w:r>
      <w:r>
        <w:rPr>
          <w:rFonts w:hint="eastAsia" w:ascii="宋体" w:hAnsi="宋体"/>
          <w:snapToGrid w:val="0"/>
          <w:color w:val="000000"/>
          <w:sz w:val="28"/>
          <w:szCs w:val="28"/>
          <w:highlight w:val="none"/>
          <w:lang w:val="en-US"/>
        </w:rPr>
        <w:t>9.59</w:t>
      </w:r>
      <w:r>
        <w:rPr>
          <w:rFonts w:hint="eastAsia" w:ascii="宋体" w:hAnsi="宋体"/>
          <w:snapToGrid w:val="0"/>
          <w:color w:val="000000"/>
          <w:sz w:val="28"/>
          <w:szCs w:val="28"/>
          <w:highlight w:val="none"/>
        </w:rPr>
        <w:t>元/工时，初级工</w:t>
      </w:r>
      <w:r>
        <w:rPr>
          <w:rFonts w:hint="eastAsia" w:ascii="宋体" w:hAnsi="宋体"/>
          <w:snapToGrid w:val="0"/>
          <w:color w:val="000000"/>
          <w:sz w:val="28"/>
          <w:szCs w:val="28"/>
          <w:highlight w:val="none"/>
          <w:lang w:val="en-US"/>
        </w:rPr>
        <w:t>5.19</w:t>
      </w:r>
      <w:r>
        <w:rPr>
          <w:rFonts w:hint="eastAsia" w:ascii="宋体" w:hAnsi="宋体"/>
          <w:snapToGrid w:val="0"/>
          <w:color w:val="000000"/>
          <w:sz w:val="28"/>
          <w:szCs w:val="28"/>
          <w:highlight w:val="none"/>
        </w:rPr>
        <w:t>元/工时</w:t>
      </w:r>
      <w:r>
        <w:rPr>
          <w:rFonts w:ascii="宋体" w:hAnsi="宋体"/>
          <w:sz w:val="28"/>
          <w:szCs w:val="28"/>
          <w:highlight w:val="none"/>
        </w:rPr>
        <w:t>。</w:t>
      </w:r>
    </w:p>
    <w:p w14:paraId="55085E5C">
      <w:pPr>
        <w:spacing w:line="360" w:lineRule="auto"/>
        <w:ind w:firstLine="560" w:firstLineChars="200"/>
        <w:rPr>
          <w:rFonts w:ascii="宋体" w:hAnsi="宋体"/>
          <w:sz w:val="28"/>
          <w:szCs w:val="28"/>
          <w:highlight w:val="none"/>
        </w:rPr>
      </w:pPr>
      <w:r>
        <w:rPr>
          <w:rFonts w:hint="eastAsia" w:ascii="宋体" w:hAnsi="宋体"/>
          <w:sz w:val="28"/>
          <w:szCs w:val="28"/>
          <w:highlight w:val="none"/>
        </w:rPr>
        <w:t>人工费以限价计入，市场人工价超过限价部分人工费需调差。</w:t>
      </w:r>
    </w:p>
    <w:p w14:paraId="60B1AAD2">
      <w:pPr>
        <w:spacing w:line="360" w:lineRule="auto"/>
        <w:ind w:firstLine="560" w:firstLineChars="200"/>
        <w:rPr>
          <w:rFonts w:ascii="宋体" w:hAnsi="宋体"/>
          <w:sz w:val="28"/>
          <w:szCs w:val="28"/>
          <w:highlight w:val="none"/>
        </w:rPr>
      </w:pPr>
      <w:r>
        <w:rPr>
          <w:rFonts w:hint="eastAsia" w:ascii="宋体" w:hAnsi="宋体"/>
          <w:sz w:val="28"/>
          <w:szCs w:val="28"/>
          <w:highlight w:val="none"/>
        </w:rPr>
        <w:t>价差：根据</w:t>
      </w:r>
      <w:r>
        <w:rPr>
          <w:rFonts w:ascii="宋体" w:hAnsi="宋体"/>
          <w:sz w:val="28"/>
          <w:szCs w:val="28"/>
          <w:highlight w:val="none"/>
        </w:rPr>
        <w:t>《重庆市水利工程设计概（估）算编制规定》</w:t>
      </w:r>
      <w:r>
        <w:rPr>
          <w:rFonts w:hint="eastAsia" w:ascii="宋体" w:hAnsi="宋体"/>
          <w:sz w:val="28"/>
          <w:szCs w:val="28"/>
          <w:highlight w:val="none"/>
        </w:rPr>
        <w:t>，在编制概算文件时，人工按基价进入定额，参与各项费率的计算，其预算价（或市场价）与基价的差值按价差处理。即人工价差=人工工时耗量×（信息价-基价）。</w:t>
      </w:r>
    </w:p>
    <w:p w14:paraId="783CB74A">
      <w:pPr>
        <w:spacing w:line="360" w:lineRule="auto"/>
        <w:ind w:firstLine="562" w:firstLineChars="200"/>
        <w:rPr>
          <w:rFonts w:ascii="宋体" w:hAnsi="宋体"/>
          <w:b/>
          <w:snapToGrid w:val="0"/>
          <w:sz w:val="28"/>
          <w:szCs w:val="28"/>
          <w:highlight w:val="none"/>
        </w:rPr>
      </w:pPr>
      <w:r>
        <w:rPr>
          <w:rFonts w:hint="eastAsia" w:ascii="宋体" w:hAnsi="宋体"/>
          <w:b/>
          <w:snapToGrid w:val="0"/>
          <w:sz w:val="28"/>
          <w:szCs w:val="28"/>
          <w:highlight w:val="none"/>
        </w:rPr>
        <w:t>2）材料预算价格</w:t>
      </w:r>
    </w:p>
    <w:p w14:paraId="1710FE07">
      <w:pPr>
        <w:spacing w:line="480" w:lineRule="exact"/>
        <w:ind w:firstLine="560" w:firstLineChars="200"/>
        <w:rPr>
          <w:rFonts w:ascii="宋体" w:hAnsi="宋体"/>
          <w:sz w:val="28"/>
          <w:szCs w:val="28"/>
          <w:highlight w:val="none"/>
        </w:rPr>
      </w:pPr>
      <w:r>
        <w:rPr>
          <w:rFonts w:ascii="宋体" w:hAnsi="宋体"/>
          <w:sz w:val="28"/>
          <w:szCs w:val="28"/>
          <w:highlight w:val="none"/>
        </w:rPr>
        <w:t>材料预算价格包括材料</w:t>
      </w:r>
      <w:r>
        <w:rPr>
          <w:rFonts w:hint="eastAsia" w:ascii="宋体" w:hAnsi="宋体"/>
          <w:sz w:val="28"/>
          <w:szCs w:val="28"/>
          <w:highlight w:val="none"/>
        </w:rPr>
        <w:t>信息价</w:t>
      </w:r>
      <w:r>
        <w:rPr>
          <w:rFonts w:ascii="宋体" w:hAnsi="宋体"/>
          <w:sz w:val="28"/>
          <w:szCs w:val="28"/>
          <w:highlight w:val="none"/>
        </w:rPr>
        <w:t>、</w:t>
      </w:r>
      <w:r>
        <w:rPr>
          <w:rFonts w:hint="eastAsia" w:ascii="宋体" w:hAnsi="宋体"/>
          <w:sz w:val="28"/>
          <w:szCs w:val="28"/>
          <w:highlight w:val="none"/>
        </w:rPr>
        <w:t>运杂费、</w:t>
      </w:r>
      <w:r>
        <w:rPr>
          <w:rFonts w:ascii="宋体" w:hAnsi="宋体"/>
          <w:sz w:val="28"/>
          <w:szCs w:val="28"/>
          <w:highlight w:val="none"/>
        </w:rPr>
        <w:t>采购及保管费</w:t>
      </w:r>
      <w:r>
        <w:rPr>
          <w:rFonts w:hint="eastAsia" w:ascii="宋体" w:hAnsi="宋体"/>
          <w:sz w:val="28"/>
          <w:szCs w:val="28"/>
          <w:highlight w:val="none"/>
        </w:rPr>
        <w:t>三</w:t>
      </w:r>
      <w:r>
        <w:rPr>
          <w:rFonts w:ascii="宋体" w:hAnsi="宋体"/>
          <w:sz w:val="28"/>
          <w:szCs w:val="28"/>
          <w:highlight w:val="none"/>
        </w:rPr>
        <w:t>项。</w:t>
      </w:r>
    </w:p>
    <w:p w14:paraId="57271FD2">
      <w:pPr>
        <w:spacing w:line="480" w:lineRule="exact"/>
        <w:ind w:firstLine="560" w:firstLineChars="200"/>
        <w:rPr>
          <w:rFonts w:ascii="宋体" w:hAnsi="宋体"/>
          <w:sz w:val="28"/>
          <w:szCs w:val="28"/>
          <w:highlight w:val="none"/>
        </w:rPr>
      </w:pPr>
      <w:r>
        <w:rPr>
          <w:rFonts w:hint="eastAsia" w:ascii="宋体" w:hAnsi="宋体"/>
          <w:sz w:val="28"/>
          <w:szCs w:val="28"/>
          <w:highlight w:val="none"/>
        </w:rPr>
        <w:t>① 主要材料预算价格</w:t>
      </w:r>
    </w:p>
    <w:p w14:paraId="58B13B2D">
      <w:pPr>
        <w:spacing w:line="480" w:lineRule="exact"/>
        <w:ind w:firstLine="560" w:firstLineChars="200"/>
        <w:rPr>
          <w:rFonts w:ascii="宋体" w:hAnsi="宋体" w:eastAsia="宋体"/>
          <w:sz w:val="28"/>
          <w:szCs w:val="28"/>
          <w:highlight w:val="none"/>
          <w:lang w:val="en-US"/>
        </w:rPr>
      </w:pPr>
      <w:r>
        <w:rPr>
          <w:rFonts w:ascii="宋体" w:hAnsi="宋体"/>
          <w:sz w:val="28"/>
          <w:szCs w:val="28"/>
          <w:highlight w:val="none"/>
        </w:rPr>
        <w:t>材料</w:t>
      </w:r>
      <w:r>
        <w:rPr>
          <w:rFonts w:hint="eastAsia" w:ascii="宋体" w:hAnsi="宋体"/>
          <w:sz w:val="28"/>
          <w:szCs w:val="28"/>
          <w:highlight w:val="none"/>
        </w:rPr>
        <w:t>信息价</w:t>
      </w:r>
      <w:r>
        <w:rPr>
          <w:rFonts w:ascii="宋体" w:hAnsi="宋体"/>
          <w:sz w:val="28"/>
          <w:szCs w:val="28"/>
          <w:highlight w:val="none"/>
        </w:rPr>
        <w:t>：</w:t>
      </w:r>
      <w:r>
        <w:rPr>
          <w:rFonts w:hint="eastAsia" w:ascii="宋体" w:hAnsi="宋体"/>
          <w:snapToGrid w:val="0"/>
          <w:color w:val="000000"/>
          <w:sz w:val="28"/>
          <w:szCs w:val="28"/>
          <w:highlight w:val="none"/>
        </w:rPr>
        <w:t>按20</w:t>
      </w:r>
      <w:r>
        <w:rPr>
          <w:rFonts w:hint="eastAsia" w:ascii="宋体" w:hAnsi="宋体"/>
          <w:snapToGrid w:val="0"/>
          <w:color w:val="000000"/>
          <w:sz w:val="28"/>
          <w:szCs w:val="28"/>
          <w:highlight w:val="none"/>
          <w:lang w:val="en-US"/>
        </w:rPr>
        <w:t>2</w:t>
      </w:r>
      <w:r>
        <w:rPr>
          <w:rFonts w:hint="eastAsia" w:ascii="宋体" w:hAnsi="宋体"/>
          <w:snapToGrid w:val="0"/>
          <w:color w:val="000000"/>
          <w:sz w:val="28"/>
          <w:szCs w:val="28"/>
          <w:highlight w:val="none"/>
          <w:lang w:val="en-US" w:eastAsia="zh-CN"/>
        </w:rPr>
        <w:t>2</w:t>
      </w:r>
      <w:r>
        <w:rPr>
          <w:rFonts w:hint="eastAsia" w:ascii="宋体" w:hAnsi="宋体"/>
          <w:snapToGrid w:val="0"/>
          <w:color w:val="000000"/>
          <w:sz w:val="28"/>
          <w:szCs w:val="28"/>
          <w:highlight w:val="none"/>
        </w:rPr>
        <w:t>年</w:t>
      </w:r>
      <w:r>
        <w:rPr>
          <w:rFonts w:hint="eastAsia" w:ascii="宋体" w:hAnsi="宋体"/>
          <w:snapToGrid w:val="0"/>
          <w:color w:val="000000"/>
          <w:sz w:val="28"/>
          <w:szCs w:val="28"/>
          <w:highlight w:val="none"/>
          <w:lang w:val="en-US" w:eastAsia="zh-CN"/>
        </w:rPr>
        <w:t>10</w:t>
      </w:r>
      <w:r>
        <w:rPr>
          <w:rFonts w:hint="eastAsia" w:ascii="宋体" w:hAnsi="宋体"/>
          <w:snapToGrid w:val="0"/>
          <w:color w:val="000000"/>
          <w:sz w:val="28"/>
          <w:szCs w:val="28"/>
          <w:highlight w:val="none"/>
        </w:rPr>
        <w:t>月</w:t>
      </w:r>
      <w:r>
        <w:rPr>
          <w:rFonts w:hint="eastAsia" w:ascii="宋体" w:hAnsi="宋体"/>
          <w:snapToGrid w:val="0"/>
          <w:color w:val="000000"/>
          <w:sz w:val="28"/>
          <w:szCs w:val="28"/>
          <w:highlight w:val="none"/>
          <w:lang w:val="en-US" w:eastAsia="zh-CN"/>
        </w:rPr>
        <w:t>-12月</w:t>
      </w:r>
      <w:r>
        <w:rPr>
          <w:rFonts w:hint="eastAsia" w:ascii="宋体" w:hAnsi="宋体"/>
          <w:snapToGrid w:val="0"/>
          <w:color w:val="000000"/>
          <w:sz w:val="28"/>
          <w:szCs w:val="28"/>
          <w:highlight w:val="none"/>
        </w:rPr>
        <w:t>璧山区政府投资项目预算评审材料价格、《重庆工程造价信息》20</w:t>
      </w:r>
      <w:r>
        <w:rPr>
          <w:rFonts w:hint="eastAsia" w:ascii="宋体" w:hAnsi="宋体"/>
          <w:snapToGrid w:val="0"/>
          <w:color w:val="000000"/>
          <w:sz w:val="28"/>
          <w:szCs w:val="28"/>
          <w:highlight w:val="none"/>
          <w:lang w:val="en-US"/>
        </w:rPr>
        <w:t>2</w:t>
      </w:r>
      <w:r>
        <w:rPr>
          <w:rFonts w:hint="eastAsia" w:ascii="宋体" w:hAnsi="宋体"/>
          <w:snapToGrid w:val="0"/>
          <w:color w:val="000000"/>
          <w:sz w:val="28"/>
          <w:szCs w:val="28"/>
          <w:highlight w:val="none"/>
          <w:lang w:val="en-US" w:eastAsia="zh-CN"/>
        </w:rPr>
        <w:t>3</w:t>
      </w:r>
      <w:r>
        <w:rPr>
          <w:rFonts w:hint="eastAsia" w:ascii="宋体" w:hAnsi="宋体"/>
          <w:snapToGrid w:val="0"/>
          <w:color w:val="000000"/>
          <w:sz w:val="28"/>
          <w:szCs w:val="28"/>
          <w:highlight w:val="none"/>
        </w:rPr>
        <w:t>年</w:t>
      </w:r>
      <w:r>
        <w:rPr>
          <w:rFonts w:hint="eastAsia" w:ascii="宋体" w:hAnsi="宋体"/>
          <w:snapToGrid w:val="0"/>
          <w:color w:val="000000"/>
          <w:sz w:val="28"/>
          <w:szCs w:val="28"/>
          <w:highlight w:val="none"/>
          <w:lang w:val="en-US" w:eastAsia="zh-CN"/>
        </w:rPr>
        <w:t>第2</w:t>
      </w:r>
      <w:r>
        <w:rPr>
          <w:rFonts w:hint="eastAsia" w:ascii="宋体" w:hAnsi="宋体"/>
          <w:snapToGrid w:val="0"/>
          <w:color w:val="000000"/>
          <w:sz w:val="28"/>
          <w:szCs w:val="28"/>
          <w:highlight w:val="none"/>
          <w:lang w:val="en-US"/>
        </w:rPr>
        <w:t>期</w:t>
      </w:r>
      <w:r>
        <w:rPr>
          <w:rFonts w:hint="eastAsia" w:ascii="宋体" w:hAnsi="宋体"/>
          <w:snapToGrid w:val="0"/>
          <w:color w:val="000000"/>
          <w:sz w:val="28"/>
          <w:szCs w:val="28"/>
          <w:highlight w:val="none"/>
        </w:rPr>
        <w:t>公布的璧山</w:t>
      </w:r>
      <w:r>
        <w:rPr>
          <w:rFonts w:hint="eastAsia" w:ascii="宋体" w:hAnsi="宋体"/>
          <w:snapToGrid w:val="0"/>
          <w:color w:val="000000"/>
          <w:sz w:val="28"/>
          <w:szCs w:val="28"/>
          <w:highlight w:val="none"/>
          <w:lang w:val="en-US"/>
        </w:rPr>
        <w:t>区</w:t>
      </w:r>
      <w:r>
        <w:rPr>
          <w:rFonts w:hint="eastAsia" w:ascii="宋体" w:hAnsi="宋体"/>
          <w:snapToGrid w:val="0"/>
          <w:color w:val="000000"/>
          <w:sz w:val="28"/>
          <w:szCs w:val="28"/>
          <w:highlight w:val="none"/>
        </w:rPr>
        <w:t>主要建筑材料价格</w:t>
      </w:r>
      <w:r>
        <w:rPr>
          <w:rFonts w:hint="eastAsia" w:ascii="宋体" w:hAnsi="宋体"/>
          <w:snapToGrid w:val="0"/>
          <w:color w:val="000000"/>
          <w:sz w:val="28"/>
          <w:szCs w:val="28"/>
          <w:highlight w:val="none"/>
          <w:lang w:val="en-US"/>
        </w:rPr>
        <w:t>以及市场询价</w:t>
      </w:r>
      <w:r>
        <w:rPr>
          <w:rFonts w:hint="eastAsia" w:ascii="宋体" w:hAnsi="宋体"/>
          <w:snapToGrid w:val="0"/>
          <w:color w:val="000000"/>
          <w:sz w:val="28"/>
          <w:szCs w:val="28"/>
          <w:highlight w:val="none"/>
        </w:rPr>
        <w:t>。其中已包含20km运杂费、运输保险费，未计算采购及保管费。运输价格按市场价1.00元/t•km计算。本工程所用主要建筑材料运距均未超过20km，则不计算附加运杂费</w:t>
      </w:r>
      <w:r>
        <w:rPr>
          <w:rFonts w:hint="eastAsia" w:ascii="宋体" w:hAnsi="宋体"/>
          <w:sz w:val="28"/>
          <w:szCs w:val="28"/>
          <w:highlight w:val="none"/>
        </w:rPr>
        <w:t>。</w:t>
      </w:r>
    </w:p>
    <w:p w14:paraId="5653F955">
      <w:pPr>
        <w:spacing w:line="480" w:lineRule="exact"/>
        <w:ind w:firstLine="560" w:firstLineChars="200"/>
        <w:rPr>
          <w:rFonts w:ascii="宋体" w:hAnsi="宋体"/>
          <w:sz w:val="28"/>
          <w:szCs w:val="28"/>
          <w:highlight w:val="none"/>
        </w:rPr>
      </w:pPr>
      <w:r>
        <w:rPr>
          <w:rFonts w:hint="eastAsia" w:ascii="宋体" w:hAnsi="宋体"/>
          <w:sz w:val="28"/>
          <w:szCs w:val="28"/>
          <w:highlight w:val="none"/>
        </w:rPr>
        <w:t>② 主要材料基价</w:t>
      </w:r>
    </w:p>
    <w:p w14:paraId="65E76FA2">
      <w:pPr>
        <w:spacing w:line="480" w:lineRule="exact"/>
        <w:ind w:firstLine="560" w:firstLineChars="200"/>
        <w:rPr>
          <w:rFonts w:ascii="宋体" w:hAnsi="宋体"/>
          <w:sz w:val="24"/>
          <w:highlight w:val="none"/>
        </w:rPr>
      </w:pPr>
      <w:r>
        <w:rPr>
          <w:rFonts w:ascii="宋体" w:hAnsi="宋体"/>
          <w:sz w:val="28"/>
          <w:szCs w:val="28"/>
          <w:highlight w:val="none"/>
        </w:rPr>
        <w:t>《重庆市水利工程设计概（估）算编制规定》</w:t>
      </w:r>
      <w:r>
        <w:rPr>
          <w:rFonts w:hint="eastAsia" w:ascii="宋体" w:hAnsi="宋体"/>
          <w:sz w:val="28"/>
          <w:szCs w:val="28"/>
          <w:highlight w:val="none"/>
        </w:rPr>
        <w:t>对主要材料包括钢筋、炸药、汽柴油、水泥、砂、碎石、条块石等规定了基价，其主要材料预算价格详见表</w:t>
      </w:r>
      <w:r>
        <w:rPr>
          <w:rFonts w:hint="eastAsia" w:ascii="宋体" w:hAnsi="宋体"/>
          <w:sz w:val="28"/>
          <w:szCs w:val="28"/>
          <w:highlight w:val="none"/>
          <w:lang w:val="en-US" w:eastAsia="zh-CN"/>
        </w:rPr>
        <w:t>8</w:t>
      </w:r>
      <w:r>
        <w:rPr>
          <w:rFonts w:hint="eastAsia" w:ascii="宋体" w:hAnsi="宋体"/>
          <w:sz w:val="28"/>
          <w:szCs w:val="28"/>
          <w:highlight w:val="none"/>
        </w:rPr>
        <w:t>-</w:t>
      </w:r>
      <w:r>
        <w:rPr>
          <w:rFonts w:ascii="宋体" w:hAnsi="宋体"/>
          <w:sz w:val="28"/>
          <w:szCs w:val="28"/>
          <w:highlight w:val="none"/>
        </w:rPr>
        <w:t>1</w:t>
      </w:r>
      <w:r>
        <w:rPr>
          <w:rFonts w:hint="eastAsia" w:ascii="宋体" w:hAnsi="宋体"/>
          <w:sz w:val="28"/>
          <w:szCs w:val="28"/>
          <w:highlight w:val="none"/>
        </w:rPr>
        <w:t>。</w:t>
      </w:r>
    </w:p>
    <w:p w14:paraId="3EA44883">
      <w:pPr>
        <w:pStyle w:val="16"/>
        <w:spacing w:line="520" w:lineRule="exact"/>
        <w:jc w:val="center"/>
        <w:rPr>
          <w:b/>
          <w:bCs/>
          <w:sz w:val="24"/>
          <w:szCs w:val="24"/>
          <w:highlight w:val="none"/>
        </w:rPr>
      </w:pPr>
      <w:r>
        <w:rPr>
          <w:rFonts w:hint="eastAsia"/>
          <w:b/>
          <w:bCs/>
          <w:sz w:val="24"/>
          <w:szCs w:val="24"/>
          <w:highlight w:val="none"/>
        </w:rPr>
        <w:t>表</w:t>
      </w:r>
      <w:r>
        <w:rPr>
          <w:rFonts w:hint="eastAsia"/>
          <w:b/>
          <w:bCs/>
          <w:sz w:val="24"/>
          <w:szCs w:val="24"/>
          <w:highlight w:val="none"/>
          <w:lang w:val="en-US" w:eastAsia="zh-CN"/>
        </w:rPr>
        <w:t>8</w:t>
      </w:r>
      <w:r>
        <w:rPr>
          <w:rFonts w:hint="eastAsia"/>
          <w:b/>
          <w:bCs/>
          <w:sz w:val="24"/>
          <w:szCs w:val="24"/>
          <w:highlight w:val="none"/>
        </w:rPr>
        <w:t>-1</w:t>
      </w:r>
      <w:r>
        <w:rPr>
          <w:rFonts w:hint="eastAsia"/>
          <w:b/>
          <w:bCs/>
          <w:sz w:val="24"/>
          <w:szCs w:val="24"/>
          <w:highlight w:val="none"/>
          <w:lang w:val="en-US" w:eastAsia="zh-CN"/>
        </w:rPr>
        <w:t xml:space="preserve">   </w:t>
      </w:r>
      <w:r>
        <w:rPr>
          <w:rFonts w:hint="eastAsia"/>
          <w:b/>
          <w:bCs/>
          <w:sz w:val="24"/>
          <w:szCs w:val="24"/>
          <w:highlight w:val="none"/>
        </w:rPr>
        <w:t>主要材料预算价格表</w:t>
      </w:r>
    </w:p>
    <w:tbl>
      <w:tblPr>
        <w:tblStyle w:val="9"/>
        <w:tblW w:w="4527"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484"/>
        <w:gridCol w:w="2640"/>
        <w:gridCol w:w="1188"/>
        <w:gridCol w:w="1634"/>
        <w:gridCol w:w="2790"/>
      </w:tblGrid>
      <w:tr w14:paraId="2C4721E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2DD29BCD">
            <w:pPr>
              <w:widowControl/>
              <w:adjustRightInd w:val="0"/>
              <w:snapToGrid w:val="0"/>
              <w:spacing w:line="360" w:lineRule="auto"/>
              <w:ind w:firstLine="420"/>
              <w:jc w:val="both"/>
              <w:rPr>
                <w:szCs w:val="21"/>
              </w:rPr>
            </w:pPr>
            <w:r>
              <w:rPr>
                <w:szCs w:val="21"/>
              </w:rPr>
              <w:t>序号</w:t>
            </w:r>
          </w:p>
        </w:tc>
        <w:tc>
          <w:tcPr>
            <w:tcW w:w="1355" w:type="pct"/>
            <w:tcBorders>
              <w:tl2br w:val="nil"/>
              <w:tr2bl w:val="nil"/>
            </w:tcBorders>
            <w:vAlign w:val="center"/>
          </w:tcPr>
          <w:p w14:paraId="01CD0734">
            <w:pPr>
              <w:widowControl/>
              <w:adjustRightInd w:val="0"/>
              <w:snapToGrid w:val="0"/>
              <w:spacing w:line="360" w:lineRule="auto"/>
              <w:ind w:firstLine="420"/>
              <w:jc w:val="center"/>
              <w:rPr>
                <w:szCs w:val="21"/>
              </w:rPr>
            </w:pPr>
            <w:r>
              <w:rPr>
                <w:szCs w:val="21"/>
              </w:rPr>
              <w:t>名称及规格</w:t>
            </w:r>
          </w:p>
        </w:tc>
        <w:tc>
          <w:tcPr>
            <w:tcW w:w="610" w:type="pct"/>
            <w:tcBorders>
              <w:tl2br w:val="nil"/>
              <w:tr2bl w:val="nil"/>
            </w:tcBorders>
            <w:vAlign w:val="center"/>
          </w:tcPr>
          <w:p w14:paraId="0DE4D1A4">
            <w:pPr>
              <w:widowControl/>
              <w:adjustRightInd w:val="0"/>
              <w:snapToGrid w:val="0"/>
              <w:spacing w:line="360" w:lineRule="auto"/>
              <w:jc w:val="center"/>
              <w:rPr>
                <w:szCs w:val="21"/>
              </w:rPr>
            </w:pPr>
            <w:r>
              <w:rPr>
                <w:szCs w:val="21"/>
              </w:rPr>
              <w:t>单位</w:t>
            </w:r>
          </w:p>
        </w:tc>
        <w:tc>
          <w:tcPr>
            <w:tcW w:w="839" w:type="pct"/>
            <w:tcBorders>
              <w:tl2br w:val="nil"/>
              <w:tr2bl w:val="nil"/>
            </w:tcBorders>
            <w:vAlign w:val="center"/>
          </w:tcPr>
          <w:p w14:paraId="4F105679">
            <w:pPr>
              <w:widowControl/>
              <w:adjustRightInd w:val="0"/>
              <w:snapToGrid w:val="0"/>
              <w:spacing w:line="360" w:lineRule="auto"/>
              <w:ind w:firstLine="420"/>
              <w:jc w:val="both"/>
              <w:rPr>
                <w:szCs w:val="21"/>
              </w:rPr>
            </w:pPr>
            <w:r>
              <w:rPr>
                <w:szCs w:val="21"/>
              </w:rPr>
              <w:t>基价</w:t>
            </w:r>
          </w:p>
        </w:tc>
        <w:tc>
          <w:tcPr>
            <w:tcW w:w="1432" w:type="pct"/>
            <w:tcBorders>
              <w:tl2br w:val="nil"/>
              <w:tr2bl w:val="nil"/>
            </w:tcBorders>
            <w:vAlign w:val="center"/>
          </w:tcPr>
          <w:p w14:paraId="65AF3390">
            <w:pPr>
              <w:adjustRightInd w:val="0"/>
              <w:snapToGrid w:val="0"/>
              <w:spacing w:line="360" w:lineRule="auto"/>
              <w:jc w:val="center"/>
              <w:rPr>
                <w:szCs w:val="21"/>
              </w:rPr>
            </w:pPr>
            <w:r>
              <w:rPr>
                <w:szCs w:val="21"/>
              </w:rPr>
              <w:t>预算价格（除税价）</w:t>
            </w:r>
          </w:p>
        </w:tc>
      </w:tr>
      <w:tr w14:paraId="202FFA7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045D26C2">
            <w:pPr>
              <w:adjustRightInd w:val="0"/>
              <w:snapToGrid w:val="0"/>
              <w:spacing w:line="360" w:lineRule="auto"/>
              <w:ind w:firstLine="660" w:firstLineChars="300"/>
              <w:jc w:val="both"/>
              <w:rPr>
                <w:szCs w:val="21"/>
              </w:rPr>
            </w:pPr>
            <w:r>
              <w:rPr>
                <w:szCs w:val="21"/>
              </w:rPr>
              <w:t>1</w:t>
            </w:r>
          </w:p>
        </w:tc>
        <w:tc>
          <w:tcPr>
            <w:tcW w:w="1355" w:type="pct"/>
            <w:tcBorders>
              <w:tl2br w:val="nil"/>
              <w:tr2bl w:val="nil"/>
            </w:tcBorders>
            <w:vAlign w:val="center"/>
          </w:tcPr>
          <w:p w14:paraId="44F3E952">
            <w:pPr>
              <w:spacing w:line="360" w:lineRule="auto"/>
              <w:ind w:firstLine="420"/>
              <w:jc w:val="center"/>
              <w:rPr>
                <w:szCs w:val="21"/>
              </w:rPr>
            </w:pPr>
            <w:r>
              <w:rPr>
                <w:szCs w:val="21"/>
              </w:rPr>
              <w:t>砂</w:t>
            </w:r>
          </w:p>
        </w:tc>
        <w:tc>
          <w:tcPr>
            <w:tcW w:w="610" w:type="pct"/>
            <w:tcBorders>
              <w:tl2br w:val="nil"/>
              <w:tr2bl w:val="nil"/>
            </w:tcBorders>
            <w:vAlign w:val="center"/>
          </w:tcPr>
          <w:p w14:paraId="6FB660F2">
            <w:pPr>
              <w:spacing w:line="360" w:lineRule="auto"/>
              <w:ind w:firstLine="420"/>
              <w:jc w:val="both"/>
              <w:rPr>
                <w:szCs w:val="21"/>
              </w:rPr>
            </w:pPr>
            <w:r>
              <w:rPr>
                <w:szCs w:val="21"/>
              </w:rPr>
              <w:t>m³</w:t>
            </w:r>
          </w:p>
        </w:tc>
        <w:tc>
          <w:tcPr>
            <w:tcW w:w="839" w:type="pct"/>
            <w:tcBorders>
              <w:tl2br w:val="nil"/>
              <w:tr2bl w:val="nil"/>
            </w:tcBorders>
            <w:vAlign w:val="center"/>
          </w:tcPr>
          <w:p w14:paraId="5B6410FC">
            <w:pPr>
              <w:spacing w:line="360" w:lineRule="auto"/>
              <w:ind w:firstLine="638" w:firstLineChars="290"/>
              <w:jc w:val="both"/>
              <w:rPr>
                <w:szCs w:val="21"/>
              </w:rPr>
            </w:pPr>
            <w:r>
              <w:rPr>
                <w:szCs w:val="21"/>
              </w:rPr>
              <w:t>50</w:t>
            </w:r>
          </w:p>
        </w:tc>
        <w:tc>
          <w:tcPr>
            <w:tcW w:w="1432" w:type="pct"/>
            <w:tcBorders>
              <w:tl2br w:val="nil"/>
              <w:tr2bl w:val="nil"/>
            </w:tcBorders>
            <w:vAlign w:val="center"/>
          </w:tcPr>
          <w:p w14:paraId="4A926C79">
            <w:pPr>
              <w:spacing w:line="360" w:lineRule="auto"/>
              <w:ind w:left="0" w:leftChars="0" w:right="0" w:rightChars="0" w:firstLine="858" w:firstLineChars="390"/>
              <w:jc w:val="both"/>
              <w:rPr>
                <w:rFonts w:hint="default" w:eastAsia="黑体"/>
                <w:szCs w:val="21"/>
                <w:lang w:val="en-US" w:eastAsia="zh-CN"/>
              </w:rPr>
            </w:pPr>
            <w:r>
              <w:rPr>
                <w:rFonts w:hint="eastAsia"/>
                <w:szCs w:val="21"/>
                <w:lang w:val="en-US" w:eastAsia="zh-CN"/>
              </w:rPr>
              <w:t>258.25</w:t>
            </w:r>
          </w:p>
        </w:tc>
      </w:tr>
      <w:tr w14:paraId="1BC05C5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305D9438">
            <w:pPr>
              <w:adjustRightInd w:val="0"/>
              <w:snapToGrid w:val="0"/>
              <w:spacing w:line="360" w:lineRule="auto"/>
              <w:ind w:firstLine="660" w:firstLineChars="300"/>
              <w:jc w:val="both"/>
              <w:rPr>
                <w:szCs w:val="21"/>
              </w:rPr>
            </w:pPr>
            <w:r>
              <w:rPr>
                <w:szCs w:val="21"/>
              </w:rPr>
              <w:t>2</w:t>
            </w:r>
          </w:p>
        </w:tc>
        <w:tc>
          <w:tcPr>
            <w:tcW w:w="1355" w:type="pct"/>
            <w:tcBorders>
              <w:tl2br w:val="nil"/>
              <w:tr2bl w:val="nil"/>
            </w:tcBorders>
            <w:vAlign w:val="center"/>
          </w:tcPr>
          <w:p w14:paraId="1764CC76">
            <w:pPr>
              <w:spacing w:line="360" w:lineRule="auto"/>
              <w:ind w:left="0" w:leftChars="0" w:right="0" w:rightChars="0" w:firstLine="420" w:firstLineChars="0"/>
              <w:jc w:val="center"/>
              <w:rPr>
                <w:rFonts w:ascii="黑体" w:hAnsi="黑体" w:eastAsia="黑体" w:cs="黑体"/>
                <w:sz w:val="22"/>
                <w:szCs w:val="21"/>
                <w:lang w:val="zh-CN" w:eastAsia="zh-CN" w:bidi="zh-CN"/>
              </w:rPr>
            </w:pPr>
            <w:r>
              <w:rPr>
                <w:rFonts w:hint="eastAsia"/>
                <w:szCs w:val="21"/>
              </w:rPr>
              <w:t>碎石</w:t>
            </w:r>
          </w:p>
        </w:tc>
        <w:tc>
          <w:tcPr>
            <w:tcW w:w="610" w:type="pct"/>
            <w:tcBorders>
              <w:tl2br w:val="nil"/>
              <w:tr2bl w:val="nil"/>
            </w:tcBorders>
            <w:vAlign w:val="center"/>
          </w:tcPr>
          <w:p w14:paraId="0084D9D0">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m³</w:t>
            </w:r>
          </w:p>
        </w:tc>
        <w:tc>
          <w:tcPr>
            <w:tcW w:w="839" w:type="pct"/>
            <w:tcBorders>
              <w:tl2br w:val="nil"/>
              <w:tr2bl w:val="nil"/>
            </w:tcBorders>
            <w:vAlign w:val="center"/>
          </w:tcPr>
          <w:p w14:paraId="3475A927">
            <w:pPr>
              <w:spacing w:line="360" w:lineRule="auto"/>
              <w:ind w:left="0" w:leftChars="0" w:right="0" w:rightChars="0" w:firstLine="638" w:firstLineChars="290"/>
              <w:jc w:val="both"/>
              <w:rPr>
                <w:rFonts w:ascii="黑体" w:hAnsi="黑体" w:eastAsia="黑体" w:cs="黑体"/>
                <w:sz w:val="22"/>
                <w:szCs w:val="21"/>
                <w:lang w:val="zh-CN" w:eastAsia="zh-CN" w:bidi="zh-CN"/>
              </w:rPr>
            </w:pPr>
            <w:r>
              <w:rPr>
                <w:rFonts w:hint="eastAsia"/>
                <w:szCs w:val="21"/>
              </w:rPr>
              <w:t>40</w:t>
            </w:r>
          </w:p>
        </w:tc>
        <w:tc>
          <w:tcPr>
            <w:tcW w:w="1432" w:type="pct"/>
            <w:tcBorders>
              <w:tl2br w:val="nil"/>
              <w:tr2bl w:val="nil"/>
            </w:tcBorders>
            <w:vAlign w:val="center"/>
          </w:tcPr>
          <w:p w14:paraId="5E4C56CA">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szCs w:val="21"/>
                <w:lang w:val="en-US" w:eastAsia="zh-CN"/>
              </w:rPr>
              <w:t>125.24</w:t>
            </w:r>
          </w:p>
        </w:tc>
      </w:tr>
      <w:tr w14:paraId="0F435EE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15EAF602">
            <w:pPr>
              <w:adjustRightInd w:val="0"/>
              <w:snapToGrid w:val="0"/>
              <w:spacing w:line="360" w:lineRule="auto"/>
              <w:ind w:firstLine="660" w:firstLineChars="300"/>
              <w:jc w:val="both"/>
              <w:rPr>
                <w:szCs w:val="21"/>
              </w:rPr>
            </w:pPr>
            <w:r>
              <w:rPr>
                <w:rFonts w:hint="eastAsia"/>
                <w:szCs w:val="21"/>
              </w:rPr>
              <w:t>3</w:t>
            </w:r>
          </w:p>
        </w:tc>
        <w:tc>
          <w:tcPr>
            <w:tcW w:w="1355" w:type="pct"/>
            <w:tcBorders>
              <w:tl2br w:val="nil"/>
              <w:tr2bl w:val="nil"/>
            </w:tcBorders>
            <w:vAlign w:val="center"/>
          </w:tcPr>
          <w:p w14:paraId="44C23191">
            <w:pPr>
              <w:spacing w:line="360" w:lineRule="auto"/>
              <w:ind w:left="0" w:leftChars="0" w:right="0" w:rightChars="0" w:firstLine="420" w:firstLineChars="0"/>
              <w:jc w:val="center"/>
              <w:rPr>
                <w:rFonts w:ascii="黑体" w:hAnsi="黑体" w:eastAsia="黑体" w:cs="黑体"/>
                <w:sz w:val="22"/>
                <w:szCs w:val="21"/>
                <w:lang w:val="zh-CN" w:eastAsia="zh-CN" w:bidi="zh-CN"/>
              </w:rPr>
            </w:pPr>
            <w:r>
              <w:rPr>
                <w:szCs w:val="21"/>
              </w:rPr>
              <w:t>钢筋</w:t>
            </w:r>
          </w:p>
        </w:tc>
        <w:tc>
          <w:tcPr>
            <w:tcW w:w="610" w:type="pct"/>
            <w:tcBorders>
              <w:tl2br w:val="nil"/>
              <w:tr2bl w:val="nil"/>
            </w:tcBorders>
            <w:vAlign w:val="center"/>
          </w:tcPr>
          <w:p w14:paraId="612549D0">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t</w:t>
            </w:r>
          </w:p>
        </w:tc>
        <w:tc>
          <w:tcPr>
            <w:tcW w:w="839" w:type="pct"/>
            <w:tcBorders>
              <w:tl2br w:val="nil"/>
              <w:tr2bl w:val="nil"/>
            </w:tcBorders>
            <w:vAlign w:val="center"/>
          </w:tcPr>
          <w:p w14:paraId="252AE097">
            <w:pPr>
              <w:spacing w:line="360" w:lineRule="auto"/>
              <w:ind w:left="0" w:leftChars="0" w:right="0" w:rightChars="0" w:firstLine="440" w:firstLineChars="200"/>
              <w:jc w:val="both"/>
              <w:rPr>
                <w:rFonts w:ascii="黑体" w:hAnsi="黑体" w:eastAsia="黑体" w:cs="黑体"/>
                <w:sz w:val="22"/>
                <w:szCs w:val="21"/>
                <w:lang w:val="zh-CN" w:eastAsia="zh-CN" w:bidi="zh-CN"/>
              </w:rPr>
            </w:pPr>
            <w:r>
              <w:rPr>
                <w:szCs w:val="21"/>
              </w:rPr>
              <w:t>3500</w:t>
            </w:r>
          </w:p>
        </w:tc>
        <w:tc>
          <w:tcPr>
            <w:tcW w:w="1432" w:type="pct"/>
            <w:tcBorders>
              <w:tl2br w:val="nil"/>
              <w:tr2bl w:val="nil"/>
            </w:tcBorders>
            <w:vAlign w:val="center"/>
          </w:tcPr>
          <w:p w14:paraId="29030323">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szCs w:val="21"/>
                <w:lang w:val="en-US" w:eastAsia="zh-CN"/>
              </w:rPr>
              <w:t>3964.6</w:t>
            </w:r>
          </w:p>
        </w:tc>
      </w:tr>
      <w:tr w14:paraId="4A8BE55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249A5AFC">
            <w:pPr>
              <w:adjustRightInd w:val="0"/>
              <w:snapToGrid w:val="0"/>
              <w:spacing w:line="360" w:lineRule="auto"/>
              <w:ind w:firstLine="660" w:firstLineChars="300"/>
              <w:jc w:val="both"/>
              <w:rPr>
                <w:szCs w:val="21"/>
              </w:rPr>
            </w:pPr>
            <w:r>
              <w:rPr>
                <w:rFonts w:hint="eastAsia"/>
                <w:szCs w:val="21"/>
              </w:rPr>
              <w:t>4</w:t>
            </w:r>
          </w:p>
        </w:tc>
        <w:tc>
          <w:tcPr>
            <w:tcW w:w="1355" w:type="pct"/>
            <w:tcBorders>
              <w:tl2br w:val="nil"/>
              <w:tr2bl w:val="nil"/>
            </w:tcBorders>
            <w:vAlign w:val="center"/>
          </w:tcPr>
          <w:p w14:paraId="69D16C28">
            <w:pPr>
              <w:spacing w:line="360" w:lineRule="auto"/>
              <w:ind w:left="0" w:leftChars="0" w:right="0" w:rightChars="0" w:firstLine="420" w:firstLineChars="0"/>
              <w:jc w:val="center"/>
              <w:rPr>
                <w:rFonts w:ascii="黑体" w:hAnsi="黑体" w:eastAsia="黑体" w:cs="黑体"/>
                <w:sz w:val="22"/>
                <w:szCs w:val="21"/>
                <w:lang w:val="zh-CN" w:eastAsia="zh-CN" w:bidi="zh-CN"/>
              </w:rPr>
            </w:pPr>
            <w:r>
              <w:rPr>
                <w:szCs w:val="21"/>
              </w:rPr>
              <w:t>锯材</w:t>
            </w:r>
          </w:p>
        </w:tc>
        <w:tc>
          <w:tcPr>
            <w:tcW w:w="610" w:type="pct"/>
            <w:tcBorders>
              <w:tl2br w:val="nil"/>
              <w:tr2bl w:val="nil"/>
            </w:tcBorders>
            <w:vAlign w:val="center"/>
          </w:tcPr>
          <w:p w14:paraId="36A33958">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m³</w:t>
            </w:r>
          </w:p>
        </w:tc>
        <w:tc>
          <w:tcPr>
            <w:tcW w:w="839" w:type="pct"/>
            <w:tcBorders>
              <w:tl2br w:val="nil"/>
              <w:tr2bl w:val="nil"/>
            </w:tcBorders>
            <w:vAlign w:val="center"/>
          </w:tcPr>
          <w:p w14:paraId="1FB9C1DB">
            <w:pPr>
              <w:spacing w:line="360" w:lineRule="auto"/>
              <w:ind w:left="0" w:leftChars="0" w:right="0" w:rightChars="0" w:firstLine="440" w:firstLineChars="200"/>
              <w:jc w:val="both"/>
              <w:rPr>
                <w:rFonts w:ascii="黑体" w:hAnsi="黑体" w:eastAsia="黑体" w:cs="黑体"/>
                <w:sz w:val="22"/>
                <w:szCs w:val="21"/>
                <w:lang w:val="zh-CN" w:eastAsia="zh-CN" w:bidi="zh-CN"/>
              </w:rPr>
            </w:pPr>
            <w:r>
              <w:rPr>
                <w:szCs w:val="21"/>
              </w:rPr>
              <w:t>—</w:t>
            </w:r>
          </w:p>
        </w:tc>
        <w:tc>
          <w:tcPr>
            <w:tcW w:w="1432" w:type="pct"/>
            <w:tcBorders>
              <w:tl2br w:val="nil"/>
              <w:tr2bl w:val="nil"/>
            </w:tcBorders>
            <w:vAlign w:val="center"/>
          </w:tcPr>
          <w:p w14:paraId="16622E8B">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eastAsia="黑体"/>
                <w:szCs w:val="21"/>
                <w:lang w:val="en-US" w:eastAsia="zh-CN"/>
              </w:rPr>
              <w:t>1460</w:t>
            </w:r>
          </w:p>
        </w:tc>
      </w:tr>
      <w:tr w14:paraId="4043B7A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1F5B727A">
            <w:pPr>
              <w:adjustRightInd w:val="0"/>
              <w:snapToGrid w:val="0"/>
              <w:spacing w:line="360" w:lineRule="auto"/>
              <w:ind w:firstLine="660" w:firstLineChars="300"/>
              <w:jc w:val="both"/>
              <w:rPr>
                <w:szCs w:val="21"/>
              </w:rPr>
            </w:pPr>
            <w:r>
              <w:rPr>
                <w:rFonts w:hint="eastAsia"/>
                <w:szCs w:val="21"/>
              </w:rPr>
              <w:t>5</w:t>
            </w:r>
          </w:p>
        </w:tc>
        <w:tc>
          <w:tcPr>
            <w:tcW w:w="1355" w:type="pct"/>
            <w:tcBorders>
              <w:tl2br w:val="nil"/>
              <w:tr2bl w:val="nil"/>
            </w:tcBorders>
            <w:vAlign w:val="center"/>
          </w:tcPr>
          <w:p w14:paraId="4AC5CD8E">
            <w:pPr>
              <w:spacing w:line="360" w:lineRule="auto"/>
              <w:ind w:left="0" w:leftChars="0" w:right="0" w:rightChars="0" w:firstLine="420" w:firstLineChars="0"/>
              <w:jc w:val="center"/>
              <w:rPr>
                <w:rFonts w:ascii="黑体" w:hAnsi="黑体" w:eastAsia="黑体" w:cs="黑体"/>
                <w:sz w:val="22"/>
                <w:szCs w:val="21"/>
                <w:lang w:val="zh-CN" w:eastAsia="zh-CN" w:bidi="zh-CN"/>
              </w:rPr>
            </w:pPr>
            <w:r>
              <w:rPr>
                <w:szCs w:val="21"/>
              </w:rPr>
              <w:t>汽油</w:t>
            </w:r>
          </w:p>
        </w:tc>
        <w:tc>
          <w:tcPr>
            <w:tcW w:w="610" w:type="pct"/>
            <w:tcBorders>
              <w:tl2br w:val="nil"/>
              <w:tr2bl w:val="nil"/>
            </w:tcBorders>
            <w:vAlign w:val="center"/>
          </w:tcPr>
          <w:p w14:paraId="51DD4E46">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t</w:t>
            </w:r>
          </w:p>
        </w:tc>
        <w:tc>
          <w:tcPr>
            <w:tcW w:w="839" w:type="pct"/>
            <w:tcBorders>
              <w:tl2br w:val="nil"/>
              <w:tr2bl w:val="nil"/>
            </w:tcBorders>
            <w:vAlign w:val="center"/>
          </w:tcPr>
          <w:p w14:paraId="12540D22">
            <w:pPr>
              <w:spacing w:line="360" w:lineRule="auto"/>
              <w:ind w:left="0" w:leftChars="0" w:right="0" w:rightChars="0" w:firstLine="440" w:firstLineChars="200"/>
              <w:jc w:val="both"/>
              <w:rPr>
                <w:rFonts w:ascii="黑体" w:hAnsi="黑体" w:eastAsia="黑体" w:cs="黑体"/>
                <w:sz w:val="22"/>
                <w:szCs w:val="21"/>
                <w:lang w:val="zh-CN" w:eastAsia="zh-CN" w:bidi="zh-CN"/>
              </w:rPr>
            </w:pPr>
            <w:r>
              <w:rPr>
                <w:szCs w:val="21"/>
              </w:rPr>
              <w:t>5000</w:t>
            </w:r>
          </w:p>
        </w:tc>
        <w:tc>
          <w:tcPr>
            <w:tcW w:w="1432" w:type="pct"/>
            <w:tcBorders>
              <w:tl2br w:val="nil"/>
              <w:tr2bl w:val="nil"/>
            </w:tcBorders>
            <w:vAlign w:val="center"/>
          </w:tcPr>
          <w:p w14:paraId="0AA726C4">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szCs w:val="21"/>
                <w:lang w:val="en-US" w:eastAsia="zh-CN"/>
              </w:rPr>
              <w:t>9020</w:t>
            </w:r>
          </w:p>
        </w:tc>
      </w:tr>
      <w:tr w14:paraId="3F37887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2F6009DC">
            <w:pPr>
              <w:adjustRightInd w:val="0"/>
              <w:snapToGrid w:val="0"/>
              <w:spacing w:line="360" w:lineRule="auto"/>
              <w:ind w:firstLine="660" w:firstLineChars="300"/>
              <w:jc w:val="both"/>
              <w:rPr>
                <w:szCs w:val="21"/>
              </w:rPr>
            </w:pPr>
            <w:r>
              <w:rPr>
                <w:rFonts w:hint="eastAsia"/>
                <w:szCs w:val="21"/>
              </w:rPr>
              <w:t>6</w:t>
            </w:r>
          </w:p>
        </w:tc>
        <w:tc>
          <w:tcPr>
            <w:tcW w:w="1355" w:type="pct"/>
            <w:tcBorders>
              <w:tl2br w:val="nil"/>
              <w:tr2bl w:val="nil"/>
            </w:tcBorders>
            <w:vAlign w:val="center"/>
          </w:tcPr>
          <w:p w14:paraId="73BD0D33">
            <w:pPr>
              <w:spacing w:line="360" w:lineRule="auto"/>
              <w:ind w:left="0" w:leftChars="0" w:right="0" w:rightChars="0" w:firstLine="420" w:firstLineChars="0"/>
              <w:jc w:val="center"/>
              <w:rPr>
                <w:rFonts w:ascii="黑体" w:hAnsi="黑体" w:eastAsia="黑体" w:cs="黑体"/>
                <w:sz w:val="22"/>
                <w:szCs w:val="21"/>
                <w:lang w:val="zh-CN" w:eastAsia="zh-CN" w:bidi="zh-CN"/>
              </w:rPr>
            </w:pPr>
            <w:r>
              <w:rPr>
                <w:szCs w:val="21"/>
              </w:rPr>
              <w:t>柴油</w:t>
            </w:r>
          </w:p>
        </w:tc>
        <w:tc>
          <w:tcPr>
            <w:tcW w:w="610" w:type="pct"/>
            <w:tcBorders>
              <w:tl2br w:val="nil"/>
              <w:tr2bl w:val="nil"/>
            </w:tcBorders>
            <w:vAlign w:val="center"/>
          </w:tcPr>
          <w:p w14:paraId="56C06271">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t</w:t>
            </w:r>
          </w:p>
        </w:tc>
        <w:tc>
          <w:tcPr>
            <w:tcW w:w="839" w:type="pct"/>
            <w:tcBorders>
              <w:tl2br w:val="nil"/>
              <w:tr2bl w:val="nil"/>
            </w:tcBorders>
            <w:vAlign w:val="center"/>
          </w:tcPr>
          <w:p w14:paraId="3266AA91">
            <w:pPr>
              <w:spacing w:line="360" w:lineRule="auto"/>
              <w:ind w:left="0" w:leftChars="0" w:right="0" w:rightChars="0" w:firstLine="440" w:firstLineChars="200"/>
              <w:jc w:val="both"/>
              <w:rPr>
                <w:rFonts w:ascii="黑体" w:hAnsi="黑体" w:eastAsia="黑体" w:cs="黑体"/>
                <w:sz w:val="22"/>
                <w:szCs w:val="21"/>
                <w:lang w:val="zh-CN" w:eastAsia="zh-CN" w:bidi="zh-CN"/>
              </w:rPr>
            </w:pPr>
            <w:r>
              <w:rPr>
                <w:szCs w:val="21"/>
              </w:rPr>
              <w:t>5000</w:t>
            </w:r>
          </w:p>
        </w:tc>
        <w:tc>
          <w:tcPr>
            <w:tcW w:w="1432" w:type="pct"/>
            <w:tcBorders>
              <w:tl2br w:val="nil"/>
              <w:tr2bl w:val="nil"/>
            </w:tcBorders>
            <w:vAlign w:val="center"/>
          </w:tcPr>
          <w:p w14:paraId="221F62AA">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szCs w:val="21"/>
                <w:lang w:val="en-US" w:eastAsia="zh-CN"/>
              </w:rPr>
              <w:t>7730</w:t>
            </w:r>
          </w:p>
        </w:tc>
      </w:tr>
      <w:tr w14:paraId="1794058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4" w:hRule="exact"/>
          <w:jc w:val="center"/>
        </w:trPr>
        <w:tc>
          <w:tcPr>
            <w:tcW w:w="762" w:type="pct"/>
            <w:tcBorders>
              <w:tl2br w:val="nil"/>
              <w:tr2bl w:val="nil"/>
            </w:tcBorders>
            <w:vAlign w:val="center"/>
          </w:tcPr>
          <w:p w14:paraId="6E593480">
            <w:pPr>
              <w:adjustRightInd w:val="0"/>
              <w:snapToGrid w:val="0"/>
              <w:spacing w:line="360" w:lineRule="auto"/>
              <w:ind w:firstLine="660" w:firstLineChars="300"/>
              <w:jc w:val="both"/>
              <w:rPr>
                <w:szCs w:val="21"/>
              </w:rPr>
            </w:pPr>
            <w:r>
              <w:rPr>
                <w:rFonts w:hint="eastAsia"/>
                <w:szCs w:val="21"/>
              </w:rPr>
              <w:t>7</w:t>
            </w:r>
          </w:p>
        </w:tc>
        <w:tc>
          <w:tcPr>
            <w:tcW w:w="1355" w:type="pct"/>
            <w:tcBorders>
              <w:tl2br w:val="nil"/>
              <w:tr2bl w:val="nil"/>
            </w:tcBorders>
            <w:vAlign w:val="center"/>
          </w:tcPr>
          <w:p w14:paraId="16C9A19F">
            <w:pPr>
              <w:spacing w:line="360" w:lineRule="auto"/>
              <w:ind w:left="0" w:leftChars="0" w:right="0" w:rightChars="0" w:firstLine="420" w:firstLineChars="0"/>
              <w:jc w:val="center"/>
              <w:rPr>
                <w:rFonts w:ascii="黑体" w:hAnsi="黑体" w:eastAsia="黑体" w:cs="黑体"/>
                <w:sz w:val="22"/>
                <w:szCs w:val="21"/>
                <w:lang w:val="zh-CN" w:eastAsia="zh-CN" w:bidi="zh-CN"/>
              </w:rPr>
            </w:pPr>
            <w:r>
              <w:rPr>
                <w:szCs w:val="21"/>
              </w:rPr>
              <w:t>水泥</w:t>
            </w:r>
            <w:r>
              <w:rPr>
                <w:rFonts w:hint="eastAsia"/>
                <w:szCs w:val="21"/>
              </w:rPr>
              <w:t>32.5</w:t>
            </w:r>
          </w:p>
        </w:tc>
        <w:tc>
          <w:tcPr>
            <w:tcW w:w="610" w:type="pct"/>
            <w:tcBorders>
              <w:tl2br w:val="nil"/>
              <w:tr2bl w:val="nil"/>
            </w:tcBorders>
            <w:vAlign w:val="center"/>
          </w:tcPr>
          <w:p w14:paraId="315F15D6">
            <w:pPr>
              <w:spacing w:line="360" w:lineRule="auto"/>
              <w:ind w:left="0" w:leftChars="0" w:right="0" w:rightChars="0" w:firstLine="420" w:firstLineChars="0"/>
              <w:jc w:val="both"/>
              <w:rPr>
                <w:rFonts w:ascii="黑体" w:hAnsi="黑体" w:eastAsia="黑体" w:cs="黑体"/>
                <w:sz w:val="22"/>
                <w:szCs w:val="21"/>
                <w:lang w:val="zh-CN" w:eastAsia="zh-CN" w:bidi="zh-CN"/>
              </w:rPr>
            </w:pPr>
            <w:r>
              <w:rPr>
                <w:szCs w:val="21"/>
              </w:rPr>
              <w:t>t</w:t>
            </w:r>
          </w:p>
        </w:tc>
        <w:tc>
          <w:tcPr>
            <w:tcW w:w="839" w:type="pct"/>
            <w:tcBorders>
              <w:tl2br w:val="nil"/>
              <w:tr2bl w:val="nil"/>
            </w:tcBorders>
            <w:vAlign w:val="center"/>
          </w:tcPr>
          <w:p w14:paraId="49B1BD50">
            <w:pPr>
              <w:spacing w:line="360" w:lineRule="auto"/>
              <w:ind w:left="0" w:leftChars="0" w:right="0" w:rightChars="0" w:firstLine="440" w:firstLineChars="200"/>
              <w:jc w:val="both"/>
              <w:rPr>
                <w:rFonts w:ascii="黑体" w:hAnsi="黑体" w:eastAsia="黑体" w:cs="黑体"/>
                <w:sz w:val="22"/>
                <w:szCs w:val="21"/>
                <w:lang w:val="zh-CN" w:eastAsia="zh-CN" w:bidi="zh-CN"/>
              </w:rPr>
            </w:pPr>
            <w:r>
              <w:rPr>
                <w:szCs w:val="21"/>
              </w:rPr>
              <w:t>300</w:t>
            </w:r>
          </w:p>
        </w:tc>
        <w:tc>
          <w:tcPr>
            <w:tcW w:w="1432" w:type="pct"/>
            <w:tcBorders>
              <w:tl2br w:val="nil"/>
              <w:tr2bl w:val="nil"/>
            </w:tcBorders>
            <w:vAlign w:val="center"/>
          </w:tcPr>
          <w:p w14:paraId="54E70F7D">
            <w:pPr>
              <w:spacing w:line="360" w:lineRule="auto"/>
              <w:ind w:left="0" w:leftChars="0" w:right="0" w:rightChars="0" w:firstLine="880" w:firstLineChars="400"/>
              <w:jc w:val="both"/>
              <w:rPr>
                <w:rFonts w:hint="default" w:ascii="黑体" w:hAnsi="黑体" w:eastAsia="黑体" w:cs="黑体"/>
                <w:sz w:val="22"/>
                <w:szCs w:val="21"/>
                <w:lang w:val="en-US" w:eastAsia="zh-CN" w:bidi="zh-CN"/>
              </w:rPr>
            </w:pPr>
            <w:r>
              <w:rPr>
                <w:rFonts w:hint="eastAsia"/>
                <w:szCs w:val="21"/>
                <w:lang w:val="en-US" w:eastAsia="zh-CN"/>
              </w:rPr>
              <w:t>292</w:t>
            </w:r>
          </w:p>
        </w:tc>
      </w:tr>
    </w:tbl>
    <w:p w14:paraId="03504553">
      <w:pPr>
        <w:spacing w:line="360" w:lineRule="auto"/>
        <w:ind w:firstLine="700" w:firstLineChars="250"/>
        <w:rPr>
          <w:rFonts w:ascii="宋体" w:hAnsi="宋体"/>
          <w:sz w:val="28"/>
          <w:szCs w:val="28"/>
          <w:highlight w:val="none"/>
        </w:rPr>
      </w:pPr>
      <w:r>
        <w:rPr>
          <w:rFonts w:hint="eastAsia" w:ascii="宋体" w:hAnsi="宋体"/>
          <w:sz w:val="28"/>
          <w:szCs w:val="28"/>
          <w:highlight w:val="none"/>
        </w:rPr>
        <w:t>其它材料：参照近期其它工程结合市场行情分析确定。</w:t>
      </w:r>
    </w:p>
    <w:p w14:paraId="5E61674D">
      <w:pPr>
        <w:spacing w:line="360" w:lineRule="auto"/>
        <w:ind w:firstLine="560" w:firstLineChars="200"/>
        <w:rPr>
          <w:rFonts w:ascii="宋体" w:hAnsi="宋体"/>
          <w:sz w:val="28"/>
          <w:szCs w:val="28"/>
          <w:highlight w:val="none"/>
        </w:rPr>
      </w:pPr>
      <w:r>
        <w:rPr>
          <w:rFonts w:hint="eastAsia" w:ascii="宋体" w:hAnsi="宋体"/>
          <w:sz w:val="28"/>
          <w:szCs w:val="28"/>
          <w:highlight w:val="none"/>
        </w:rPr>
        <w:t>主要材料价格有基价的以基价计入，预算价超过基价部分材料费进行调差。</w:t>
      </w:r>
    </w:p>
    <w:p w14:paraId="36499290">
      <w:pPr>
        <w:spacing w:line="360" w:lineRule="auto"/>
        <w:ind w:firstLine="560" w:firstLineChars="200"/>
        <w:rPr>
          <w:rFonts w:ascii="宋体" w:hAnsi="宋体"/>
          <w:sz w:val="24"/>
          <w:highlight w:val="none"/>
        </w:rPr>
      </w:pPr>
      <w:r>
        <w:rPr>
          <w:rFonts w:hint="eastAsia" w:ascii="宋体" w:hAnsi="宋体"/>
          <w:sz w:val="28"/>
          <w:szCs w:val="28"/>
          <w:highlight w:val="none"/>
        </w:rPr>
        <w:t>价差：根据</w:t>
      </w:r>
      <w:r>
        <w:rPr>
          <w:rFonts w:ascii="宋体" w:hAnsi="宋体"/>
          <w:sz w:val="28"/>
          <w:szCs w:val="28"/>
          <w:highlight w:val="none"/>
        </w:rPr>
        <w:t>《重庆市水利工程设计概（估）算编制规定》</w:t>
      </w:r>
      <w:r>
        <w:rPr>
          <w:rFonts w:hint="eastAsia" w:ascii="宋体" w:hAnsi="宋体"/>
          <w:sz w:val="28"/>
          <w:szCs w:val="28"/>
          <w:highlight w:val="none"/>
        </w:rPr>
        <w:t>，在编制概算文件时，材料按基价进入定额，参与各项费率的计算，其预算价（或市场价）与基价的差值按价差处理。即材料价差=主材耗量×（预算价或市场价-基价）。</w:t>
      </w:r>
    </w:p>
    <w:p w14:paraId="3D98F046">
      <w:pPr>
        <w:spacing w:line="360" w:lineRule="auto"/>
        <w:ind w:firstLine="562" w:firstLineChars="200"/>
        <w:rPr>
          <w:rFonts w:ascii="宋体" w:hAnsi="宋体"/>
          <w:b/>
          <w:snapToGrid w:val="0"/>
          <w:sz w:val="28"/>
          <w:szCs w:val="28"/>
          <w:highlight w:val="none"/>
        </w:rPr>
      </w:pPr>
      <w:r>
        <w:rPr>
          <w:rFonts w:hint="eastAsia" w:ascii="宋体" w:hAnsi="宋体"/>
          <w:b/>
          <w:snapToGrid w:val="0"/>
          <w:sz w:val="28"/>
          <w:szCs w:val="28"/>
          <w:highlight w:val="none"/>
        </w:rPr>
        <w:t>3）施工机械台时费</w:t>
      </w:r>
    </w:p>
    <w:p w14:paraId="73F5FA54">
      <w:pPr>
        <w:spacing w:line="360" w:lineRule="auto"/>
        <w:ind w:firstLine="560" w:firstLineChars="200"/>
        <w:rPr>
          <w:rFonts w:ascii="宋体" w:hAnsi="宋体"/>
          <w:sz w:val="28"/>
          <w:szCs w:val="28"/>
          <w:highlight w:val="none"/>
        </w:rPr>
      </w:pPr>
      <w:r>
        <w:rPr>
          <w:rFonts w:hint="eastAsia" w:ascii="宋体" w:hAnsi="宋体"/>
          <w:sz w:val="28"/>
          <w:szCs w:val="28"/>
          <w:highlight w:val="none"/>
        </w:rPr>
        <w:t>根据渝水建[2021]8号发布的《重庆市水利工程施工机械台时费定额》计算。</w:t>
      </w:r>
    </w:p>
    <w:p w14:paraId="7081C2C1">
      <w:pPr>
        <w:spacing w:line="360" w:lineRule="auto"/>
        <w:ind w:firstLine="562" w:firstLineChars="200"/>
        <w:rPr>
          <w:rFonts w:ascii="宋体" w:hAnsi="宋体"/>
          <w:b/>
          <w:snapToGrid w:val="0"/>
          <w:sz w:val="28"/>
          <w:szCs w:val="28"/>
          <w:highlight w:val="none"/>
        </w:rPr>
      </w:pPr>
      <w:r>
        <w:rPr>
          <w:rFonts w:hint="eastAsia" w:ascii="宋体" w:hAnsi="宋体"/>
          <w:b/>
          <w:snapToGrid w:val="0"/>
          <w:sz w:val="28"/>
          <w:szCs w:val="28"/>
          <w:highlight w:val="none"/>
        </w:rPr>
        <w:t>4）施工用风、水、电价格</w:t>
      </w:r>
    </w:p>
    <w:p w14:paraId="60B10492">
      <w:pPr>
        <w:spacing w:line="480" w:lineRule="exact"/>
        <w:ind w:firstLine="560" w:firstLineChars="200"/>
        <w:rPr>
          <w:rFonts w:ascii="宋体" w:hAnsi="宋体"/>
          <w:sz w:val="28"/>
          <w:szCs w:val="28"/>
          <w:highlight w:val="none"/>
        </w:rPr>
      </w:pPr>
      <w:r>
        <w:rPr>
          <w:rFonts w:hint="eastAsia" w:ascii="宋体" w:hAnsi="宋体"/>
          <w:sz w:val="28"/>
          <w:szCs w:val="28"/>
          <w:highlight w:val="none"/>
        </w:rPr>
        <w:t>（1）施工用电：本工程施工用电为</w:t>
      </w:r>
      <w:r>
        <w:rPr>
          <w:rFonts w:hint="eastAsia" w:ascii="宋体" w:hAnsi="宋体"/>
          <w:sz w:val="28"/>
          <w:szCs w:val="28"/>
          <w:highlight w:val="none"/>
          <w:lang w:val="en-US" w:eastAsia="zh-CN"/>
        </w:rPr>
        <w:t>电网</w:t>
      </w:r>
      <w:r>
        <w:rPr>
          <w:rFonts w:hint="eastAsia" w:ascii="宋体" w:hAnsi="宋体"/>
          <w:sz w:val="28"/>
          <w:szCs w:val="28"/>
          <w:highlight w:val="none"/>
          <w:lang w:val="en-US"/>
        </w:rPr>
        <w:t>供电</w:t>
      </w:r>
      <w:r>
        <w:rPr>
          <w:rFonts w:hint="eastAsia" w:ascii="宋体" w:hAnsi="宋体"/>
          <w:sz w:val="28"/>
          <w:szCs w:val="28"/>
          <w:highlight w:val="none"/>
        </w:rPr>
        <w:t>，施工用电单价为</w:t>
      </w:r>
      <w:r>
        <w:rPr>
          <w:rFonts w:hint="eastAsia" w:ascii="宋体" w:hAnsi="宋体"/>
          <w:sz w:val="28"/>
          <w:szCs w:val="28"/>
          <w:highlight w:val="none"/>
          <w:lang w:val="en-US" w:eastAsia="zh-CN"/>
        </w:rPr>
        <w:t>0.95</w:t>
      </w:r>
      <w:r>
        <w:rPr>
          <w:rFonts w:hint="eastAsia" w:ascii="宋体" w:hAnsi="宋体"/>
          <w:sz w:val="28"/>
          <w:szCs w:val="28"/>
          <w:highlight w:val="none"/>
        </w:rPr>
        <w:t>元/</w:t>
      </w:r>
      <w:r>
        <w:rPr>
          <w:rFonts w:ascii="宋体" w:hAnsi="宋体"/>
          <w:sz w:val="28"/>
          <w:szCs w:val="28"/>
          <w:highlight w:val="none"/>
        </w:rPr>
        <w:t>kwh</w:t>
      </w:r>
      <w:r>
        <w:rPr>
          <w:rFonts w:hint="eastAsia" w:ascii="宋体" w:hAnsi="宋体"/>
          <w:sz w:val="28"/>
          <w:szCs w:val="28"/>
          <w:highlight w:val="none"/>
        </w:rPr>
        <w:t>。</w:t>
      </w:r>
    </w:p>
    <w:p w14:paraId="30486738">
      <w:pPr>
        <w:spacing w:line="480" w:lineRule="exact"/>
        <w:ind w:firstLine="560" w:firstLineChars="200"/>
        <w:rPr>
          <w:rFonts w:ascii="宋体" w:hAnsi="宋体"/>
          <w:sz w:val="28"/>
          <w:szCs w:val="28"/>
          <w:highlight w:val="none"/>
        </w:rPr>
      </w:pPr>
      <w:r>
        <w:rPr>
          <w:rFonts w:hint="eastAsia" w:ascii="宋体" w:hAnsi="宋体"/>
          <w:sz w:val="28"/>
          <w:szCs w:val="28"/>
          <w:highlight w:val="none"/>
        </w:rPr>
        <w:t>（2）施工用风：根据施工组织设计提供资料，本工程施工用风拟采用移动式空压机</w:t>
      </w:r>
      <w:r>
        <w:rPr>
          <w:rFonts w:hint="eastAsia" w:ascii="宋体" w:hAnsi="宋体"/>
          <w:sz w:val="28"/>
          <w:szCs w:val="28"/>
          <w:highlight w:val="none"/>
          <w:lang w:val="en-US" w:eastAsia="zh-CN"/>
        </w:rPr>
        <w:t>3m</w:t>
      </w:r>
      <w:r>
        <w:rPr>
          <w:rFonts w:hint="eastAsia" w:ascii="宋体" w:hAnsi="宋体"/>
          <w:sz w:val="28"/>
          <w:szCs w:val="28"/>
          <w:highlight w:val="none"/>
          <w:vertAlign w:val="superscript"/>
          <w:lang w:val="en-US" w:eastAsia="zh-CN"/>
        </w:rPr>
        <w:t>3</w:t>
      </w:r>
      <w:r>
        <w:rPr>
          <w:rFonts w:hint="eastAsia" w:ascii="宋体" w:hAnsi="宋体"/>
          <w:sz w:val="28"/>
          <w:szCs w:val="28"/>
          <w:highlight w:val="none"/>
        </w:rPr>
        <w:t>供风，施工用风单价为</w:t>
      </w:r>
      <w:r>
        <w:rPr>
          <w:rFonts w:ascii="宋体" w:hAnsi="宋体"/>
          <w:sz w:val="28"/>
          <w:szCs w:val="28"/>
          <w:highlight w:val="none"/>
        </w:rPr>
        <w:t>0.</w:t>
      </w:r>
      <w:r>
        <w:rPr>
          <w:rFonts w:hint="eastAsia" w:ascii="宋体" w:hAnsi="宋体"/>
          <w:sz w:val="28"/>
          <w:szCs w:val="28"/>
          <w:highlight w:val="none"/>
          <w:lang w:val="en-US" w:eastAsia="zh-CN"/>
        </w:rPr>
        <w:t>51</w:t>
      </w:r>
      <w:r>
        <w:rPr>
          <w:rFonts w:hint="eastAsia" w:ascii="宋体" w:hAnsi="宋体"/>
          <w:sz w:val="28"/>
          <w:szCs w:val="28"/>
          <w:highlight w:val="none"/>
        </w:rPr>
        <w:t>元/</w:t>
      </w:r>
      <w:r>
        <w:rPr>
          <w:rFonts w:ascii="宋体" w:hAnsi="宋体"/>
          <w:sz w:val="28"/>
          <w:szCs w:val="28"/>
          <w:highlight w:val="none"/>
        </w:rPr>
        <w:t>m³</w:t>
      </w:r>
      <w:r>
        <w:rPr>
          <w:rFonts w:hint="eastAsia" w:ascii="宋体" w:hAnsi="宋体"/>
          <w:sz w:val="28"/>
          <w:szCs w:val="28"/>
          <w:highlight w:val="none"/>
        </w:rPr>
        <w:t>。</w:t>
      </w:r>
    </w:p>
    <w:p w14:paraId="43FBBE58">
      <w:pPr>
        <w:spacing w:line="480" w:lineRule="exact"/>
        <w:ind w:firstLine="560" w:firstLineChars="200"/>
        <w:rPr>
          <w:rFonts w:ascii="宋体" w:hAnsi="宋体"/>
          <w:sz w:val="28"/>
          <w:szCs w:val="28"/>
          <w:highlight w:val="none"/>
        </w:rPr>
      </w:pPr>
      <w:r>
        <w:rPr>
          <w:rFonts w:hint="eastAsia" w:ascii="宋体" w:hAnsi="宋体"/>
          <w:sz w:val="28"/>
          <w:szCs w:val="28"/>
          <w:highlight w:val="none"/>
        </w:rPr>
        <w:t>（3）施工用水：本工程施工用水拟采用</w:t>
      </w:r>
      <w:r>
        <w:rPr>
          <w:rFonts w:hint="eastAsia" w:ascii="宋体" w:hAnsi="宋体"/>
          <w:sz w:val="28"/>
          <w:szCs w:val="28"/>
          <w:highlight w:val="none"/>
          <w:lang w:val="en-US" w:eastAsia="zh-CN"/>
        </w:rPr>
        <w:t>原管道中水</w:t>
      </w:r>
      <w:r>
        <w:rPr>
          <w:rFonts w:hint="eastAsia" w:ascii="宋体" w:hAnsi="宋体"/>
          <w:sz w:val="28"/>
          <w:szCs w:val="28"/>
          <w:highlight w:val="none"/>
        </w:rPr>
        <w:t>，施工用水单价为</w:t>
      </w:r>
      <w:r>
        <w:rPr>
          <w:rFonts w:hint="eastAsia" w:ascii="宋体" w:hAnsi="宋体"/>
          <w:sz w:val="28"/>
          <w:szCs w:val="28"/>
          <w:highlight w:val="none"/>
          <w:lang w:val="en-US" w:eastAsia="zh-CN"/>
        </w:rPr>
        <w:t>1.66</w:t>
      </w:r>
      <w:r>
        <w:rPr>
          <w:rFonts w:hint="eastAsia" w:ascii="宋体" w:hAnsi="宋体"/>
          <w:sz w:val="28"/>
          <w:szCs w:val="28"/>
          <w:highlight w:val="none"/>
        </w:rPr>
        <w:t>元/</w:t>
      </w:r>
      <w:r>
        <w:rPr>
          <w:rFonts w:ascii="宋体" w:hAnsi="宋体"/>
          <w:sz w:val="28"/>
          <w:szCs w:val="28"/>
          <w:highlight w:val="none"/>
        </w:rPr>
        <w:t>m³</w:t>
      </w:r>
      <w:r>
        <w:rPr>
          <w:rFonts w:hint="eastAsia" w:ascii="宋体" w:hAnsi="宋体"/>
          <w:sz w:val="28"/>
          <w:szCs w:val="28"/>
          <w:highlight w:val="none"/>
        </w:rPr>
        <w:t>。</w:t>
      </w:r>
    </w:p>
    <w:p w14:paraId="30F681E3">
      <w:pPr>
        <w:spacing w:line="360" w:lineRule="auto"/>
        <w:ind w:firstLine="562" w:firstLineChars="200"/>
        <w:rPr>
          <w:rFonts w:ascii="宋体" w:hAnsi="宋体"/>
          <w:b/>
          <w:snapToGrid w:val="0"/>
          <w:sz w:val="28"/>
          <w:szCs w:val="28"/>
          <w:highlight w:val="none"/>
        </w:rPr>
      </w:pPr>
      <w:r>
        <w:rPr>
          <w:rFonts w:hint="eastAsia" w:ascii="宋体" w:hAnsi="宋体"/>
          <w:b/>
          <w:snapToGrid w:val="0"/>
          <w:sz w:val="28"/>
          <w:szCs w:val="28"/>
          <w:highlight w:val="none"/>
        </w:rPr>
        <w:t>5）混凝土及砂浆材料价格</w:t>
      </w:r>
    </w:p>
    <w:p w14:paraId="6F6F9311">
      <w:pPr>
        <w:pStyle w:val="4"/>
        <w:spacing w:before="1" w:line="417" w:lineRule="auto"/>
        <w:ind w:left="100" w:right="252" w:firstLine="559"/>
        <w:jc w:val="both"/>
        <w:rPr>
          <w:rFonts w:ascii="宋体" w:hAnsi="宋体"/>
          <w:highlight w:val="none"/>
          <w:lang w:val="en-US"/>
        </w:rPr>
      </w:pPr>
      <w:r>
        <w:rPr>
          <w:rFonts w:hint="eastAsia" w:ascii="宋体" w:hAnsi="宋体"/>
          <w:highlight w:val="none"/>
        </w:rPr>
        <w:t>根据渝水建[2021]8号发布的《重庆市水利建筑工程概算定额》附录7混凝土、砂浆配合比及材料用量表计算</w:t>
      </w:r>
      <w:r>
        <w:rPr>
          <w:rFonts w:hint="eastAsia" w:ascii="宋体" w:hAnsi="宋体"/>
          <w:highlight w:val="none"/>
          <w:lang w:val="en-US"/>
        </w:rPr>
        <w:t>。</w:t>
      </w:r>
    </w:p>
    <w:p w14:paraId="3C9A5F28">
      <w:pPr>
        <w:spacing w:line="360" w:lineRule="auto"/>
        <w:ind w:firstLine="562" w:firstLineChars="200"/>
        <w:rPr>
          <w:rFonts w:hint="eastAsia" w:ascii="宋体" w:hAnsi="宋体"/>
          <w:b/>
          <w:snapToGrid w:val="0"/>
          <w:sz w:val="28"/>
          <w:szCs w:val="28"/>
          <w:highlight w:val="none"/>
        </w:rPr>
      </w:pPr>
      <w:r>
        <w:rPr>
          <w:rFonts w:hint="eastAsia" w:ascii="宋体" w:hAnsi="宋体"/>
          <w:b/>
          <w:snapToGrid w:val="0"/>
          <w:sz w:val="28"/>
          <w:szCs w:val="28"/>
          <w:highlight w:val="none"/>
          <w:lang w:val="en-US" w:eastAsia="zh-CN"/>
        </w:rPr>
        <w:t>6</w:t>
      </w:r>
      <w:r>
        <w:rPr>
          <w:rFonts w:hint="eastAsia" w:ascii="宋体" w:hAnsi="宋体"/>
          <w:b/>
          <w:snapToGrid w:val="0"/>
          <w:sz w:val="28"/>
          <w:szCs w:val="28"/>
          <w:highlight w:val="none"/>
        </w:rPr>
        <w:t>）费用计算标准及依据</w:t>
      </w:r>
    </w:p>
    <w:p w14:paraId="2F0D9532">
      <w:pPr>
        <w:spacing w:line="360" w:lineRule="auto"/>
        <w:ind w:firstLine="560" w:firstLineChars="200"/>
        <w:rPr>
          <w:rFonts w:ascii="宋体" w:hAnsi="宋体"/>
          <w:sz w:val="24"/>
          <w:highlight w:val="none"/>
        </w:rPr>
      </w:pPr>
      <w:r>
        <w:rPr>
          <w:rFonts w:hint="eastAsia"/>
          <w:sz w:val="28"/>
          <w:szCs w:val="28"/>
          <w:highlight w:val="none"/>
        </w:rPr>
        <w:t>工程的项目划分和编制方法依据重庆市水利局、重庆市发展和改革委员会，关于发布《重庆市水利工程设计概（估）算编制规定》（2021年版）的通知渝水建[2021]8号。工程建筑、安装工程取费费率见表</w:t>
      </w:r>
      <w:r>
        <w:rPr>
          <w:rFonts w:hint="eastAsia"/>
          <w:sz w:val="28"/>
          <w:szCs w:val="28"/>
          <w:highlight w:val="none"/>
          <w:lang w:val="en-US" w:eastAsia="zh-CN"/>
        </w:rPr>
        <w:t>8-2</w:t>
      </w:r>
      <w:r>
        <w:rPr>
          <w:rFonts w:hint="eastAsia" w:ascii="宋体" w:hAnsi="宋体"/>
          <w:sz w:val="28"/>
          <w:szCs w:val="28"/>
          <w:highlight w:val="none"/>
        </w:rPr>
        <w:t>。</w:t>
      </w:r>
    </w:p>
    <w:p w14:paraId="055C85CB">
      <w:pPr>
        <w:pStyle w:val="16"/>
        <w:jc w:val="center"/>
        <w:rPr>
          <w:b/>
          <w:bCs/>
          <w:sz w:val="24"/>
          <w:szCs w:val="24"/>
          <w:highlight w:val="none"/>
        </w:rPr>
      </w:pPr>
      <w:r>
        <w:rPr>
          <w:rFonts w:hint="eastAsia"/>
          <w:b/>
          <w:bCs/>
          <w:sz w:val="24"/>
          <w:szCs w:val="24"/>
          <w:highlight w:val="none"/>
          <w:lang w:val="en-US"/>
        </w:rPr>
        <w:t>表</w:t>
      </w:r>
      <w:r>
        <w:rPr>
          <w:rFonts w:hint="eastAsia"/>
          <w:b/>
          <w:bCs/>
          <w:sz w:val="24"/>
          <w:szCs w:val="24"/>
          <w:highlight w:val="none"/>
          <w:lang w:val="en-US" w:eastAsia="zh-CN"/>
        </w:rPr>
        <w:t>8</w:t>
      </w:r>
      <w:r>
        <w:rPr>
          <w:rFonts w:hint="eastAsia"/>
          <w:b/>
          <w:bCs/>
          <w:sz w:val="24"/>
          <w:szCs w:val="24"/>
          <w:highlight w:val="none"/>
          <w:lang w:val="en-US"/>
        </w:rPr>
        <w:t>-2</w:t>
      </w:r>
      <w:r>
        <w:rPr>
          <w:rFonts w:hint="eastAsia"/>
          <w:b/>
          <w:bCs/>
          <w:sz w:val="24"/>
          <w:szCs w:val="24"/>
          <w:highlight w:val="none"/>
          <w:lang w:val="en-US" w:eastAsia="zh-CN"/>
        </w:rPr>
        <w:t xml:space="preserve">    </w:t>
      </w:r>
      <w:r>
        <w:rPr>
          <w:rFonts w:hint="eastAsia"/>
          <w:b/>
          <w:bCs/>
          <w:sz w:val="24"/>
          <w:szCs w:val="24"/>
          <w:highlight w:val="none"/>
        </w:rPr>
        <w:t>工程取费费率表</w:t>
      </w:r>
    </w:p>
    <w:p w14:paraId="02E1E9CD">
      <w:pPr>
        <w:pStyle w:val="16"/>
        <w:ind w:left="251" w:leftChars="114"/>
        <w:jc w:val="both"/>
        <w:rPr>
          <w:rFonts w:hint="eastAsia"/>
          <w:b/>
          <w:bCs/>
          <w:sz w:val="24"/>
          <w:szCs w:val="24"/>
          <w:highlight w:val="none"/>
        </w:rPr>
      </w:pPr>
      <w:r>
        <w:rPr>
          <w:rFonts w:hint="eastAsia"/>
          <w:b/>
          <w:bCs/>
          <w:sz w:val="24"/>
          <w:szCs w:val="24"/>
          <w:highlight w:val="none"/>
          <w:lang w:val="en-US"/>
        </w:rPr>
        <w:t xml:space="preserve">                                                     </w:t>
      </w:r>
      <w:r>
        <w:rPr>
          <w:rFonts w:hint="eastAsia"/>
          <w:b/>
          <w:bCs/>
          <w:sz w:val="24"/>
          <w:szCs w:val="24"/>
          <w:highlight w:val="none"/>
          <w:lang w:val="en-US" w:eastAsia="zh-CN"/>
        </w:rPr>
        <w:t xml:space="preserve">              </w:t>
      </w:r>
      <w:r>
        <w:rPr>
          <w:rFonts w:hint="eastAsia"/>
          <w:b/>
          <w:bCs/>
          <w:sz w:val="24"/>
          <w:szCs w:val="24"/>
          <w:highlight w:val="none"/>
        </w:rPr>
        <w:t>单位%</w:t>
      </w:r>
    </w:p>
    <w:tbl>
      <w:tblPr>
        <w:tblStyle w:val="9"/>
        <w:tblW w:w="5012" w:type="pct"/>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0" w:type="dxa"/>
          <w:bottom w:w="0" w:type="dxa"/>
          <w:right w:w="0" w:type="dxa"/>
        </w:tblCellMar>
      </w:tblPr>
      <w:tblGrid>
        <w:gridCol w:w="601"/>
        <w:gridCol w:w="1537"/>
        <w:gridCol w:w="1307"/>
        <w:gridCol w:w="748"/>
        <w:gridCol w:w="763"/>
        <w:gridCol w:w="937"/>
        <w:gridCol w:w="937"/>
        <w:gridCol w:w="941"/>
        <w:gridCol w:w="941"/>
        <w:gridCol w:w="941"/>
        <w:gridCol w:w="939"/>
      </w:tblGrid>
      <w:tr w14:paraId="5CDF51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23" w:hRule="atLeast"/>
        </w:trPr>
        <w:tc>
          <w:tcPr>
            <w:tcW w:w="284" w:type="pct"/>
            <w:vAlign w:val="center"/>
          </w:tcPr>
          <w:p w14:paraId="3E8643CC">
            <w:pPr>
              <w:widowControl/>
              <w:spacing w:line="360" w:lineRule="auto"/>
              <w:jc w:val="center"/>
              <w:rPr>
                <w:szCs w:val="21"/>
              </w:rPr>
            </w:pPr>
            <w:r>
              <w:rPr>
                <w:szCs w:val="21"/>
              </w:rPr>
              <w:t>编号</w:t>
            </w:r>
          </w:p>
        </w:tc>
        <w:tc>
          <w:tcPr>
            <w:tcW w:w="726" w:type="pct"/>
            <w:vAlign w:val="center"/>
          </w:tcPr>
          <w:p w14:paraId="1A21B2DF">
            <w:pPr>
              <w:adjustRightInd w:val="0"/>
              <w:snapToGrid w:val="0"/>
              <w:spacing w:line="360" w:lineRule="auto"/>
              <w:jc w:val="center"/>
              <w:rPr>
                <w:szCs w:val="21"/>
              </w:rPr>
            </w:pPr>
            <w:r>
              <w:rPr>
                <w:szCs w:val="21"/>
              </w:rPr>
              <w:t>项目</w:t>
            </w:r>
          </w:p>
        </w:tc>
        <w:tc>
          <w:tcPr>
            <w:tcW w:w="617" w:type="pct"/>
            <w:vAlign w:val="center"/>
          </w:tcPr>
          <w:p w14:paraId="69BDCDEA">
            <w:pPr>
              <w:adjustRightInd w:val="0"/>
              <w:snapToGrid w:val="0"/>
              <w:spacing w:line="360" w:lineRule="auto"/>
              <w:rPr>
                <w:szCs w:val="21"/>
              </w:rPr>
            </w:pPr>
            <w:r>
              <w:rPr>
                <w:szCs w:val="21"/>
              </w:rPr>
              <w:t>计 算</w:t>
            </w:r>
          </w:p>
          <w:p w14:paraId="11EF0088">
            <w:pPr>
              <w:adjustRightInd w:val="0"/>
              <w:snapToGrid w:val="0"/>
              <w:spacing w:line="360" w:lineRule="auto"/>
              <w:rPr>
                <w:szCs w:val="21"/>
              </w:rPr>
            </w:pPr>
            <w:r>
              <w:rPr>
                <w:szCs w:val="21"/>
              </w:rPr>
              <w:t>基 础</w:t>
            </w:r>
          </w:p>
        </w:tc>
        <w:tc>
          <w:tcPr>
            <w:tcW w:w="353" w:type="pct"/>
            <w:vAlign w:val="center"/>
          </w:tcPr>
          <w:p w14:paraId="266FA84D">
            <w:pPr>
              <w:adjustRightInd w:val="0"/>
              <w:snapToGrid w:val="0"/>
              <w:spacing w:line="360" w:lineRule="auto"/>
              <w:rPr>
                <w:szCs w:val="21"/>
              </w:rPr>
            </w:pPr>
            <w:r>
              <w:rPr>
                <w:szCs w:val="21"/>
              </w:rPr>
              <w:t>土方</w:t>
            </w:r>
          </w:p>
          <w:p w14:paraId="20250874">
            <w:pPr>
              <w:adjustRightInd w:val="0"/>
              <w:snapToGrid w:val="0"/>
              <w:spacing w:line="360" w:lineRule="auto"/>
              <w:rPr>
                <w:szCs w:val="21"/>
              </w:rPr>
            </w:pPr>
            <w:r>
              <w:rPr>
                <w:szCs w:val="21"/>
              </w:rPr>
              <w:t>工程</w:t>
            </w:r>
          </w:p>
        </w:tc>
        <w:tc>
          <w:tcPr>
            <w:tcW w:w="360" w:type="pct"/>
            <w:vAlign w:val="center"/>
          </w:tcPr>
          <w:p w14:paraId="1086FB2C">
            <w:pPr>
              <w:adjustRightInd w:val="0"/>
              <w:snapToGrid w:val="0"/>
              <w:spacing w:line="360" w:lineRule="auto"/>
              <w:rPr>
                <w:szCs w:val="21"/>
              </w:rPr>
            </w:pPr>
            <w:r>
              <w:rPr>
                <w:szCs w:val="21"/>
              </w:rPr>
              <w:t>石方    工程</w:t>
            </w:r>
          </w:p>
        </w:tc>
        <w:tc>
          <w:tcPr>
            <w:tcW w:w="442" w:type="pct"/>
            <w:vAlign w:val="center"/>
          </w:tcPr>
          <w:p w14:paraId="16E5B071">
            <w:pPr>
              <w:adjustRightInd w:val="0"/>
              <w:snapToGrid w:val="0"/>
              <w:spacing w:line="360" w:lineRule="auto"/>
              <w:rPr>
                <w:szCs w:val="21"/>
              </w:rPr>
            </w:pPr>
            <w:r>
              <w:rPr>
                <w:szCs w:val="21"/>
              </w:rPr>
              <w:t>混凝土</w:t>
            </w:r>
            <w:r>
              <w:rPr>
                <w:rFonts w:hint="eastAsia"/>
                <w:szCs w:val="21"/>
              </w:rPr>
              <w:t>浇筑</w:t>
            </w:r>
            <w:r>
              <w:rPr>
                <w:szCs w:val="21"/>
              </w:rPr>
              <w:t>工程</w:t>
            </w:r>
          </w:p>
        </w:tc>
        <w:tc>
          <w:tcPr>
            <w:tcW w:w="442" w:type="pct"/>
            <w:vAlign w:val="center"/>
          </w:tcPr>
          <w:p w14:paraId="5A028F3A">
            <w:pPr>
              <w:adjustRightInd w:val="0"/>
              <w:snapToGrid w:val="0"/>
              <w:spacing w:line="360" w:lineRule="auto"/>
              <w:rPr>
                <w:szCs w:val="21"/>
              </w:rPr>
            </w:pPr>
            <w:r>
              <w:rPr>
                <w:rFonts w:hint="eastAsia"/>
                <w:szCs w:val="21"/>
              </w:rPr>
              <w:t>钻孔</w:t>
            </w:r>
            <w:r>
              <w:rPr>
                <w:szCs w:val="21"/>
              </w:rPr>
              <w:t>灌浆工程</w:t>
            </w:r>
          </w:p>
        </w:tc>
        <w:tc>
          <w:tcPr>
            <w:tcW w:w="444" w:type="pct"/>
            <w:vAlign w:val="center"/>
          </w:tcPr>
          <w:p w14:paraId="52119D51">
            <w:pPr>
              <w:adjustRightInd w:val="0"/>
              <w:snapToGrid w:val="0"/>
              <w:spacing w:line="360" w:lineRule="auto"/>
              <w:rPr>
                <w:szCs w:val="21"/>
              </w:rPr>
            </w:pPr>
            <w:r>
              <w:rPr>
                <w:rFonts w:hint="eastAsia"/>
                <w:szCs w:val="21"/>
              </w:rPr>
              <w:t>挖掘机施工隧洞工程（顶管）</w:t>
            </w:r>
          </w:p>
        </w:tc>
        <w:tc>
          <w:tcPr>
            <w:tcW w:w="444" w:type="pct"/>
            <w:vAlign w:val="center"/>
          </w:tcPr>
          <w:p w14:paraId="0B1BB95C">
            <w:pPr>
              <w:adjustRightInd w:val="0"/>
              <w:snapToGrid w:val="0"/>
              <w:spacing w:line="360" w:lineRule="auto"/>
              <w:rPr>
                <w:szCs w:val="21"/>
              </w:rPr>
            </w:pPr>
            <w:r>
              <w:rPr>
                <w:rFonts w:hint="eastAsia"/>
                <w:szCs w:val="21"/>
              </w:rPr>
              <w:t>挖掘机施工隧洞工程（其他）</w:t>
            </w:r>
          </w:p>
        </w:tc>
        <w:tc>
          <w:tcPr>
            <w:tcW w:w="444" w:type="pct"/>
            <w:vAlign w:val="center"/>
          </w:tcPr>
          <w:p w14:paraId="237F9419">
            <w:pPr>
              <w:adjustRightInd w:val="0"/>
              <w:snapToGrid w:val="0"/>
              <w:spacing w:line="360" w:lineRule="auto"/>
              <w:rPr>
                <w:szCs w:val="21"/>
              </w:rPr>
            </w:pPr>
            <w:r>
              <w:rPr>
                <w:szCs w:val="21"/>
              </w:rPr>
              <w:t>其他</w:t>
            </w:r>
          </w:p>
          <w:p w14:paraId="7719E804">
            <w:pPr>
              <w:adjustRightInd w:val="0"/>
              <w:snapToGrid w:val="0"/>
              <w:spacing w:line="360" w:lineRule="auto"/>
              <w:rPr>
                <w:szCs w:val="21"/>
              </w:rPr>
            </w:pPr>
            <w:r>
              <w:rPr>
                <w:szCs w:val="21"/>
              </w:rPr>
              <w:t>工程</w:t>
            </w:r>
          </w:p>
        </w:tc>
        <w:tc>
          <w:tcPr>
            <w:tcW w:w="443" w:type="pct"/>
            <w:vAlign w:val="center"/>
          </w:tcPr>
          <w:p w14:paraId="3B37AE44">
            <w:pPr>
              <w:adjustRightInd w:val="0"/>
              <w:snapToGrid w:val="0"/>
              <w:spacing w:line="360" w:lineRule="auto"/>
              <w:rPr>
                <w:szCs w:val="21"/>
              </w:rPr>
            </w:pPr>
            <w:r>
              <w:rPr>
                <w:szCs w:val="21"/>
              </w:rPr>
              <w:t>安装</w:t>
            </w:r>
          </w:p>
          <w:p w14:paraId="445F1365">
            <w:pPr>
              <w:adjustRightInd w:val="0"/>
              <w:snapToGrid w:val="0"/>
              <w:spacing w:line="360" w:lineRule="auto"/>
              <w:rPr>
                <w:szCs w:val="21"/>
              </w:rPr>
            </w:pPr>
            <w:r>
              <w:rPr>
                <w:szCs w:val="21"/>
              </w:rPr>
              <w:t>工程</w:t>
            </w:r>
          </w:p>
        </w:tc>
      </w:tr>
      <w:tr w14:paraId="28F7D2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12E991C9">
            <w:pPr>
              <w:widowControl/>
              <w:spacing w:line="360" w:lineRule="auto"/>
              <w:jc w:val="center"/>
              <w:rPr>
                <w:szCs w:val="21"/>
              </w:rPr>
            </w:pPr>
            <w:r>
              <w:rPr>
                <w:szCs w:val="21"/>
              </w:rPr>
              <w:t>一</w:t>
            </w:r>
          </w:p>
        </w:tc>
        <w:tc>
          <w:tcPr>
            <w:tcW w:w="726" w:type="pct"/>
            <w:vAlign w:val="center"/>
          </w:tcPr>
          <w:p w14:paraId="25526A06">
            <w:pPr>
              <w:widowControl/>
              <w:spacing w:line="360" w:lineRule="auto"/>
              <w:jc w:val="center"/>
              <w:rPr>
                <w:szCs w:val="21"/>
              </w:rPr>
            </w:pPr>
            <w:r>
              <w:rPr>
                <w:szCs w:val="21"/>
              </w:rPr>
              <w:t>直接工程费</w:t>
            </w:r>
          </w:p>
        </w:tc>
        <w:tc>
          <w:tcPr>
            <w:tcW w:w="617" w:type="pct"/>
            <w:vAlign w:val="center"/>
          </w:tcPr>
          <w:p w14:paraId="6EFA71B8">
            <w:pPr>
              <w:widowControl/>
              <w:spacing w:line="360" w:lineRule="auto"/>
              <w:jc w:val="center"/>
              <w:rPr>
                <w:szCs w:val="21"/>
              </w:rPr>
            </w:pPr>
          </w:p>
        </w:tc>
        <w:tc>
          <w:tcPr>
            <w:tcW w:w="353" w:type="pct"/>
            <w:vAlign w:val="center"/>
          </w:tcPr>
          <w:p w14:paraId="4D075727">
            <w:pPr>
              <w:widowControl/>
              <w:spacing w:line="360" w:lineRule="auto"/>
              <w:jc w:val="center"/>
              <w:rPr>
                <w:szCs w:val="21"/>
              </w:rPr>
            </w:pPr>
          </w:p>
        </w:tc>
        <w:tc>
          <w:tcPr>
            <w:tcW w:w="360" w:type="pct"/>
            <w:vAlign w:val="center"/>
          </w:tcPr>
          <w:p w14:paraId="0C0087FC">
            <w:pPr>
              <w:widowControl/>
              <w:spacing w:line="360" w:lineRule="auto"/>
              <w:jc w:val="center"/>
              <w:rPr>
                <w:szCs w:val="21"/>
              </w:rPr>
            </w:pPr>
          </w:p>
        </w:tc>
        <w:tc>
          <w:tcPr>
            <w:tcW w:w="442" w:type="pct"/>
            <w:vAlign w:val="center"/>
          </w:tcPr>
          <w:p w14:paraId="58603E41">
            <w:pPr>
              <w:widowControl/>
              <w:spacing w:line="360" w:lineRule="auto"/>
              <w:jc w:val="center"/>
              <w:rPr>
                <w:szCs w:val="21"/>
              </w:rPr>
            </w:pPr>
          </w:p>
        </w:tc>
        <w:tc>
          <w:tcPr>
            <w:tcW w:w="442" w:type="pct"/>
            <w:vAlign w:val="center"/>
          </w:tcPr>
          <w:p w14:paraId="31A6DA9C">
            <w:pPr>
              <w:widowControl/>
              <w:spacing w:line="360" w:lineRule="auto"/>
              <w:jc w:val="center"/>
              <w:rPr>
                <w:szCs w:val="21"/>
              </w:rPr>
            </w:pPr>
          </w:p>
        </w:tc>
        <w:tc>
          <w:tcPr>
            <w:tcW w:w="444" w:type="pct"/>
            <w:vAlign w:val="center"/>
          </w:tcPr>
          <w:p w14:paraId="57907F11">
            <w:pPr>
              <w:widowControl/>
              <w:spacing w:line="360" w:lineRule="auto"/>
              <w:jc w:val="center"/>
              <w:rPr>
                <w:szCs w:val="21"/>
              </w:rPr>
            </w:pPr>
          </w:p>
        </w:tc>
        <w:tc>
          <w:tcPr>
            <w:tcW w:w="444" w:type="pct"/>
            <w:vAlign w:val="center"/>
          </w:tcPr>
          <w:p w14:paraId="232E54CA">
            <w:pPr>
              <w:widowControl/>
              <w:spacing w:line="360" w:lineRule="auto"/>
              <w:jc w:val="center"/>
              <w:rPr>
                <w:szCs w:val="21"/>
              </w:rPr>
            </w:pPr>
          </w:p>
        </w:tc>
        <w:tc>
          <w:tcPr>
            <w:tcW w:w="444" w:type="pct"/>
            <w:vAlign w:val="center"/>
          </w:tcPr>
          <w:p w14:paraId="0D9B4403">
            <w:pPr>
              <w:widowControl/>
              <w:spacing w:line="360" w:lineRule="auto"/>
              <w:jc w:val="center"/>
              <w:rPr>
                <w:szCs w:val="21"/>
              </w:rPr>
            </w:pPr>
          </w:p>
        </w:tc>
        <w:tc>
          <w:tcPr>
            <w:tcW w:w="443" w:type="pct"/>
            <w:vAlign w:val="center"/>
          </w:tcPr>
          <w:p w14:paraId="7A08E325">
            <w:pPr>
              <w:widowControl/>
              <w:spacing w:line="360" w:lineRule="auto"/>
              <w:jc w:val="center"/>
              <w:rPr>
                <w:szCs w:val="21"/>
              </w:rPr>
            </w:pPr>
          </w:p>
        </w:tc>
      </w:tr>
      <w:tr w14:paraId="225C3C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153E9F1F">
            <w:pPr>
              <w:widowControl/>
              <w:spacing w:line="360" w:lineRule="auto"/>
              <w:jc w:val="center"/>
              <w:rPr>
                <w:szCs w:val="21"/>
              </w:rPr>
            </w:pPr>
            <w:r>
              <w:rPr>
                <w:szCs w:val="21"/>
              </w:rPr>
              <w:t>1</w:t>
            </w:r>
          </w:p>
        </w:tc>
        <w:tc>
          <w:tcPr>
            <w:tcW w:w="726" w:type="pct"/>
            <w:vAlign w:val="center"/>
          </w:tcPr>
          <w:p w14:paraId="6197257C">
            <w:pPr>
              <w:widowControl/>
              <w:spacing w:line="360" w:lineRule="auto"/>
              <w:jc w:val="center"/>
              <w:rPr>
                <w:szCs w:val="21"/>
              </w:rPr>
            </w:pPr>
            <w:r>
              <w:rPr>
                <w:szCs w:val="21"/>
              </w:rPr>
              <w:t>直接费</w:t>
            </w:r>
          </w:p>
        </w:tc>
        <w:tc>
          <w:tcPr>
            <w:tcW w:w="617" w:type="pct"/>
            <w:vAlign w:val="center"/>
          </w:tcPr>
          <w:p w14:paraId="60A4279E">
            <w:pPr>
              <w:widowControl/>
              <w:spacing w:line="360" w:lineRule="auto"/>
              <w:jc w:val="center"/>
              <w:rPr>
                <w:szCs w:val="21"/>
              </w:rPr>
            </w:pPr>
          </w:p>
        </w:tc>
        <w:tc>
          <w:tcPr>
            <w:tcW w:w="353" w:type="pct"/>
            <w:vAlign w:val="center"/>
          </w:tcPr>
          <w:p w14:paraId="0BA5FB18">
            <w:pPr>
              <w:widowControl/>
              <w:spacing w:line="360" w:lineRule="auto"/>
              <w:jc w:val="center"/>
              <w:rPr>
                <w:szCs w:val="21"/>
              </w:rPr>
            </w:pPr>
          </w:p>
        </w:tc>
        <w:tc>
          <w:tcPr>
            <w:tcW w:w="360" w:type="pct"/>
            <w:vAlign w:val="center"/>
          </w:tcPr>
          <w:p w14:paraId="55F515B1">
            <w:pPr>
              <w:widowControl/>
              <w:spacing w:line="360" w:lineRule="auto"/>
              <w:jc w:val="center"/>
              <w:rPr>
                <w:szCs w:val="21"/>
              </w:rPr>
            </w:pPr>
          </w:p>
        </w:tc>
        <w:tc>
          <w:tcPr>
            <w:tcW w:w="442" w:type="pct"/>
            <w:vAlign w:val="center"/>
          </w:tcPr>
          <w:p w14:paraId="7CE3BF30">
            <w:pPr>
              <w:widowControl/>
              <w:spacing w:line="360" w:lineRule="auto"/>
              <w:jc w:val="center"/>
              <w:rPr>
                <w:szCs w:val="21"/>
              </w:rPr>
            </w:pPr>
          </w:p>
        </w:tc>
        <w:tc>
          <w:tcPr>
            <w:tcW w:w="442" w:type="pct"/>
            <w:vAlign w:val="center"/>
          </w:tcPr>
          <w:p w14:paraId="5C7B67E1">
            <w:pPr>
              <w:widowControl/>
              <w:spacing w:line="360" w:lineRule="auto"/>
              <w:jc w:val="center"/>
              <w:rPr>
                <w:szCs w:val="21"/>
              </w:rPr>
            </w:pPr>
          </w:p>
        </w:tc>
        <w:tc>
          <w:tcPr>
            <w:tcW w:w="444" w:type="pct"/>
            <w:vAlign w:val="center"/>
          </w:tcPr>
          <w:p w14:paraId="3BA5035D">
            <w:pPr>
              <w:widowControl/>
              <w:spacing w:line="360" w:lineRule="auto"/>
              <w:jc w:val="center"/>
              <w:rPr>
                <w:szCs w:val="21"/>
              </w:rPr>
            </w:pPr>
          </w:p>
        </w:tc>
        <w:tc>
          <w:tcPr>
            <w:tcW w:w="444" w:type="pct"/>
            <w:vAlign w:val="center"/>
          </w:tcPr>
          <w:p w14:paraId="204FD1C5">
            <w:pPr>
              <w:widowControl/>
              <w:spacing w:line="360" w:lineRule="auto"/>
              <w:jc w:val="center"/>
              <w:rPr>
                <w:szCs w:val="21"/>
              </w:rPr>
            </w:pPr>
          </w:p>
        </w:tc>
        <w:tc>
          <w:tcPr>
            <w:tcW w:w="444" w:type="pct"/>
            <w:vAlign w:val="center"/>
          </w:tcPr>
          <w:p w14:paraId="57C8018B">
            <w:pPr>
              <w:widowControl/>
              <w:spacing w:line="360" w:lineRule="auto"/>
              <w:jc w:val="center"/>
              <w:rPr>
                <w:szCs w:val="21"/>
              </w:rPr>
            </w:pPr>
          </w:p>
        </w:tc>
        <w:tc>
          <w:tcPr>
            <w:tcW w:w="443" w:type="pct"/>
            <w:vAlign w:val="center"/>
          </w:tcPr>
          <w:p w14:paraId="0391D61F">
            <w:pPr>
              <w:widowControl/>
              <w:spacing w:line="360" w:lineRule="auto"/>
              <w:jc w:val="center"/>
              <w:rPr>
                <w:szCs w:val="21"/>
              </w:rPr>
            </w:pPr>
          </w:p>
        </w:tc>
      </w:tr>
      <w:tr w14:paraId="58F0BE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5A0B0978">
            <w:pPr>
              <w:widowControl/>
              <w:spacing w:line="360" w:lineRule="auto"/>
              <w:jc w:val="center"/>
              <w:rPr>
                <w:szCs w:val="21"/>
              </w:rPr>
            </w:pPr>
            <w:r>
              <w:rPr>
                <w:szCs w:val="21"/>
              </w:rPr>
              <w:t>2</w:t>
            </w:r>
          </w:p>
        </w:tc>
        <w:tc>
          <w:tcPr>
            <w:tcW w:w="726" w:type="pct"/>
            <w:vAlign w:val="center"/>
          </w:tcPr>
          <w:p w14:paraId="1280A865">
            <w:pPr>
              <w:widowControl/>
              <w:spacing w:line="360" w:lineRule="auto"/>
              <w:jc w:val="center"/>
              <w:rPr>
                <w:szCs w:val="21"/>
              </w:rPr>
            </w:pPr>
            <w:r>
              <w:rPr>
                <w:szCs w:val="21"/>
              </w:rPr>
              <w:t>其他直接费</w:t>
            </w:r>
          </w:p>
        </w:tc>
        <w:tc>
          <w:tcPr>
            <w:tcW w:w="617" w:type="pct"/>
            <w:vAlign w:val="center"/>
          </w:tcPr>
          <w:p w14:paraId="11C6CE1B">
            <w:pPr>
              <w:widowControl/>
              <w:spacing w:line="360" w:lineRule="auto"/>
              <w:jc w:val="center"/>
              <w:rPr>
                <w:szCs w:val="21"/>
              </w:rPr>
            </w:pPr>
            <w:r>
              <w:rPr>
                <w:szCs w:val="21"/>
              </w:rPr>
              <w:t>直接费</w:t>
            </w:r>
          </w:p>
        </w:tc>
        <w:tc>
          <w:tcPr>
            <w:tcW w:w="353" w:type="pct"/>
            <w:vAlign w:val="center"/>
          </w:tcPr>
          <w:p w14:paraId="0154C92F">
            <w:pPr>
              <w:widowControl/>
              <w:spacing w:line="360" w:lineRule="auto"/>
              <w:jc w:val="center"/>
              <w:rPr>
                <w:rFonts w:hint="default" w:eastAsia="黑体"/>
                <w:szCs w:val="21"/>
                <w:lang w:val="en-US" w:eastAsia="zh-CN"/>
              </w:rPr>
            </w:pPr>
            <w:r>
              <w:rPr>
                <w:rFonts w:hint="eastAsia"/>
                <w:szCs w:val="21"/>
              </w:rPr>
              <w:t>1</w:t>
            </w:r>
            <w:r>
              <w:rPr>
                <w:rFonts w:hint="eastAsia"/>
                <w:szCs w:val="21"/>
                <w:lang w:val="en-US" w:eastAsia="zh-CN"/>
              </w:rPr>
              <w:t>1.3</w:t>
            </w:r>
          </w:p>
        </w:tc>
        <w:tc>
          <w:tcPr>
            <w:tcW w:w="360" w:type="pct"/>
            <w:vAlign w:val="center"/>
          </w:tcPr>
          <w:p w14:paraId="413FA53A">
            <w:pPr>
              <w:widowControl/>
              <w:spacing w:line="360" w:lineRule="auto"/>
              <w:jc w:val="center"/>
              <w:rPr>
                <w:rFonts w:hint="default" w:eastAsia="黑体"/>
                <w:szCs w:val="21"/>
                <w:lang w:val="en-US" w:eastAsia="zh-CN"/>
              </w:rPr>
            </w:pPr>
            <w:r>
              <w:rPr>
                <w:rFonts w:hint="eastAsia"/>
                <w:szCs w:val="21"/>
                <w:lang w:val="en-US" w:eastAsia="zh-CN"/>
              </w:rPr>
              <w:t>11.3</w:t>
            </w:r>
          </w:p>
        </w:tc>
        <w:tc>
          <w:tcPr>
            <w:tcW w:w="442" w:type="pct"/>
            <w:vAlign w:val="center"/>
          </w:tcPr>
          <w:p w14:paraId="1D808BD4">
            <w:pPr>
              <w:widowControl/>
              <w:spacing w:line="360" w:lineRule="auto"/>
              <w:jc w:val="center"/>
              <w:rPr>
                <w:rFonts w:hint="default" w:eastAsia="黑体"/>
                <w:szCs w:val="21"/>
                <w:lang w:val="en-US" w:eastAsia="zh-CN"/>
              </w:rPr>
            </w:pPr>
            <w:r>
              <w:rPr>
                <w:rFonts w:hint="eastAsia"/>
                <w:szCs w:val="21"/>
                <w:lang w:val="en-US" w:eastAsia="zh-CN"/>
              </w:rPr>
              <w:t>10.3</w:t>
            </w:r>
          </w:p>
        </w:tc>
        <w:tc>
          <w:tcPr>
            <w:tcW w:w="442" w:type="pct"/>
            <w:vAlign w:val="center"/>
          </w:tcPr>
          <w:p w14:paraId="28276666">
            <w:pPr>
              <w:widowControl/>
              <w:spacing w:line="360" w:lineRule="auto"/>
              <w:jc w:val="center"/>
              <w:rPr>
                <w:rFonts w:hint="default" w:eastAsia="黑体"/>
                <w:szCs w:val="21"/>
                <w:lang w:val="en-US" w:eastAsia="zh-CN"/>
              </w:rPr>
            </w:pPr>
            <w:r>
              <w:rPr>
                <w:rFonts w:hint="eastAsia"/>
                <w:szCs w:val="21"/>
                <w:lang w:val="en-US" w:eastAsia="zh-CN"/>
              </w:rPr>
              <w:t>9.3</w:t>
            </w:r>
          </w:p>
        </w:tc>
        <w:tc>
          <w:tcPr>
            <w:tcW w:w="444" w:type="pct"/>
            <w:vAlign w:val="center"/>
          </w:tcPr>
          <w:p w14:paraId="2F7DCB96">
            <w:pPr>
              <w:widowControl/>
              <w:spacing w:line="360" w:lineRule="auto"/>
              <w:jc w:val="center"/>
              <w:rPr>
                <w:rFonts w:hint="default" w:eastAsia="黑体"/>
                <w:szCs w:val="21"/>
                <w:lang w:val="en-US" w:eastAsia="zh-CN"/>
              </w:rPr>
            </w:pPr>
            <w:r>
              <w:rPr>
                <w:rFonts w:hint="eastAsia"/>
                <w:szCs w:val="21"/>
                <w:lang w:val="en-US" w:eastAsia="zh-CN"/>
              </w:rPr>
              <w:t>4.3</w:t>
            </w:r>
          </w:p>
        </w:tc>
        <w:tc>
          <w:tcPr>
            <w:tcW w:w="444" w:type="pct"/>
            <w:vAlign w:val="center"/>
          </w:tcPr>
          <w:p w14:paraId="21D3A797">
            <w:pPr>
              <w:widowControl/>
              <w:spacing w:line="360" w:lineRule="auto"/>
              <w:jc w:val="center"/>
              <w:rPr>
                <w:rFonts w:hint="default" w:eastAsia="黑体"/>
                <w:szCs w:val="21"/>
                <w:lang w:val="en-US" w:eastAsia="zh-CN"/>
              </w:rPr>
            </w:pPr>
            <w:r>
              <w:rPr>
                <w:rFonts w:hint="eastAsia"/>
                <w:szCs w:val="21"/>
                <w:lang w:val="en-US" w:eastAsia="zh-CN"/>
              </w:rPr>
              <w:t>6.3</w:t>
            </w:r>
          </w:p>
        </w:tc>
        <w:tc>
          <w:tcPr>
            <w:tcW w:w="444" w:type="pct"/>
            <w:vAlign w:val="center"/>
          </w:tcPr>
          <w:p w14:paraId="7FE82D3B">
            <w:pPr>
              <w:widowControl/>
              <w:spacing w:line="360" w:lineRule="auto"/>
              <w:jc w:val="center"/>
              <w:rPr>
                <w:rFonts w:hint="default" w:eastAsia="黑体"/>
                <w:szCs w:val="21"/>
                <w:lang w:val="en-US" w:eastAsia="zh-CN"/>
              </w:rPr>
            </w:pPr>
            <w:r>
              <w:rPr>
                <w:rFonts w:hint="eastAsia"/>
                <w:szCs w:val="21"/>
                <w:lang w:val="en-US" w:eastAsia="zh-CN"/>
              </w:rPr>
              <w:t>9.3</w:t>
            </w:r>
          </w:p>
        </w:tc>
        <w:tc>
          <w:tcPr>
            <w:tcW w:w="443" w:type="pct"/>
            <w:vAlign w:val="center"/>
          </w:tcPr>
          <w:p w14:paraId="1B3F8BCB">
            <w:pPr>
              <w:widowControl/>
              <w:spacing w:line="360" w:lineRule="auto"/>
              <w:jc w:val="center"/>
              <w:rPr>
                <w:rFonts w:hint="default" w:eastAsia="黑体"/>
                <w:szCs w:val="21"/>
                <w:lang w:val="en-US" w:eastAsia="zh-CN"/>
              </w:rPr>
            </w:pPr>
            <w:r>
              <w:rPr>
                <w:rFonts w:hint="eastAsia"/>
                <w:szCs w:val="21"/>
              </w:rPr>
              <w:t>4</w:t>
            </w:r>
            <w:r>
              <w:rPr>
                <w:rFonts w:hint="eastAsia"/>
                <w:szCs w:val="21"/>
                <w:lang w:val="en-US" w:eastAsia="zh-CN"/>
              </w:rPr>
              <w:t>8.2</w:t>
            </w:r>
          </w:p>
        </w:tc>
      </w:tr>
      <w:tr w14:paraId="399952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Merge w:val="restart"/>
            <w:vAlign w:val="center"/>
          </w:tcPr>
          <w:p w14:paraId="4BA85B87">
            <w:pPr>
              <w:widowControl/>
              <w:spacing w:line="360" w:lineRule="auto"/>
              <w:jc w:val="center"/>
              <w:rPr>
                <w:szCs w:val="21"/>
              </w:rPr>
            </w:pPr>
            <w:r>
              <w:rPr>
                <w:szCs w:val="21"/>
              </w:rPr>
              <w:t>二</w:t>
            </w:r>
          </w:p>
        </w:tc>
        <w:tc>
          <w:tcPr>
            <w:tcW w:w="726" w:type="pct"/>
            <w:vMerge w:val="restart"/>
            <w:vAlign w:val="center"/>
          </w:tcPr>
          <w:p w14:paraId="774130A0">
            <w:pPr>
              <w:widowControl/>
              <w:spacing w:line="360" w:lineRule="auto"/>
              <w:jc w:val="center"/>
              <w:rPr>
                <w:szCs w:val="21"/>
              </w:rPr>
            </w:pPr>
            <w:r>
              <w:rPr>
                <w:szCs w:val="21"/>
              </w:rPr>
              <w:t>间接费</w:t>
            </w:r>
          </w:p>
        </w:tc>
        <w:tc>
          <w:tcPr>
            <w:tcW w:w="617" w:type="pct"/>
            <w:vAlign w:val="center"/>
          </w:tcPr>
          <w:p w14:paraId="2E5B0F6A">
            <w:pPr>
              <w:widowControl/>
              <w:spacing w:line="360" w:lineRule="auto"/>
              <w:jc w:val="center"/>
              <w:rPr>
                <w:szCs w:val="21"/>
              </w:rPr>
            </w:pPr>
            <w:r>
              <w:rPr>
                <w:szCs w:val="21"/>
              </w:rPr>
              <w:t>直接工程费</w:t>
            </w:r>
          </w:p>
        </w:tc>
        <w:tc>
          <w:tcPr>
            <w:tcW w:w="353" w:type="pct"/>
            <w:vAlign w:val="center"/>
          </w:tcPr>
          <w:p w14:paraId="3C4314D7">
            <w:pPr>
              <w:widowControl/>
              <w:spacing w:line="360" w:lineRule="auto"/>
              <w:jc w:val="center"/>
              <w:rPr>
                <w:rFonts w:hint="eastAsia" w:eastAsia="黑体"/>
                <w:szCs w:val="21"/>
                <w:lang w:val="en-US" w:eastAsia="zh-CN"/>
              </w:rPr>
            </w:pPr>
            <w:r>
              <w:rPr>
                <w:rFonts w:hint="eastAsia"/>
                <w:szCs w:val="21"/>
                <w:lang w:val="en-US" w:eastAsia="zh-CN"/>
              </w:rPr>
              <w:t>9</w:t>
            </w:r>
          </w:p>
        </w:tc>
        <w:tc>
          <w:tcPr>
            <w:tcW w:w="360" w:type="pct"/>
            <w:vAlign w:val="center"/>
          </w:tcPr>
          <w:p w14:paraId="632A4923">
            <w:pPr>
              <w:widowControl/>
              <w:spacing w:line="360" w:lineRule="auto"/>
              <w:jc w:val="center"/>
              <w:rPr>
                <w:rFonts w:hint="default" w:eastAsia="黑体"/>
                <w:szCs w:val="21"/>
                <w:lang w:val="en-US" w:eastAsia="zh-CN"/>
              </w:rPr>
            </w:pPr>
            <w:r>
              <w:rPr>
                <w:rFonts w:hint="eastAsia"/>
                <w:szCs w:val="21"/>
                <w:lang w:val="en-US" w:eastAsia="zh-CN"/>
              </w:rPr>
              <w:t>13</w:t>
            </w:r>
          </w:p>
        </w:tc>
        <w:tc>
          <w:tcPr>
            <w:tcW w:w="442" w:type="pct"/>
            <w:vAlign w:val="center"/>
          </w:tcPr>
          <w:p w14:paraId="75995C1C">
            <w:pPr>
              <w:widowControl/>
              <w:spacing w:line="360" w:lineRule="auto"/>
              <w:jc w:val="center"/>
              <w:rPr>
                <w:szCs w:val="21"/>
              </w:rPr>
            </w:pPr>
            <w:r>
              <w:rPr>
                <w:rFonts w:hint="eastAsia"/>
                <w:szCs w:val="21"/>
              </w:rPr>
              <w:t>6</w:t>
            </w:r>
          </w:p>
        </w:tc>
        <w:tc>
          <w:tcPr>
            <w:tcW w:w="442" w:type="pct"/>
            <w:vAlign w:val="center"/>
          </w:tcPr>
          <w:p w14:paraId="09B9EDB3">
            <w:pPr>
              <w:widowControl/>
              <w:spacing w:line="360" w:lineRule="auto"/>
              <w:jc w:val="center"/>
              <w:rPr>
                <w:szCs w:val="21"/>
              </w:rPr>
            </w:pPr>
            <w:r>
              <w:rPr>
                <w:szCs w:val="21"/>
              </w:rPr>
              <w:t>8</w:t>
            </w:r>
          </w:p>
        </w:tc>
        <w:tc>
          <w:tcPr>
            <w:tcW w:w="444" w:type="pct"/>
            <w:vAlign w:val="center"/>
          </w:tcPr>
          <w:p w14:paraId="1ED501B6">
            <w:pPr>
              <w:widowControl/>
              <w:spacing w:line="360" w:lineRule="auto"/>
              <w:jc w:val="center"/>
              <w:rPr>
                <w:szCs w:val="21"/>
              </w:rPr>
            </w:pPr>
            <w:r>
              <w:rPr>
                <w:rFonts w:hint="eastAsia"/>
                <w:szCs w:val="21"/>
              </w:rPr>
              <w:t>4</w:t>
            </w:r>
          </w:p>
        </w:tc>
        <w:tc>
          <w:tcPr>
            <w:tcW w:w="444" w:type="pct"/>
            <w:vAlign w:val="center"/>
          </w:tcPr>
          <w:p w14:paraId="1FEC5C63">
            <w:pPr>
              <w:widowControl/>
              <w:spacing w:line="360" w:lineRule="auto"/>
              <w:jc w:val="center"/>
              <w:rPr>
                <w:szCs w:val="21"/>
              </w:rPr>
            </w:pPr>
            <w:r>
              <w:rPr>
                <w:rFonts w:hint="eastAsia"/>
                <w:szCs w:val="21"/>
              </w:rPr>
              <w:t>4</w:t>
            </w:r>
          </w:p>
        </w:tc>
        <w:tc>
          <w:tcPr>
            <w:tcW w:w="444" w:type="pct"/>
            <w:vAlign w:val="center"/>
          </w:tcPr>
          <w:p w14:paraId="6EB4A926">
            <w:pPr>
              <w:widowControl/>
              <w:spacing w:line="360" w:lineRule="auto"/>
              <w:jc w:val="center"/>
              <w:rPr>
                <w:szCs w:val="21"/>
              </w:rPr>
            </w:pPr>
            <w:r>
              <w:rPr>
                <w:rFonts w:hint="eastAsia"/>
                <w:szCs w:val="21"/>
              </w:rPr>
              <w:t>8</w:t>
            </w:r>
          </w:p>
        </w:tc>
        <w:tc>
          <w:tcPr>
            <w:tcW w:w="443" w:type="pct"/>
            <w:vAlign w:val="center"/>
          </w:tcPr>
          <w:p w14:paraId="22EDCADB">
            <w:pPr>
              <w:widowControl/>
              <w:spacing w:line="360" w:lineRule="auto"/>
              <w:jc w:val="center"/>
              <w:rPr>
                <w:szCs w:val="21"/>
              </w:rPr>
            </w:pPr>
          </w:p>
        </w:tc>
      </w:tr>
      <w:tr w14:paraId="756292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Merge w:val="continue"/>
            <w:vAlign w:val="center"/>
          </w:tcPr>
          <w:p w14:paraId="69350FAD">
            <w:pPr>
              <w:widowControl/>
              <w:spacing w:line="360" w:lineRule="auto"/>
              <w:jc w:val="center"/>
              <w:rPr>
                <w:szCs w:val="21"/>
              </w:rPr>
            </w:pPr>
          </w:p>
        </w:tc>
        <w:tc>
          <w:tcPr>
            <w:tcW w:w="726" w:type="pct"/>
            <w:vMerge w:val="continue"/>
            <w:vAlign w:val="center"/>
          </w:tcPr>
          <w:p w14:paraId="6396DD10">
            <w:pPr>
              <w:widowControl/>
              <w:spacing w:line="360" w:lineRule="auto"/>
              <w:jc w:val="center"/>
              <w:rPr>
                <w:szCs w:val="21"/>
              </w:rPr>
            </w:pPr>
          </w:p>
        </w:tc>
        <w:tc>
          <w:tcPr>
            <w:tcW w:w="617" w:type="pct"/>
            <w:vAlign w:val="center"/>
          </w:tcPr>
          <w:p w14:paraId="58EC0DCB">
            <w:pPr>
              <w:spacing w:line="360" w:lineRule="auto"/>
              <w:jc w:val="center"/>
              <w:rPr>
                <w:szCs w:val="21"/>
              </w:rPr>
            </w:pPr>
            <w:r>
              <w:rPr>
                <w:szCs w:val="21"/>
              </w:rPr>
              <w:t>人工费</w:t>
            </w:r>
          </w:p>
        </w:tc>
        <w:tc>
          <w:tcPr>
            <w:tcW w:w="353" w:type="pct"/>
            <w:vAlign w:val="center"/>
          </w:tcPr>
          <w:p w14:paraId="53B7E24D">
            <w:pPr>
              <w:spacing w:line="360" w:lineRule="auto"/>
              <w:jc w:val="center"/>
              <w:rPr>
                <w:szCs w:val="21"/>
              </w:rPr>
            </w:pPr>
          </w:p>
        </w:tc>
        <w:tc>
          <w:tcPr>
            <w:tcW w:w="360" w:type="pct"/>
            <w:vAlign w:val="center"/>
          </w:tcPr>
          <w:p w14:paraId="344DC348">
            <w:pPr>
              <w:spacing w:line="360" w:lineRule="auto"/>
              <w:jc w:val="center"/>
              <w:rPr>
                <w:szCs w:val="21"/>
              </w:rPr>
            </w:pPr>
          </w:p>
        </w:tc>
        <w:tc>
          <w:tcPr>
            <w:tcW w:w="442" w:type="pct"/>
            <w:vAlign w:val="center"/>
          </w:tcPr>
          <w:p w14:paraId="64FE5764">
            <w:pPr>
              <w:spacing w:line="360" w:lineRule="auto"/>
              <w:jc w:val="center"/>
              <w:rPr>
                <w:szCs w:val="21"/>
              </w:rPr>
            </w:pPr>
          </w:p>
        </w:tc>
        <w:tc>
          <w:tcPr>
            <w:tcW w:w="442" w:type="pct"/>
            <w:vAlign w:val="center"/>
          </w:tcPr>
          <w:p w14:paraId="16829385">
            <w:pPr>
              <w:spacing w:line="360" w:lineRule="auto"/>
              <w:jc w:val="center"/>
              <w:rPr>
                <w:szCs w:val="21"/>
              </w:rPr>
            </w:pPr>
          </w:p>
        </w:tc>
        <w:tc>
          <w:tcPr>
            <w:tcW w:w="444" w:type="pct"/>
            <w:vAlign w:val="center"/>
          </w:tcPr>
          <w:p w14:paraId="26B2AA69">
            <w:pPr>
              <w:spacing w:line="360" w:lineRule="auto"/>
              <w:jc w:val="center"/>
              <w:rPr>
                <w:szCs w:val="21"/>
              </w:rPr>
            </w:pPr>
          </w:p>
        </w:tc>
        <w:tc>
          <w:tcPr>
            <w:tcW w:w="444" w:type="pct"/>
            <w:vAlign w:val="center"/>
          </w:tcPr>
          <w:p w14:paraId="7F2DADC7">
            <w:pPr>
              <w:spacing w:line="360" w:lineRule="auto"/>
              <w:jc w:val="center"/>
              <w:rPr>
                <w:szCs w:val="21"/>
              </w:rPr>
            </w:pPr>
          </w:p>
        </w:tc>
        <w:tc>
          <w:tcPr>
            <w:tcW w:w="444" w:type="pct"/>
            <w:vAlign w:val="center"/>
          </w:tcPr>
          <w:p w14:paraId="2D259FAE">
            <w:pPr>
              <w:spacing w:line="360" w:lineRule="auto"/>
              <w:jc w:val="center"/>
              <w:rPr>
                <w:szCs w:val="21"/>
              </w:rPr>
            </w:pPr>
          </w:p>
        </w:tc>
        <w:tc>
          <w:tcPr>
            <w:tcW w:w="443" w:type="pct"/>
            <w:vAlign w:val="center"/>
          </w:tcPr>
          <w:p w14:paraId="4110E39A">
            <w:pPr>
              <w:spacing w:line="360" w:lineRule="auto"/>
              <w:jc w:val="center"/>
              <w:rPr>
                <w:szCs w:val="21"/>
              </w:rPr>
            </w:pPr>
            <w:r>
              <w:rPr>
                <w:szCs w:val="21"/>
              </w:rPr>
              <w:t>50</w:t>
            </w:r>
          </w:p>
        </w:tc>
      </w:tr>
      <w:tr w14:paraId="039A26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27249536">
            <w:pPr>
              <w:widowControl/>
              <w:spacing w:line="360" w:lineRule="auto"/>
              <w:jc w:val="center"/>
              <w:rPr>
                <w:szCs w:val="21"/>
              </w:rPr>
            </w:pPr>
            <w:r>
              <w:rPr>
                <w:szCs w:val="21"/>
              </w:rPr>
              <w:t>三</w:t>
            </w:r>
          </w:p>
        </w:tc>
        <w:tc>
          <w:tcPr>
            <w:tcW w:w="726" w:type="pct"/>
            <w:vAlign w:val="center"/>
          </w:tcPr>
          <w:p w14:paraId="79651139">
            <w:pPr>
              <w:widowControl/>
              <w:spacing w:line="360" w:lineRule="auto"/>
              <w:jc w:val="center"/>
              <w:rPr>
                <w:szCs w:val="21"/>
              </w:rPr>
            </w:pPr>
            <w:r>
              <w:rPr>
                <w:szCs w:val="21"/>
              </w:rPr>
              <w:t>利润</w:t>
            </w:r>
          </w:p>
        </w:tc>
        <w:tc>
          <w:tcPr>
            <w:tcW w:w="617" w:type="pct"/>
            <w:vAlign w:val="center"/>
          </w:tcPr>
          <w:p w14:paraId="23C9639C">
            <w:pPr>
              <w:widowControl/>
              <w:spacing w:line="360" w:lineRule="auto"/>
              <w:jc w:val="center"/>
              <w:rPr>
                <w:szCs w:val="21"/>
              </w:rPr>
            </w:pPr>
            <w:r>
              <w:rPr>
                <w:szCs w:val="21"/>
              </w:rPr>
              <w:t>一+二</w:t>
            </w:r>
          </w:p>
        </w:tc>
        <w:tc>
          <w:tcPr>
            <w:tcW w:w="353" w:type="pct"/>
            <w:vAlign w:val="center"/>
          </w:tcPr>
          <w:p w14:paraId="0D249EF9">
            <w:pPr>
              <w:widowControl/>
              <w:spacing w:line="360" w:lineRule="auto"/>
              <w:jc w:val="center"/>
              <w:rPr>
                <w:szCs w:val="21"/>
              </w:rPr>
            </w:pPr>
            <w:r>
              <w:rPr>
                <w:szCs w:val="21"/>
              </w:rPr>
              <w:t>7</w:t>
            </w:r>
          </w:p>
        </w:tc>
        <w:tc>
          <w:tcPr>
            <w:tcW w:w="360" w:type="pct"/>
            <w:vAlign w:val="center"/>
          </w:tcPr>
          <w:p w14:paraId="3DF0AE40">
            <w:pPr>
              <w:widowControl/>
              <w:spacing w:line="360" w:lineRule="auto"/>
              <w:jc w:val="center"/>
              <w:rPr>
                <w:szCs w:val="21"/>
              </w:rPr>
            </w:pPr>
            <w:r>
              <w:rPr>
                <w:szCs w:val="21"/>
              </w:rPr>
              <w:t>7</w:t>
            </w:r>
          </w:p>
        </w:tc>
        <w:tc>
          <w:tcPr>
            <w:tcW w:w="442" w:type="pct"/>
            <w:vAlign w:val="center"/>
          </w:tcPr>
          <w:p w14:paraId="155A9577">
            <w:pPr>
              <w:widowControl/>
              <w:spacing w:line="360" w:lineRule="auto"/>
              <w:jc w:val="center"/>
              <w:rPr>
                <w:szCs w:val="21"/>
              </w:rPr>
            </w:pPr>
            <w:r>
              <w:rPr>
                <w:szCs w:val="21"/>
              </w:rPr>
              <w:t>7</w:t>
            </w:r>
          </w:p>
        </w:tc>
        <w:tc>
          <w:tcPr>
            <w:tcW w:w="442" w:type="pct"/>
            <w:vAlign w:val="center"/>
          </w:tcPr>
          <w:p w14:paraId="6E1ABF7E">
            <w:pPr>
              <w:widowControl/>
              <w:spacing w:line="360" w:lineRule="auto"/>
              <w:jc w:val="center"/>
              <w:rPr>
                <w:szCs w:val="21"/>
              </w:rPr>
            </w:pPr>
            <w:r>
              <w:rPr>
                <w:szCs w:val="21"/>
              </w:rPr>
              <w:t>7</w:t>
            </w:r>
          </w:p>
        </w:tc>
        <w:tc>
          <w:tcPr>
            <w:tcW w:w="444" w:type="pct"/>
            <w:vAlign w:val="center"/>
          </w:tcPr>
          <w:p w14:paraId="61D53E7B">
            <w:pPr>
              <w:widowControl/>
              <w:spacing w:line="360" w:lineRule="auto"/>
              <w:jc w:val="center"/>
              <w:rPr>
                <w:szCs w:val="21"/>
              </w:rPr>
            </w:pPr>
            <w:r>
              <w:rPr>
                <w:rFonts w:hint="eastAsia"/>
                <w:szCs w:val="21"/>
              </w:rPr>
              <w:t>7</w:t>
            </w:r>
          </w:p>
        </w:tc>
        <w:tc>
          <w:tcPr>
            <w:tcW w:w="444" w:type="pct"/>
            <w:vAlign w:val="center"/>
          </w:tcPr>
          <w:p w14:paraId="6E8277BA">
            <w:pPr>
              <w:widowControl/>
              <w:spacing w:line="360" w:lineRule="auto"/>
              <w:jc w:val="center"/>
              <w:rPr>
                <w:szCs w:val="21"/>
              </w:rPr>
            </w:pPr>
            <w:r>
              <w:rPr>
                <w:rFonts w:hint="eastAsia"/>
                <w:szCs w:val="21"/>
              </w:rPr>
              <w:t>7</w:t>
            </w:r>
          </w:p>
        </w:tc>
        <w:tc>
          <w:tcPr>
            <w:tcW w:w="444" w:type="pct"/>
            <w:vAlign w:val="center"/>
          </w:tcPr>
          <w:p w14:paraId="59B70DC6">
            <w:pPr>
              <w:widowControl/>
              <w:spacing w:line="360" w:lineRule="auto"/>
              <w:jc w:val="center"/>
              <w:rPr>
                <w:szCs w:val="21"/>
              </w:rPr>
            </w:pPr>
            <w:r>
              <w:rPr>
                <w:szCs w:val="21"/>
              </w:rPr>
              <w:t>7</w:t>
            </w:r>
          </w:p>
        </w:tc>
        <w:tc>
          <w:tcPr>
            <w:tcW w:w="443" w:type="pct"/>
            <w:vAlign w:val="center"/>
          </w:tcPr>
          <w:p w14:paraId="796C6E94">
            <w:pPr>
              <w:widowControl/>
              <w:spacing w:line="360" w:lineRule="auto"/>
              <w:jc w:val="center"/>
              <w:rPr>
                <w:szCs w:val="21"/>
              </w:rPr>
            </w:pPr>
            <w:r>
              <w:rPr>
                <w:szCs w:val="21"/>
              </w:rPr>
              <w:t>7</w:t>
            </w:r>
          </w:p>
        </w:tc>
      </w:tr>
      <w:tr w14:paraId="7F431C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exact"/>
        </w:trPr>
        <w:tc>
          <w:tcPr>
            <w:tcW w:w="284" w:type="pct"/>
            <w:vAlign w:val="center"/>
          </w:tcPr>
          <w:p w14:paraId="13966FF7">
            <w:pPr>
              <w:widowControl/>
              <w:spacing w:line="360" w:lineRule="auto"/>
              <w:jc w:val="center"/>
              <w:rPr>
                <w:szCs w:val="21"/>
              </w:rPr>
            </w:pPr>
            <w:r>
              <w:rPr>
                <w:szCs w:val="21"/>
              </w:rPr>
              <w:t>四</w:t>
            </w:r>
          </w:p>
        </w:tc>
        <w:tc>
          <w:tcPr>
            <w:tcW w:w="726" w:type="pct"/>
            <w:vAlign w:val="center"/>
          </w:tcPr>
          <w:p w14:paraId="55B88BF8">
            <w:pPr>
              <w:widowControl/>
              <w:spacing w:line="360" w:lineRule="auto"/>
              <w:jc w:val="center"/>
              <w:rPr>
                <w:szCs w:val="21"/>
              </w:rPr>
            </w:pPr>
            <w:r>
              <w:rPr>
                <w:szCs w:val="21"/>
              </w:rPr>
              <w:t>税金</w:t>
            </w:r>
          </w:p>
        </w:tc>
        <w:tc>
          <w:tcPr>
            <w:tcW w:w="617" w:type="pct"/>
            <w:vAlign w:val="center"/>
          </w:tcPr>
          <w:p w14:paraId="704C686F">
            <w:pPr>
              <w:widowControl/>
              <w:spacing w:line="360" w:lineRule="auto"/>
              <w:jc w:val="center"/>
              <w:rPr>
                <w:szCs w:val="21"/>
              </w:rPr>
            </w:pPr>
            <w:r>
              <w:rPr>
                <w:szCs w:val="21"/>
              </w:rPr>
              <w:t>一+二+三</w:t>
            </w:r>
          </w:p>
        </w:tc>
        <w:tc>
          <w:tcPr>
            <w:tcW w:w="353" w:type="pct"/>
            <w:vAlign w:val="center"/>
          </w:tcPr>
          <w:p w14:paraId="5D205D05">
            <w:pPr>
              <w:widowControl/>
              <w:spacing w:line="360" w:lineRule="auto"/>
              <w:jc w:val="center"/>
              <w:rPr>
                <w:szCs w:val="21"/>
              </w:rPr>
            </w:pPr>
            <w:r>
              <w:rPr>
                <w:szCs w:val="21"/>
              </w:rPr>
              <w:t>9</w:t>
            </w:r>
          </w:p>
        </w:tc>
        <w:tc>
          <w:tcPr>
            <w:tcW w:w="360" w:type="pct"/>
            <w:vAlign w:val="center"/>
          </w:tcPr>
          <w:p w14:paraId="532F20E3">
            <w:pPr>
              <w:widowControl/>
              <w:spacing w:line="360" w:lineRule="auto"/>
              <w:jc w:val="center"/>
              <w:rPr>
                <w:szCs w:val="21"/>
              </w:rPr>
            </w:pPr>
            <w:r>
              <w:rPr>
                <w:szCs w:val="21"/>
              </w:rPr>
              <w:t>9</w:t>
            </w:r>
          </w:p>
        </w:tc>
        <w:tc>
          <w:tcPr>
            <w:tcW w:w="442" w:type="pct"/>
            <w:vAlign w:val="center"/>
          </w:tcPr>
          <w:p w14:paraId="2D8CEA86">
            <w:pPr>
              <w:widowControl/>
              <w:spacing w:line="360" w:lineRule="auto"/>
              <w:jc w:val="center"/>
              <w:rPr>
                <w:szCs w:val="21"/>
              </w:rPr>
            </w:pPr>
            <w:r>
              <w:rPr>
                <w:szCs w:val="21"/>
              </w:rPr>
              <w:t>9</w:t>
            </w:r>
          </w:p>
        </w:tc>
        <w:tc>
          <w:tcPr>
            <w:tcW w:w="442" w:type="pct"/>
            <w:vAlign w:val="center"/>
          </w:tcPr>
          <w:p w14:paraId="0601ED17">
            <w:pPr>
              <w:widowControl/>
              <w:spacing w:line="360" w:lineRule="auto"/>
              <w:jc w:val="center"/>
              <w:rPr>
                <w:szCs w:val="21"/>
              </w:rPr>
            </w:pPr>
            <w:r>
              <w:rPr>
                <w:szCs w:val="21"/>
              </w:rPr>
              <w:t>9</w:t>
            </w:r>
          </w:p>
        </w:tc>
        <w:tc>
          <w:tcPr>
            <w:tcW w:w="444" w:type="pct"/>
            <w:vAlign w:val="center"/>
          </w:tcPr>
          <w:p w14:paraId="17FC1885">
            <w:pPr>
              <w:widowControl/>
              <w:spacing w:line="360" w:lineRule="auto"/>
              <w:jc w:val="center"/>
              <w:rPr>
                <w:szCs w:val="21"/>
              </w:rPr>
            </w:pPr>
            <w:r>
              <w:rPr>
                <w:rFonts w:hint="eastAsia"/>
                <w:szCs w:val="21"/>
              </w:rPr>
              <w:t>9</w:t>
            </w:r>
          </w:p>
        </w:tc>
        <w:tc>
          <w:tcPr>
            <w:tcW w:w="444" w:type="pct"/>
            <w:vAlign w:val="center"/>
          </w:tcPr>
          <w:p w14:paraId="7D5E4B7C">
            <w:pPr>
              <w:widowControl/>
              <w:spacing w:line="360" w:lineRule="auto"/>
              <w:jc w:val="center"/>
              <w:rPr>
                <w:szCs w:val="21"/>
              </w:rPr>
            </w:pPr>
            <w:r>
              <w:rPr>
                <w:rFonts w:hint="eastAsia"/>
                <w:szCs w:val="21"/>
              </w:rPr>
              <w:t>9</w:t>
            </w:r>
          </w:p>
        </w:tc>
        <w:tc>
          <w:tcPr>
            <w:tcW w:w="444" w:type="pct"/>
            <w:vAlign w:val="center"/>
          </w:tcPr>
          <w:p w14:paraId="2B24916C">
            <w:pPr>
              <w:widowControl/>
              <w:spacing w:line="360" w:lineRule="auto"/>
              <w:jc w:val="center"/>
              <w:rPr>
                <w:szCs w:val="21"/>
              </w:rPr>
            </w:pPr>
            <w:r>
              <w:rPr>
                <w:szCs w:val="21"/>
              </w:rPr>
              <w:t>9</w:t>
            </w:r>
          </w:p>
        </w:tc>
        <w:tc>
          <w:tcPr>
            <w:tcW w:w="443" w:type="pct"/>
            <w:vAlign w:val="center"/>
          </w:tcPr>
          <w:p w14:paraId="71C634CC">
            <w:pPr>
              <w:widowControl/>
              <w:spacing w:line="360" w:lineRule="auto"/>
              <w:jc w:val="center"/>
              <w:rPr>
                <w:szCs w:val="21"/>
              </w:rPr>
            </w:pPr>
            <w:r>
              <w:rPr>
                <w:szCs w:val="21"/>
              </w:rPr>
              <w:t>9</w:t>
            </w:r>
          </w:p>
        </w:tc>
      </w:tr>
    </w:tbl>
    <w:p w14:paraId="518E2852">
      <w:pPr>
        <w:spacing w:line="360" w:lineRule="auto"/>
        <w:outlineLvl w:val="0"/>
        <w:rPr>
          <w:rFonts w:ascii="宋体" w:hAnsi="宋体"/>
          <w:b/>
          <w:sz w:val="28"/>
          <w:szCs w:val="28"/>
          <w:highlight w:val="none"/>
          <w:lang w:val="en-US"/>
        </w:rPr>
      </w:pPr>
      <w:r>
        <w:rPr>
          <w:rFonts w:hint="eastAsia" w:ascii="宋体" w:hAnsi="宋体"/>
          <w:b/>
          <w:sz w:val="28"/>
          <w:szCs w:val="28"/>
          <w:highlight w:val="none"/>
          <w:lang w:val="en-US"/>
        </w:rPr>
        <w:t>（三）其他应说明问题</w:t>
      </w:r>
    </w:p>
    <w:p w14:paraId="2B12ACAA">
      <w:pPr>
        <w:spacing w:line="360" w:lineRule="auto"/>
        <w:ind w:firstLine="411" w:firstLineChars="147"/>
        <w:rPr>
          <w:rFonts w:ascii="宋体" w:hAnsi="宋体"/>
          <w:sz w:val="28"/>
          <w:szCs w:val="28"/>
          <w:highlight w:val="none"/>
        </w:rPr>
      </w:pPr>
      <w:r>
        <w:rPr>
          <w:rFonts w:hint="eastAsia" w:ascii="宋体" w:hAnsi="宋体"/>
          <w:sz w:val="28"/>
          <w:szCs w:val="28"/>
          <w:highlight w:val="none"/>
        </w:rPr>
        <w:t>1、建筑工程：建筑工程预算投资按设计工程量乘以工程单价进行计算，单价采用预算定额编制。</w:t>
      </w:r>
      <w:r>
        <w:rPr>
          <w:rFonts w:hint="eastAsia" w:ascii="宋体" w:hAnsi="宋体"/>
          <w:sz w:val="28"/>
          <w:szCs w:val="28"/>
          <w:highlight w:val="none"/>
          <w:lang w:val="en-US"/>
        </w:rPr>
        <w:t>未有的借用</w:t>
      </w:r>
      <w:r>
        <w:rPr>
          <w:rFonts w:hint="eastAsia" w:ascii="宋体" w:hAnsi="宋体"/>
          <w:sz w:val="28"/>
          <w:szCs w:val="28"/>
          <w:highlight w:val="none"/>
        </w:rPr>
        <w:t>重庆市工民建2018定额进行计算。管配件按照费率单价按照设备预算单价的15%计算，其他按20%计算。</w:t>
      </w:r>
    </w:p>
    <w:p w14:paraId="24D42D16">
      <w:pPr>
        <w:spacing w:line="360" w:lineRule="auto"/>
        <w:ind w:firstLine="411" w:firstLineChars="147"/>
        <w:rPr>
          <w:rFonts w:hint="eastAsia" w:ascii="宋体" w:hAnsi="宋体"/>
          <w:sz w:val="28"/>
          <w:szCs w:val="28"/>
          <w:highlight w:val="none"/>
        </w:rPr>
      </w:pPr>
      <w:r>
        <w:rPr>
          <w:rFonts w:hint="eastAsia" w:ascii="宋体" w:hAnsi="宋体"/>
          <w:sz w:val="28"/>
          <w:szCs w:val="28"/>
          <w:highlight w:val="none"/>
          <w:lang w:val="en-US" w:eastAsia="zh-CN"/>
        </w:rPr>
        <w:t>2</w:t>
      </w:r>
      <w:r>
        <w:rPr>
          <w:rFonts w:hint="eastAsia" w:ascii="宋体" w:hAnsi="宋体"/>
          <w:sz w:val="28"/>
          <w:szCs w:val="28"/>
          <w:highlight w:val="none"/>
        </w:rPr>
        <w:t>、施工临时工程：其他施工临时工程按一至四部分建设工作量（不含其他临时工程本身）的3%计算；安全生产费按一至四部分建筑及安装工程费（不含安全生产费）之和的2</w:t>
      </w:r>
      <w:r>
        <w:rPr>
          <w:rFonts w:hint="eastAsia" w:ascii="宋体" w:hAnsi="宋体"/>
          <w:sz w:val="28"/>
          <w:szCs w:val="28"/>
          <w:highlight w:val="none"/>
          <w:lang w:val="en-US" w:eastAsia="zh-CN"/>
        </w:rPr>
        <w:t>.5</w:t>
      </w:r>
      <w:r>
        <w:rPr>
          <w:rFonts w:hint="eastAsia" w:ascii="宋体" w:hAnsi="宋体"/>
          <w:sz w:val="28"/>
          <w:szCs w:val="28"/>
          <w:highlight w:val="none"/>
        </w:rPr>
        <w:t>%计算。</w:t>
      </w:r>
    </w:p>
    <w:p w14:paraId="2EF78859">
      <w:pPr>
        <w:spacing w:line="360" w:lineRule="auto"/>
        <w:ind w:firstLine="411" w:firstLineChars="147"/>
        <w:rPr>
          <w:rFonts w:ascii="宋体" w:hAnsi="宋体"/>
          <w:sz w:val="28"/>
          <w:szCs w:val="28"/>
          <w:highlight w:val="none"/>
        </w:rPr>
      </w:pPr>
      <w:r>
        <w:rPr>
          <w:rFonts w:hint="eastAsia" w:ascii="宋体" w:hAnsi="宋体"/>
          <w:sz w:val="28"/>
          <w:szCs w:val="28"/>
          <w:highlight w:val="none"/>
          <w:lang w:val="en-US" w:eastAsia="zh-CN"/>
        </w:rPr>
        <w:t>3</w:t>
      </w:r>
      <w:r>
        <w:rPr>
          <w:rFonts w:hint="eastAsia" w:ascii="宋体" w:hAnsi="宋体"/>
          <w:sz w:val="28"/>
          <w:szCs w:val="28"/>
          <w:highlight w:val="none"/>
        </w:rPr>
        <w:t>、独立费用：本阶段独立费用考虑工程监理费、工程质量检测费、设计费</w:t>
      </w:r>
      <w:r>
        <w:rPr>
          <w:rFonts w:hint="eastAsia" w:ascii="宋体" w:hAnsi="宋体"/>
          <w:sz w:val="28"/>
          <w:szCs w:val="28"/>
          <w:highlight w:val="none"/>
          <w:lang w:eastAsia="zh-CN"/>
        </w:rPr>
        <w:t>、</w:t>
      </w:r>
      <w:r>
        <w:rPr>
          <w:rFonts w:hint="eastAsia" w:ascii="宋体" w:hAnsi="宋体"/>
          <w:sz w:val="28"/>
          <w:szCs w:val="28"/>
          <w:highlight w:val="none"/>
          <w:lang w:val="en-US" w:eastAsia="zh-CN"/>
        </w:rPr>
        <w:t>工程咨询费</w:t>
      </w:r>
      <w:r>
        <w:rPr>
          <w:rFonts w:hint="eastAsia" w:ascii="宋体" w:hAnsi="宋体"/>
          <w:sz w:val="28"/>
          <w:szCs w:val="28"/>
          <w:highlight w:val="none"/>
        </w:rPr>
        <w:t>和工程保险费，具体标准如下。</w:t>
      </w:r>
    </w:p>
    <w:p w14:paraId="07ECA24A">
      <w:pPr>
        <w:spacing w:line="360" w:lineRule="auto"/>
        <w:ind w:firstLine="411" w:firstLineChars="147"/>
        <w:rPr>
          <w:rFonts w:ascii="宋体" w:hAnsi="宋体"/>
          <w:sz w:val="28"/>
          <w:szCs w:val="28"/>
          <w:highlight w:val="none"/>
        </w:rPr>
      </w:pPr>
      <w:r>
        <w:rPr>
          <w:rFonts w:hint="eastAsia" w:ascii="宋体" w:hAnsi="宋体"/>
          <w:sz w:val="28"/>
          <w:szCs w:val="28"/>
          <w:highlight w:val="none"/>
        </w:rPr>
        <w:t>（</w:t>
      </w:r>
      <w:r>
        <w:rPr>
          <w:rFonts w:hint="eastAsia" w:ascii="宋体" w:hAnsi="宋体"/>
          <w:sz w:val="28"/>
          <w:szCs w:val="28"/>
          <w:highlight w:val="none"/>
          <w:lang w:val="en-US"/>
        </w:rPr>
        <w:t>1</w:t>
      </w:r>
      <w:r>
        <w:rPr>
          <w:rFonts w:hint="eastAsia" w:ascii="宋体" w:hAnsi="宋体"/>
          <w:sz w:val="28"/>
          <w:szCs w:val="28"/>
          <w:highlight w:val="none"/>
        </w:rPr>
        <w:t>）工程监理费按建筑安装工程造价的</w:t>
      </w:r>
      <w:r>
        <w:rPr>
          <w:rFonts w:hint="eastAsia" w:ascii="宋体" w:hAnsi="宋体"/>
          <w:sz w:val="28"/>
          <w:szCs w:val="28"/>
          <w:highlight w:val="none"/>
          <w:lang w:val="en-US"/>
        </w:rPr>
        <w:t>2</w:t>
      </w:r>
      <w:r>
        <w:rPr>
          <w:rFonts w:hint="eastAsia" w:ascii="宋体" w:hAnsi="宋体"/>
          <w:sz w:val="28"/>
          <w:szCs w:val="28"/>
          <w:highlight w:val="none"/>
        </w:rPr>
        <w:t>%计算；</w:t>
      </w:r>
    </w:p>
    <w:p w14:paraId="65494530">
      <w:pPr>
        <w:spacing w:line="360" w:lineRule="auto"/>
        <w:ind w:firstLine="411" w:firstLineChars="147"/>
        <w:rPr>
          <w:rFonts w:ascii="宋体" w:hAnsi="宋体"/>
          <w:sz w:val="28"/>
          <w:szCs w:val="28"/>
          <w:highlight w:val="none"/>
        </w:rPr>
      </w:pPr>
      <w:r>
        <w:rPr>
          <w:rFonts w:hint="eastAsia" w:ascii="宋体" w:hAnsi="宋体"/>
          <w:sz w:val="28"/>
          <w:szCs w:val="28"/>
          <w:highlight w:val="none"/>
        </w:rPr>
        <w:t>（</w:t>
      </w:r>
      <w:r>
        <w:rPr>
          <w:rFonts w:hint="eastAsia" w:ascii="宋体" w:hAnsi="宋体"/>
          <w:sz w:val="28"/>
          <w:szCs w:val="28"/>
          <w:highlight w:val="none"/>
          <w:lang w:val="en-US"/>
        </w:rPr>
        <w:t>2</w:t>
      </w:r>
      <w:r>
        <w:rPr>
          <w:rFonts w:hint="eastAsia" w:ascii="宋体" w:hAnsi="宋体"/>
          <w:sz w:val="28"/>
          <w:szCs w:val="28"/>
          <w:highlight w:val="none"/>
        </w:rPr>
        <w:t>）工程质量检测费按建筑安装工程造价的</w:t>
      </w:r>
      <w:r>
        <w:rPr>
          <w:rFonts w:hint="eastAsia" w:ascii="宋体" w:hAnsi="宋体"/>
          <w:sz w:val="28"/>
          <w:szCs w:val="28"/>
          <w:highlight w:val="none"/>
          <w:lang w:val="en-US" w:eastAsia="zh-CN"/>
        </w:rPr>
        <w:t>0.5</w:t>
      </w:r>
      <w:r>
        <w:rPr>
          <w:rFonts w:hint="eastAsia" w:ascii="宋体" w:hAnsi="宋体"/>
          <w:sz w:val="28"/>
          <w:szCs w:val="28"/>
          <w:highlight w:val="none"/>
        </w:rPr>
        <w:t>%计算；</w:t>
      </w:r>
    </w:p>
    <w:p w14:paraId="2D080846">
      <w:pPr>
        <w:spacing w:line="360" w:lineRule="auto"/>
        <w:ind w:firstLine="411" w:firstLineChars="147"/>
        <w:rPr>
          <w:rFonts w:hint="eastAsia" w:ascii="宋体" w:hAnsi="宋体"/>
          <w:sz w:val="28"/>
          <w:szCs w:val="28"/>
          <w:highlight w:val="none"/>
        </w:rPr>
      </w:pPr>
      <w:r>
        <w:rPr>
          <w:rFonts w:hint="eastAsia" w:ascii="宋体" w:hAnsi="宋体"/>
          <w:sz w:val="28"/>
          <w:szCs w:val="28"/>
          <w:highlight w:val="none"/>
        </w:rPr>
        <w:t>（</w:t>
      </w:r>
      <w:r>
        <w:rPr>
          <w:rFonts w:hint="eastAsia" w:ascii="宋体" w:hAnsi="宋体"/>
          <w:sz w:val="28"/>
          <w:szCs w:val="28"/>
          <w:highlight w:val="none"/>
          <w:lang w:val="en-US"/>
        </w:rPr>
        <w:t>3</w:t>
      </w:r>
      <w:r>
        <w:rPr>
          <w:rFonts w:hint="eastAsia" w:ascii="宋体" w:hAnsi="宋体"/>
          <w:sz w:val="28"/>
          <w:szCs w:val="28"/>
          <w:highlight w:val="none"/>
        </w:rPr>
        <w:t>）设计费</w:t>
      </w:r>
      <w:r>
        <w:rPr>
          <w:rFonts w:hint="eastAsia" w:ascii="宋体" w:hAnsi="宋体"/>
          <w:sz w:val="28"/>
          <w:szCs w:val="28"/>
          <w:highlight w:val="none"/>
          <w:lang w:val="en-US" w:eastAsia="zh-CN"/>
        </w:rPr>
        <w:t>暂</w:t>
      </w:r>
      <w:r>
        <w:rPr>
          <w:rFonts w:hint="eastAsia" w:ascii="宋体" w:hAnsi="宋体"/>
          <w:sz w:val="28"/>
          <w:szCs w:val="28"/>
          <w:highlight w:val="none"/>
        </w:rPr>
        <w:t>按</w:t>
      </w:r>
      <w:r>
        <w:rPr>
          <w:rFonts w:hint="eastAsia" w:ascii="宋体" w:hAnsi="宋体"/>
          <w:sz w:val="28"/>
          <w:szCs w:val="28"/>
          <w:highlight w:val="none"/>
          <w:lang w:val="en-US" w:eastAsia="zh-CN"/>
        </w:rPr>
        <w:t>建筑安装工程造价的5%计算</w:t>
      </w:r>
      <w:r>
        <w:rPr>
          <w:rFonts w:hint="eastAsia" w:ascii="宋体" w:hAnsi="宋体"/>
          <w:sz w:val="28"/>
          <w:szCs w:val="28"/>
          <w:highlight w:val="none"/>
        </w:rPr>
        <w:t>；</w:t>
      </w:r>
    </w:p>
    <w:p w14:paraId="5A4AA786">
      <w:pPr>
        <w:spacing w:line="360" w:lineRule="auto"/>
        <w:ind w:firstLine="411" w:firstLineChars="147"/>
        <w:rPr>
          <w:rFonts w:hint="default" w:ascii="宋体" w:hAnsi="宋体"/>
          <w:sz w:val="28"/>
          <w:szCs w:val="28"/>
          <w:highlight w:val="none"/>
          <w:lang w:val="en-US"/>
        </w:rPr>
      </w:pPr>
      <w:r>
        <w:rPr>
          <w:rFonts w:hint="eastAsia" w:ascii="宋体" w:hAnsi="宋体"/>
          <w:sz w:val="28"/>
          <w:szCs w:val="28"/>
          <w:highlight w:val="none"/>
        </w:rPr>
        <w:t>（</w:t>
      </w:r>
      <w:r>
        <w:rPr>
          <w:rFonts w:hint="eastAsia" w:ascii="宋体" w:hAnsi="宋体"/>
          <w:sz w:val="28"/>
          <w:szCs w:val="28"/>
          <w:highlight w:val="none"/>
          <w:lang w:val="en-US" w:eastAsia="zh-CN"/>
        </w:rPr>
        <w:t>4</w:t>
      </w:r>
      <w:r>
        <w:rPr>
          <w:rFonts w:hint="eastAsia" w:ascii="宋体" w:hAnsi="宋体"/>
          <w:sz w:val="28"/>
          <w:szCs w:val="28"/>
          <w:highlight w:val="none"/>
        </w:rPr>
        <w:t>）</w:t>
      </w:r>
      <w:r>
        <w:rPr>
          <w:rFonts w:hint="eastAsia" w:ascii="宋体" w:hAnsi="宋体"/>
          <w:sz w:val="28"/>
          <w:szCs w:val="28"/>
          <w:highlight w:val="none"/>
          <w:lang w:val="en-US" w:eastAsia="zh-CN"/>
        </w:rPr>
        <w:t>工程咨询费</w:t>
      </w:r>
      <w:r>
        <w:rPr>
          <w:rFonts w:hint="eastAsia" w:ascii="宋体" w:hAnsi="宋体"/>
          <w:sz w:val="28"/>
          <w:szCs w:val="28"/>
          <w:highlight w:val="none"/>
        </w:rPr>
        <w:t>按</w:t>
      </w:r>
      <w:r>
        <w:rPr>
          <w:rFonts w:hint="eastAsia" w:ascii="宋体" w:hAnsi="宋体"/>
          <w:sz w:val="28"/>
          <w:szCs w:val="28"/>
          <w:highlight w:val="none"/>
          <w:lang w:val="en-US" w:eastAsia="zh-CN"/>
        </w:rPr>
        <w:t>3000元计算；</w:t>
      </w:r>
    </w:p>
    <w:p w14:paraId="69A65308">
      <w:pPr>
        <w:spacing w:line="360" w:lineRule="auto"/>
        <w:ind w:firstLine="411" w:firstLineChars="147"/>
        <w:rPr>
          <w:rFonts w:ascii="宋体" w:hAnsi="宋体"/>
          <w:sz w:val="28"/>
          <w:szCs w:val="28"/>
          <w:highlight w:val="none"/>
        </w:rPr>
      </w:pPr>
      <w:r>
        <w:rPr>
          <w:rFonts w:hint="eastAsia" w:ascii="宋体" w:hAnsi="宋体"/>
          <w:sz w:val="28"/>
          <w:szCs w:val="28"/>
          <w:highlight w:val="none"/>
        </w:rPr>
        <w:t>（</w:t>
      </w:r>
      <w:r>
        <w:rPr>
          <w:rFonts w:hint="eastAsia" w:ascii="宋体" w:hAnsi="宋体"/>
          <w:sz w:val="28"/>
          <w:szCs w:val="28"/>
          <w:highlight w:val="none"/>
          <w:lang w:val="en-US" w:eastAsia="zh-CN"/>
        </w:rPr>
        <w:t>5</w:t>
      </w:r>
      <w:r>
        <w:rPr>
          <w:rFonts w:hint="eastAsia" w:ascii="宋体" w:hAnsi="宋体"/>
          <w:sz w:val="28"/>
          <w:szCs w:val="28"/>
          <w:highlight w:val="none"/>
        </w:rPr>
        <w:t>）工程保险费按一至四部分费用的</w:t>
      </w:r>
      <w:r>
        <w:rPr>
          <w:rFonts w:hint="eastAsia" w:ascii="宋体" w:hAnsi="宋体"/>
          <w:sz w:val="28"/>
          <w:szCs w:val="28"/>
          <w:highlight w:val="none"/>
          <w:lang w:val="en-US"/>
        </w:rPr>
        <w:t>0.</w:t>
      </w:r>
      <w:r>
        <w:rPr>
          <w:rFonts w:hint="eastAsia" w:ascii="宋体" w:hAnsi="宋体"/>
          <w:sz w:val="28"/>
          <w:szCs w:val="28"/>
          <w:highlight w:val="none"/>
          <w:lang w:val="en-US" w:eastAsia="zh-CN"/>
        </w:rPr>
        <w:t>4</w:t>
      </w:r>
      <w:r>
        <w:rPr>
          <w:rFonts w:hint="eastAsia" w:ascii="宋体" w:hAnsi="宋体"/>
          <w:sz w:val="28"/>
          <w:szCs w:val="28"/>
          <w:highlight w:val="none"/>
          <w:lang w:val="en-US"/>
        </w:rPr>
        <w:t>5</w:t>
      </w:r>
      <w:r>
        <w:rPr>
          <w:rFonts w:hint="eastAsia" w:ascii="宋体" w:hAnsi="宋体"/>
          <w:sz w:val="28"/>
          <w:szCs w:val="28"/>
          <w:highlight w:val="none"/>
        </w:rPr>
        <w:t>%计算。</w:t>
      </w:r>
    </w:p>
    <w:p w14:paraId="73C60F94">
      <w:pPr>
        <w:spacing w:line="360" w:lineRule="auto"/>
        <w:outlineLvl w:val="0"/>
        <w:rPr>
          <w:rFonts w:ascii="宋体" w:hAnsi="宋体"/>
          <w:b/>
          <w:sz w:val="28"/>
          <w:szCs w:val="28"/>
          <w:highlight w:val="none"/>
          <w:lang w:val="en-US"/>
        </w:rPr>
      </w:pPr>
      <w:bookmarkStart w:id="0" w:name="_Toc308350719"/>
      <w:bookmarkStart w:id="1" w:name="_Toc335318595"/>
      <w:bookmarkStart w:id="2" w:name="_Toc201580055"/>
      <w:r>
        <w:rPr>
          <w:rFonts w:hint="eastAsia" w:ascii="宋体" w:hAnsi="宋体"/>
          <w:b/>
          <w:sz w:val="28"/>
          <w:szCs w:val="28"/>
          <w:highlight w:val="none"/>
          <w:lang w:val="en-US"/>
        </w:rPr>
        <w:t>（四）工程投资</w:t>
      </w:r>
      <w:bookmarkEnd w:id="0"/>
      <w:bookmarkEnd w:id="1"/>
      <w:bookmarkEnd w:id="2"/>
      <w:r>
        <w:rPr>
          <w:rFonts w:hint="eastAsia" w:ascii="宋体" w:hAnsi="宋体"/>
          <w:b/>
          <w:sz w:val="28"/>
          <w:szCs w:val="28"/>
          <w:highlight w:val="none"/>
          <w:lang w:val="en-US"/>
        </w:rPr>
        <w:t>预算</w:t>
      </w:r>
    </w:p>
    <w:p w14:paraId="699090C2">
      <w:pPr>
        <w:spacing w:line="360" w:lineRule="auto"/>
        <w:ind w:firstLine="413" w:firstLineChars="147"/>
        <w:rPr>
          <w:rFonts w:hint="eastAsia" w:ascii="宋体" w:hAnsi="宋体"/>
          <w:sz w:val="28"/>
          <w:szCs w:val="28"/>
          <w:highlight w:val="none"/>
          <w:lang w:val="en-US" w:eastAsia="zh-CN"/>
        </w:rPr>
      </w:pPr>
      <w:r>
        <w:rPr>
          <w:rFonts w:hint="eastAsia" w:ascii="宋体" w:hAnsi="宋体"/>
          <w:b/>
          <w:bCs/>
          <w:sz w:val="28"/>
          <w:szCs w:val="28"/>
          <w:highlight w:val="none"/>
          <w:lang w:val="en-US" w:eastAsia="zh-CN"/>
        </w:rPr>
        <w:t>本工程静态总投资7.77万元。其中：建筑工程投资6.26万元，临时工程费0.35万元，独立费用1.16万元</w:t>
      </w:r>
      <w:r>
        <w:rPr>
          <w:rFonts w:hint="eastAsia" w:ascii="宋体" w:hAnsi="宋体"/>
          <w:sz w:val="28"/>
          <w:szCs w:val="28"/>
          <w:highlight w:val="none"/>
          <w:lang w:val="en-US" w:eastAsia="zh-CN"/>
        </w:rPr>
        <w:t>。</w:t>
      </w:r>
    </w:p>
    <w:p w14:paraId="49967492">
      <w:pPr>
        <w:spacing w:line="360" w:lineRule="auto"/>
        <w:ind w:firstLine="411" w:firstLineChars="147"/>
        <w:rPr>
          <w:rFonts w:hint="eastAsia" w:ascii="宋体" w:hAnsi="宋体"/>
          <w:sz w:val="28"/>
          <w:szCs w:val="28"/>
          <w:highlight w:val="none"/>
          <w:lang w:val="en-US" w:eastAsia="zh-CN"/>
        </w:rPr>
        <w:sectPr>
          <w:type w:val="continuous"/>
          <w:pgSz w:w="23820" w:h="16850" w:orient="landscape"/>
          <w:pgMar w:top="1600" w:right="1180" w:bottom="1180" w:left="1340" w:header="720" w:footer="720" w:gutter="0"/>
          <w:cols w:equalWidth="0" w:num="2">
            <w:col w:w="10537" w:space="145"/>
            <w:col w:w="10618"/>
          </w:cols>
        </w:sectPr>
      </w:pPr>
    </w:p>
    <w:p w14:paraId="67DA4B94">
      <w:pPr>
        <w:pStyle w:val="4"/>
        <w:spacing w:before="3"/>
        <w:rPr>
          <w:sz w:val="22"/>
          <w:highlight w:val="none"/>
        </w:rPr>
      </w:pPr>
    </w:p>
    <w:sectPr>
      <w:pgSz w:w="23820" w:h="16850" w:orient="landscape"/>
      <w:pgMar w:top="1600" w:right="1180" w:bottom="1180" w:left="1340" w:header="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ISOCPEUR">
    <w:altName w:val="Segoe Print"/>
    <w:panose1 w:val="020B0604020202020204"/>
    <w:charset w:val="00"/>
    <w:family w:val="swiss"/>
    <w:pitch w:val="default"/>
    <w:sig w:usb0="00000000" w:usb1="00000000" w:usb2="00000000" w:usb3="00000000" w:csb0="4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23BE6">
    <w:pPr>
      <w:pStyle w:val="4"/>
      <w:spacing w:line="14" w:lineRule="auto"/>
      <w:rPr>
        <w:sz w:val="20"/>
      </w:rPr>
    </w:pPr>
    <w:r>
      <w:pict>
        <v:shape id="_x0000_s4097" o:spid="_x0000_s4097" o:spt="202" type="#_x0000_t202" style="position:absolute;left:0pt;margin-left:600.1pt;margin-top:781.4pt;height:12pt;width:8.5pt;mso-position-horizontal-relative:page;mso-position-vertical-relative:page;z-index:-251657216;mso-width-relative:page;mso-height-relative:page;" filled="f" stroked="f" coordsize="21600,21600" o:gfxdata="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ZaL0l1wAAAA8BAAAPAAAAAAAAAAEAIAAAACIAAABkcnMvZG93bnJldi54bWxQSwECFAAU&#10;AAAACACHTuJAwHURIrkBAABxAwAADgAAAAAAAAABACAAAAAmAQAAZHJzL2Uyb0RvYy54bWxQSwUG&#10;AAAAAAYABgBZAQAAUQUAAAAA&#10;">
          <v:path/>
          <v:fill on="f" focussize="0,0"/>
          <v:stroke on="f" joinstyle="miter"/>
          <v:imagedata o:title=""/>
          <o:lock v:ext="edit"/>
          <v:textbox inset="0mm,0mm,0mm,0mm">
            <w:txbxContent>
              <w:p w14:paraId="5A214891">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3CBB25"/>
    <w:multiLevelType w:val="singleLevel"/>
    <w:tmpl w:val="8B3CBB25"/>
    <w:lvl w:ilvl="0" w:tentative="0">
      <w:start w:val="1"/>
      <w:numFmt w:val="decimal"/>
      <w:suff w:val="nothing"/>
      <w:lvlText w:val="（%1）"/>
      <w:lvlJc w:val="left"/>
    </w:lvl>
  </w:abstractNum>
  <w:abstractNum w:abstractNumId="1">
    <w:nsid w:val="ACC5752C"/>
    <w:multiLevelType w:val="singleLevel"/>
    <w:tmpl w:val="ACC5752C"/>
    <w:lvl w:ilvl="0" w:tentative="0">
      <w:start w:val="1"/>
      <w:numFmt w:val="decimal"/>
      <w:suff w:val="space"/>
      <w:lvlText w:val="（%1）"/>
      <w:lvlJc w:val="left"/>
    </w:lvl>
  </w:abstractNum>
  <w:abstractNum w:abstractNumId="2">
    <w:nsid w:val="53DE5A08"/>
    <w:multiLevelType w:val="singleLevel"/>
    <w:tmpl w:val="53DE5A08"/>
    <w:lvl w:ilvl="0" w:tentative="0">
      <w:start w:val="2"/>
      <w:numFmt w:val="chineseCounting"/>
      <w:suff w:val="nothing"/>
      <w:lvlText w:val="%1、"/>
      <w:lvlJc w:val="left"/>
      <w:rPr>
        <w:rFonts w:hint="eastAsia"/>
      </w:rPr>
    </w:lvl>
  </w:abstractNum>
  <w:abstractNum w:abstractNumId="3">
    <w:nsid w:val="6AA6357B"/>
    <w:multiLevelType w:val="singleLevel"/>
    <w:tmpl w:val="6AA6357B"/>
    <w:lvl w:ilvl="0" w:tentative="0">
      <w:start w:val="2"/>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compat>
    <w:ulTrailSpace/>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NjU4OTgyZmI4NDVhMDdlNzFiYWFjNDE3NjUxNjU0YjYifQ=="/>
  </w:docVars>
  <w:rsids>
    <w:rsidRoot w:val="00172A27"/>
    <w:rsid w:val="000C0BCF"/>
    <w:rsid w:val="00172A27"/>
    <w:rsid w:val="001C49B9"/>
    <w:rsid w:val="003B4DEE"/>
    <w:rsid w:val="009056D0"/>
    <w:rsid w:val="00A26376"/>
    <w:rsid w:val="038C3774"/>
    <w:rsid w:val="04031D25"/>
    <w:rsid w:val="04DC3ACC"/>
    <w:rsid w:val="092764DB"/>
    <w:rsid w:val="0AE10ED6"/>
    <w:rsid w:val="0B697C90"/>
    <w:rsid w:val="0D0C2BA7"/>
    <w:rsid w:val="0EF107A3"/>
    <w:rsid w:val="135A3833"/>
    <w:rsid w:val="143D1A42"/>
    <w:rsid w:val="18177E28"/>
    <w:rsid w:val="1DA60D5A"/>
    <w:rsid w:val="1DCE6302"/>
    <w:rsid w:val="217D1940"/>
    <w:rsid w:val="269B5E2C"/>
    <w:rsid w:val="293E4E3E"/>
    <w:rsid w:val="2A5E2581"/>
    <w:rsid w:val="2ACD677C"/>
    <w:rsid w:val="2B256BE2"/>
    <w:rsid w:val="2B6F010E"/>
    <w:rsid w:val="2C5A3F68"/>
    <w:rsid w:val="2D2F795E"/>
    <w:rsid w:val="2EB931C8"/>
    <w:rsid w:val="2FA001C4"/>
    <w:rsid w:val="316F6F5A"/>
    <w:rsid w:val="34410FC7"/>
    <w:rsid w:val="35350014"/>
    <w:rsid w:val="38747797"/>
    <w:rsid w:val="39F24A55"/>
    <w:rsid w:val="3A42539C"/>
    <w:rsid w:val="3B3F0CB7"/>
    <w:rsid w:val="3E1D374E"/>
    <w:rsid w:val="3FFF209A"/>
    <w:rsid w:val="40723A12"/>
    <w:rsid w:val="42E739C0"/>
    <w:rsid w:val="432235FC"/>
    <w:rsid w:val="44217B07"/>
    <w:rsid w:val="44450C84"/>
    <w:rsid w:val="444E0AB4"/>
    <w:rsid w:val="45182485"/>
    <w:rsid w:val="45B93ADF"/>
    <w:rsid w:val="47582FC3"/>
    <w:rsid w:val="494F5BC2"/>
    <w:rsid w:val="4A5B1E59"/>
    <w:rsid w:val="4E29584C"/>
    <w:rsid w:val="4E3A69BA"/>
    <w:rsid w:val="508006BB"/>
    <w:rsid w:val="53004672"/>
    <w:rsid w:val="58CA2DC6"/>
    <w:rsid w:val="5B800B3F"/>
    <w:rsid w:val="5D48144D"/>
    <w:rsid w:val="5EB456AB"/>
    <w:rsid w:val="64CD0403"/>
    <w:rsid w:val="675D1132"/>
    <w:rsid w:val="680B5C1C"/>
    <w:rsid w:val="6D2E2791"/>
    <w:rsid w:val="6DFC0FE8"/>
    <w:rsid w:val="6E8B04DB"/>
    <w:rsid w:val="6F225452"/>
    <w:rsid w:val="72D41DB3"/>
    <w:rsid w:val="73050B83"/>
    <w:rsid w:val="7499028C"/>
    <w:rsid w:val="7532258C"/>
    <w:rsid w:val="76AC04E9"/>
    <w:rsid w:val="77C066F1"/>
    <w:rsid w:val="79427463"/>
    <w:rsid w:val="798F7942"/>
    <w:rsid w:val="7A7C0D95"/>
    <w:rsid w:val="7B4A3CCA"/>
    <w:rsid w:val="7BB65E21"/>
    <w:rsid w:val="7C7F4B69"/>
    <w:rsid w:val="7C9E3E7C"/>
    <w:rsid w:val="7CBB0D14"/>
    <w:rsid w:val="7E421ACC"/>
    <w:rsid w:val="7FE460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黑体" w:hAnsi="黑体" w:eastAsia="黑体" w:cs="黑体"/>
      <w:sz w:val="22"/>
      <w:szCs w:val="22"/>
      <w:lang w:val="zh-CN" w:eastAsia="zh-CN" w:bidi="zh-CN"/>
    </w:rPr>
  </w:style>
  <w:style w:type="paragraph" w:styleId="2">
    <w:name w:val="heading 1"/>
    <w:basedOn w:val="1"/>
    <w:next w:val="1"/>
    <w:qFormat/>
    <w:uiPriority w:val="1"/>
    <w:pPr>
      <w:ind w:left="8001" w:right="7562"/>
      <w:jc w:val="center"/>
      <w:outlineLvl w:val="0"/>
    </w:pPr>
    <w:rPr>
      <w:sz w:val="30"/>
      <w:szCs w:val="30"/>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rPr>
      <w:sz w:val="28"/>
      <w:szCs w:val="28"/>
    </w:rPr>
  </w:style>
  <w:style w:type="paragraph" w:styleId="5">
    <w:name w:val="Body Text Indent"/>
    <w:basedOn w:val="1"/>
    <w:qFormat/>
    <w:uiPriority w:val="0"/>
    <w:pPr>
      <w:spacing w:after="120" w:line="240" w:lineRule="auto"/>
      <w:ind w:left="420" w:leftChars="200" w:firstLine="0" w:firstLineChars="0"/>
    </w:pPr>
    <w:rPr>
      <w:rFonts w:ascii="Times New Roman" w:hAnsi="Times New Roman"/>
      <w:kern w:val="0"/>
    </w:rPr>
  </w:style>
  <w:style w:type="paragraph" w:styleId="6">
    <w:name w:val="Balloon Text"/>
    <w:basedOn w:val="1"/>
    <w:link w:val="17"/>
    <w:qFormat/>
    <w:uiPriority w:val="0"/>
    <w:rPr>
      <w:sz w:val="18"/>
      <w:szCs w:val="18"/>
    </w:rPr>
  </w:style>
  <w:style w:type="paragraph" w:styleId="7">
    <w:name w:val="Normal (Web)"/>
    <w:basedOn w:val="1"/>
    <w:qFormat/>
    <w:uiPriority w:val="0"/>
    <w:rPr>
      <w:sz w:val="24"/>
    </w:rPr>
  </w:style>
  <w:style w:type="paragraph" w:styleId="8">
    <w:name w:val="Body Text First Indent 2"/>
    <w:basedOn w:val="5"/>
    <w:qFormat/>
    <w:uiPriority w:val="0"/>
    <w:pPr>
      <w:spacing w:after="120" w:line="240" w:lineRule="auto"/>
      <w:ind w:left="420" w:leftChars="200" w:firstLine="42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000FF"/>
      <w:u w:val="single"/>
    </w:r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pPr>
      <w:ind w:left="801" w:hanging="702"/>
    </w:pPr>
  </w:style>
  <w:style w:type="paragraph" w:customStyle="1" w:styleId="15">
    <w:name w:val="Table Paragraph"/>
    <w:basedOn w:val="1"/>
    <w:qFormat/>
    <w:uiPriority w:val="1"/>
  </w:style>
  <w:style w:type="paragraph" w:customStyle="1" w:styleId="16">
    <w:name w:val="纯文本1"/>
    <w:basedOn w:val="1"/>
    <w:qFormat/>
    <w:uiPriority w:val="0"/>
    <w:pPr>
      <w:adjustRightInd w:val="0"/>
      <w:textAlignment w:val="baseline"/>
    </w:pPr>
    <w:rPr>
      <w:rFonts w:ascii="宋体" w:hAnsi="Courier New"/>
      <w:szCs w:val="20"/>
    </w:rPr>
  </w:style>
  <w:style w:type="character" w:customStyle="1" w:styleId="17">
    <w:name w:val="批注框文本 Char"/>
    <w:basedOn w:val="11"/>
    <w:link w:val="6"/>
    <w:qFormat/>
    <w:uiPriority w:val="0"/>
    <w:rPr>
      <w:rFonts w:ascii="黑体" w:hAnsi="黑体" w:eastAsia="黑体" w:cs="黑体"/>
      <w:sz w:val="18"/>
      <w:szCs w:val="18"/>
      <w:lang w:val="zh-CN" w:bidi="zh-CN"/>
    </w:rPr>
  </w:style>
  <w:style w:type="paragraph" w:customStyle="1" w:styleId="18">
    <w:name w:val="1正文"/>
    <w:qFormat/>
    <w:uiPriority w:val="0"/>
    <w:pPr>
      <w:widowControl w:val="0"/>
      <w:spacing w:line="360" w:lineRule="auto"/>
      <w:ind w:firstLine="200" w:firstLineChars="200"/>
    </w:pPr>
    <w:rPr>
      <w:rFonts w:ascii="Times New Roman" w:hAnsi="Times New Roman" w:eastAsia="宋体" w:cs="Times New Roman"/>
      <w:bCs/>
      <w:sz w:val="24"/>
      <w:szCs w:val="44"/>
      <w:lang w:val="en-US" w:eastAsia="zh-CN" w:bidi="ar-SA"/>
    </w:rPr>
  </w:style>
  <w:style w:type="paragraph" w:customStyle="1" w:styleId="19">
    <w:name w:val="正文 样式 小四"/>
    <w:basedOn w:val="1"/>
    <w:qFormat/>
    <w:uiPriority w:val="0"/>
    <w:pPr>
      <w:spacing w:line="360" w:lineRule="auto"/>
      <w:ind w:firstLine="200" w:firstLineChars="200"/>
    </w:pPr>
    <w:rPr>
      <w:rFonts w:cs="宋体"/>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4590</Words>
  <Characters>5194</Characters>
  <Lines>51</Lines>
  <Paragraphs>14</Paragraphs>
  <TotalTime>33</TotalTime>
  <ScaleCrop>false</ScaleCrop>
  <LinksUpToDate>false</LinksUpToDate>
  <CharactersWithSpaces>5349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2021-02-25T01:59:00Z</dcterms:created>
  <dc:creator>赵仕勇</dc:creator>
  <cp:lastModifiedBy>迂于与钰.</cp:lastModifiedBy>
  <dcterms:modified xsi:type="dcterms:W3CDTF">2025-04-23T08:17:03Z</dcterms:modified>
  <dc:title>重庆市酉阳县胜利水库除险加固工程施工设计</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2020-08-12T00:00:00Z</vt:filetime>
  </property>
  <property fmtid="{D5CDD505-2E9C-101B-9397-08002B2CF9AE}" pid="3" name="Creator">
    <vt:lpwstr>Microsoft? Office Word 2007</vt:lpwstr>
  </property>
  <property fmtid="{D5CDD505-2E9C-101B-9397-08002B2CF9AE}" pid="4" name="LastSaved">
    <vt:filetime>2021-02-25T00:00:00Z</vt:filetime>
  </property>
  <property fmtid="{D5CDD505-2E9C-101B-9397-08002B2CF9AE}" pid="5" name="KSOProductBuildVer">
    <vt:lpwstr>2052-12.1.0.20784</vt:lpwstr>
  </property>
  <property fmtid="{D5CDD505-2E9C-101B-9397-08002B2CF9AE}" pid="6" name="ICV">
    <vt:lpwstr>FFE97D9262554DE0B5479D5292301CC9</vt:lpwstr>
  </property>
  <property fmtid="{D5CDD505-2E9C-101B-9397-08002B2CF9AE}" pid="7" name="KSOTemplateDocerSaveRecord">
    <vt:lpwstr>eyJoZGlkIjoiNGU5YTk2NWU3OTRhNTU0YjZlNWE0ODExMjY4YzM0MTgiLCJ1c2VySWQiOiI0ODY5NjAzODQifQ==</vt:lpwstr>
  </property>
</Properties>
</file>