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jc w:val="center"/>
        <w:outlineLvl w:val="9"/>
        <w:rPr>
          <w:rFonts w:hint="eastAsia" w:ascii="宋体" w:hAnsi="宋体" w:eastAsia="宋体" w:cs="宋体"/>
          <w:color w:val="auto"/>
          <w:sz w:val="72"/>
          <w:szCs w:val="72"/>
          <w:highlight w:val="none"/>
        </w:rPr>
      </w:pPr>
    </w:p>
    <w:p>
      <w:pPr>
        <w:spacing w:line="360" w:lineRule="auto"/>
        <w:jc w:val="center"/>
        <w:outlineLvl w:val="9"/>
        <w:rPr>
          <w:rFonts w:hint="eastAsia" w:ascii="宋体" w:hAnsi="宋体" w:eastAsia="宋体" w:cs="宋体"/>
          <w:color w:val="auto"/>
          <w:spacing w:val="80"/>
          <w:sz w:val="144"/>
          <w:szCs w:val="144"/>
          <w:highlight w:val="none"/>
        </w:rPr>
      </w:pPr>
      <w:r>
        <w:rPr>
          <w:rFonts w:hint="eastAsia" w:ascii="宋体" w:hAnsi="宋体" w:eastAsia="宋体" w:cs="宋体"/>
          <w:color w:val="auto"/>
          <w:spacing w:val="80"/>
          <w:sz w:val="144"/>
          <w:szCs w:val="144"/>
          <w:highlight w:val="none"/>
        </w:rPr>
        <w:t>竞争性磋商</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pacing w:val="80"/>
          <w:sz w:val="144"/>
          <w:szCs w:val="144"/>
          <w:highlight w:val="none"/>
        </w:rPr>
        <w:t>文件</w:t>
      </w:r>
    </w:p>
    <w:p>
      <w:pPr>
        <w:pStyle w:val="2"/>
        <w:rPr>
          <w:rFonts w:hint="eastAsia"/>
        </w:rPr>
      </w:pPr>
    </w:p>
    <w:p>
      <w:pPr>
        <w:rPr>
          <w:rFonts w:hint="eastAsia"/>
        </w:rPr>
      </w:pPr>
    </w:p>
    <w:p>
      <w:pPr>
        <w:spacing w:line="360" w:lineRule="auto"/>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项目名称：微电园标准厂房8号楼新装变压器工程</w:t>
      </w:r>
    </w:p>
    <w:p>
      <w:pPr>
        <w:spacing w:line="360" w:lineRule="auto"/>
        <w:jc w:val="left"/>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w:t>
      </w:r>
      <w:r>
        <w:rPr>
          <w:rFonts w:hint="eastAsia" w:ascii="宋体" w:hAnsi="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购</w:t>
      </w:r>
      <w:r>
        <w:rPr>
          <w:rFonts w:hint="eastAsia" w:ascii="宋体" w:hAnsi="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lang w:eastAsia="zh-CN"/>
        </w:rPr>
        <w:t>重庆两山建设开发有限公司</w:t>
      </w:r>
      <w:r>
        <w:rPr>
          <w:rFonts w:hint="eastAsia" w:ascii="宋体" w:hAnsi="宋体" w:eastAsia="宋体" w:cs="宋体"/>
          <w:color w:val="auto"/>
          <w:sz w:val="36"/>
          <w:szCs w:val="36"/>
          <w:highlight w:val="none"/>
        </w:rPr>
        <w:t xml:space="preserve"> </w:t>
      </w:r>
    </w:p>
    <w:p>
      <w:pPr>
        <w:spacing w:line="360" w:lineRule="auto"/>
        <w:ind w:firstLine="1749" w:firstLineChars="486"/>
        <w:outlineLvl w:val="9"/>
        <w:rPr>
          <w:rFonts w:hint="eastAsia" w:ascii="宋体" w:hAnsi="宋体" w:eastAsia="宋体" w:cs="宋体"/>
          <w:color w:val="auto"/>
          <w:sz w:val="36"/>
          <w:szCs w:val="36"/>
          <w:highlight w:val="none"/>
        </w:rPr>
      </w:pPr>
    </w:p>
    <w:p>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36"/>
          <w:szCs w:val="36"/>
          <w:highlight w:val="none"/>
        </w:rPr>
        <w:t>二〇二</w:t>
      </w:r>
      <w:r>
        <w:rPr>
          <w:rFonts w:hint="eastAsia" w:ascii="宋体" w:hAnsi="宋体" w:cs="宋体"/>
          <w:color w:val="auto"/>
          <w:sz w:val="36"/>
          <w:szCs w:val="36"/>
          <w:highlight w:val="none"/>
          <w:lang w:val="en-US" w:eastAsia="zh-CN"/>
        </w:rPr>
        <w:t>三</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八</w:t>
      </w:r>
      <w:r>
        <w:rPr>
          <w:rFonts w:hint="eastAsia" w:ascii="宋体" w:hAnsi="宋体" w:eastAsia="宋体" w:cs="宋体"/>
          <w:color w:val="auto"/>
          <w:sz w:val="36"/>
          <w:szCs w:val="36"/>
          <w:highlight w:val="none"/>
        </w:rPr>
        <w:t>月</w:t>
      </w:r>
    </w:p>
    <w:p>
      <w:pPr>
        <w:spacing w:line="360" w:lineRule="auto"/>
        <w:outlineLvl w:val="9"/>
        <w:rPr>
          <w:rFonts w:hint="eastAsia" w:ascii="宋体" w:hAnsi="宋体" w:eastAsia="宋体" w:cs="宋体"/>
          <w:color w:val="auto"/>
          <w:sz w:val="24"/>
          <w:szCs w:val="24"/>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spacing w:line="360" w:lineRule="auto"/>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pPr>
        <w:spacing w:before="0" w:beforeLines="0" w:after="0" w:afterLines="0" w:line="240" w:lineRule="auto"/>
        <w:ind w:left="0" w:leftChars="0" w:right="0" w:rightChars="0" w:firstLine="0" w:firstLineChars="0"/>
        <w:jc w:val="center"/>
        <w:rPr>
          <w:color w:val="auto"/>
        </w:rPr>
      </w:pP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color w:val="auto"/>
          <w:sz w:val="28"/>
          <w:szCs w:val="18"/>
        </w:rPr>
        <w:instrText xml:space="preserve">TOC \o "1-3" \h \u </w:instrText>
      </w:r>
      <w:r>
        <w:rPr>
          <w:rFonts w:hint="eastAsia" w:ascii="方正仿宋_GBK" w:hAnsi="方正仿宋_GBK" w:eastAsia="方正仿宋_GBK" w:cs="方正仿宋_GBK"/>
          <w:color w:val="auto"/>
          <w:sz w:val="28"/>
          <w:szCs w:val="18"/>
        </w:rPr>
        <w:fldChar w:fldCharType="separate"/>
      </w: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_Toc2051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rPr>
        <w:t>第一篇  采购邀请书</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_Toc2051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1</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_Toc6176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一、竞争性磋商内容</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_Toc6176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_Toc2025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二、资金来源</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_Toc2025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_Toc15200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三、供应商资格条件</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_Toc15200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_Toc12020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四、磋商有关说明</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_Toc12020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2</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_Toc9985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lang w:val="en-US" w:eastAsia="zh-CN"/>
        </w:rPr>
        <w:t>五</w:t>
      </w:r>
      <w:r>
        <w:rPr>
          <w:rFonts w:hint="eastAsia" w:ascii="方正仿宋_GBK" w:hAnsi="方正仿宋_GBK" w:eastAsia="方正仿宋_GBK" w:cs="方正仿宋_GBK"/>
          <w:sz w:val="24"/>
          <w:szCs w:val="22"/>
          <w:highlight w:val="none"/>
        </w:rPr>
        <w:t>、其它有关规定</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_Toc9985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3</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_Toc4205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lang w:eastAsia="zh-CN"/>
        </w:rPr>
        <w:t>七</w:t>
      </w:r>
      <w:r>
        <w:rPr>
          <w:rFonts w:hint="eastAsia" w:ascii="方正仿宋_GBK" w:hAnsi="方正仿宋_GBK" w:eastAsia="方正仿宋_GBK" w:cs="方正仿宋_GBK"/>
          <w:sz w:val="24"/>
          <w:szCs w:val="22"/>
          <w:highlight w:val="none"/>
        </w:rPr>
        <w:t>、联系方式</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_Toc4205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3</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_Toc16800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rPr>
        <w:t>第二篇  采购</w:t>
      </w:r>
      <w:r>
        <w:rPr>
          <w:rFonts w:hint="eastAsia" w:ascii="方正仿宋_GBK" w:hAnsi="方正仿宋_GBK" w:eastAsia="方正仿宋_GBK" w:cs="方正仿宋_GBK"/>
          <w:bCs/>
          <w:sz w:val="28"/>
          <w:szCs w:val="32"/>
          <w:highlight w:val="none"/>
          <w:lang w:eastAsia="zh-CN"/>
        </w:rPr>
        <w:t>技术</w:t>
      </w:r>
      <w:r>
        <w:rPr>
          <w:rFonts w:hint="eastAsia" w:ascii="方正仿宋_GBK" w:hAnsi="方正仿宋_GBK" w:eastAsia="方正仿宋_GBK" w:cs="方正仿宋_GBK"/>
          <w:bCs/>
          <w:sz w:val="28"/>
          <w:szCs w:val="32"/>
          <w:highlight w:val="none"/>
        </w:rPr>
        <w:t>需求</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_Toc16800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4</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_Toc32529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napToGrid w:val="0"/>
          <w:kern w:val="0"/>
          <w:sz w:val="24"/>
          <w:szCs w:val="24"/>
          <w:lang w:val="zh-TW" w:eastAsia="zh-CN"/>
        </w:rPr>
        <w:t>一</w:t>
      </w:r>
      <w:r>
        <w:rPr>
          <w:rFonts w:hint="eastAsia" w:ascii="方正仿宋_GBK" w:hAnsi="方正仿宋_GBK" w:eastAsia="方正仿宋_GBK" w:cs="方正仿宋_GBK"/>
          <w:bCs w:val="0"/>
          <w:snapToGrid w:val="0"/>
          <w:kern w:val="0"/>
          <w:sz w:val="24"/>
          <w:szCs w:val="24"/>
          <w:lang w:val="zh-TW"/>
        </w:rPr>
        <w:t>、项目</w:t>
      </w:r>
      <w:r>
        <w:rPr>
          <w:rFonts w:hint="eastAsia" w:ascii="方正仿宋_GBK" w:hAnsi="方正仿宋_GBK" w:eastAsia="方正仿宋_GBK" w:cs="方正仿宋_GBK"/>
          <w:bCs w:val="0"/>
          <w:snapToGrid w:val="0"/>
          <w:kern w:val="0"/>
          <w:sz w:val="24"/>
          <w:szCs w:val="24"/>
          <w:lang w:val="zh-TW" w:eastAsia="zh-CN"/>
        </w:rPr>
        <w:t>概况</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_Toc32529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4</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_Toc18257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napToGrid w:val="0"/>
          <w:kern w:val="0"/>
          <w:sz w:val="24"/>
          <w:szCs w:val="24"/>
          <w:lang w:val="zh-TW" w:eastAsia="zh-CN"/>
        </w:rPr>
        <w:t>二</w:t>
      </w:r>
      <w:r>
        <w:rPr>
          <w:rFonts w:hint="eastAsia" w:ascii="方正仿宋_GBK" w:hAnsi="方正仿宋_GBK" w:eastAsia="方正仿宋_GBK" w:cs="方正仿宋_GBK"/>
          <w:bCs w:val="0"/>
          <w:snapToGrid w:val="0"/>
          <w:kern w:val="0"/>
          <w:sz w:val="24"/>
          <w:szCs w:val="24"/>
          <w:lang w:val="zh-TW"/>
        </w:rPr>
        <w:t>、</w:t>
      </w:r>
      <w:r>
        <w:rPr>
          <w:rFonts w:hint="eastAsia" w:ascii="方正仿宋_GBK" w:hAnsi="方正仿宋_GBK" w:eastAsia="方正仿宋_GBK" w:cs="方正仿宋_GBK"/>
          <w:bCs w:val="0"/>
          <w:snapToGrid w:val="0"/>
          <w:kern w:val="0"/>
          <w:sz w:val="24"/>
          <w:szCs w:val="24"/>
          <w:lang w:val="zh-TW" w:eastAsia="zh-CN"/>
        </w:rPr>
        <w:t>实施要求</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_Toc18257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4</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_Toc20934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rPr>
        <w:t>第三篇  采购商务需求</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_Toc20934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6</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_Toc6655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rPr>
        <w:t>一、</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1"/>
          <w:highlight w:val="none"/>
          <w:lang w:eastAsia="zh-CN"/>
        </w:rPr>
        <w:t>工期</w:t>
      </w:r>
      <w:r>
        <w:rPr>
          <w:rFonts w:hint="eastAsia" w:ascii="方正仿宋_GBK" w:hAnsi="方正仿宋_GBK" w:eastAsia="方正仿宋_GBK" w:cs="方正仿宋_GBK"/>
          <w:bCs w:val="0"/>
          <w:sz w:val="24"/>
          <w:szCs w:val="22"/>
          <w:highlight w:val="none"/>
        </w:rPr>
        <w:t>、</w:t>
      </w:r>
      <w:r>
        <w:rPr>
          <w:rFonts w:hint="eastAsia" w:ascii="方正仿宋_GBK" w:hAnsi="方正仿宋_GBK" w:eastAsia="方正仿宋_GBK" w:cs="方正仿宋_GBK"/>
          <w:bCs w:val="0"/>
          <w:sz w:val="24"/>
          <w:szCs w:val="22"/>
          <w:highlight w:val="none"/>
          <w:lang w:eastAsia="zh-CN"/>
        </w:rPr>
        <w:t>建设</w:t>
      </w:r>
      <w:r>
        <w:rPr>
          <w:rFonts w:hint="eastAsia" w:ascii="方正仿宋_GBK" w:hAnsi="方正仿宋_GBK" w:eastAsia="方正仿宋_GBK" w:cs="方正仿宋_GBK"/>
          <w:bCs w:val="0"/>
          <w:sz w:val="24"/>
          <w:szCs w:val="22"/>
          <w:highlight w:val="none"/>
        </w:rPr>
        <w:t>地点</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_Toc6655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6</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_Toc5882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rPr>
        <w:t>二、</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2"/>
          <w:highlight w:val="none"/>
        </w:rPr>
        <w:t>报价</w:t>
      </w:r>
      <w:r>
        <w:rPr>
          <w:rFonts w:hint="eastAsia" w:ascii="方正仿宋_GBK" w:hAnsi="方正仿宋_GBK" w:eastAsia="方正仿宋_GBK" w:cs="方正仿宋_GBK"/>
          <w:bCs w:val="0"/>
          <w:sz w:val="24"/>
          <w:szCs w:val="22"/>
          <w:highlight w:val="none"/>
          <w:lang w:eastAsia="zh-CN"/>
        </w:rPr>
        <w:t>及工程结算</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_Toc5882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6</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_Toc14790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lang w:val="zh-CN" w:eastAsia="zh-CN"/>
        </w:rPr>
        <w:t>三、</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2"/>
          <w:lang w:val="zh-CN" w:eastAsia="zh-CN"/>
        </w:rPr>
        <w:t>工程结算</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_Toc14790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_Toc29728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lang w:val="zh-CN" w:eastAsia="zh-CN"/>
        </w:rPr>
        <w:t>四、</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2"/>
          <w:lang w:val="zh-CN" w:eastAsia="zh-CN"/>
        </w:rPr>
        <w:t>履约担保</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_Toc29728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8</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_Toc19719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lang w:val="zh-CN" w:eastAsia="zh-CN"/>
        </w:rPr>
        <w:t>五、</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2"/>
          <w:lang w:val="zh-CN" w:eastAsia="zh-CN"/>
        </w:rPr>
        <w:t>工程款支付</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_Toc19719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8</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_Toc6625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lang w:eastAsia="zh-CN"/>
        </w:rPr>
        <w:t>六</w:t>
      </w:r>
      <w:r>
        <w:rPr>
          <w:rFonts w:hint="eastAsia" w:ascii="方正仿宋_GBK" w:hAnsi="方正仿宋_GBK" w:eastAsia="方正仿宋_GBK" w:cs="方正仿宋_GBK"/>
          <w:bCs w:val="0"/>
          <w:sz w:val="24"/>
          <w:szCs w:val="22"/>
          <w:highlight w:val="none"/>
        </w:rPr>
        <w:t>、</w:t>
      </w:r>
      <w:r>
        <w:rPr>
          <w:rFonts w:hint="eastAsia" w:ascii="方正仿宋_GBK" w:hAnsi="方正仿宋_GBK" w:eastAsia="方正仿宋_GBK" w:cs="方正仿宋_GBK"/>
          <w:bCs w:val="0"/>
          <w:sz w:val="24"/>
          <w:szCs w:val="21"/>
          <w:highlight w:val="none"/>
        </w:rPr>
        <w:t>★</w:t>
      </w:r>
      <w:r>
        <w:rPr>
          <w:rFonts w:hint="eastAsia" w:ascii="方正仿宋_GBK" w:hAnsi="方正仿宋_GBK" w:eastAsia="方正仿宋_GBK" w:cs="方正仿宋_GBK"/>
          <w:bCs w:val="0"/>
          <w:sz w:val="24"/>
          <w:szCs w:val="22"/>
          <w:highlight w:val="none"/>
        </w:rPr>
        <w:t>知识产权</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_Toc6625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8</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_Toc7760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lang w:eastAsia="zh-CN"/>
        </w:rPr>
        <w:t>七</w:t>
      </w:r>
      <w:r>
        <w:rPr>
          <w:rFonts w:hint="eastAsia" w:ascii="方正仿宋_GBK" w:hAnsi="方正仿宋_GBK" w:eastAsia="方正仿宋_GBK" w:cs="方正仿宋_GBK"/>
          <w:bCs w:val="0"/>
          <w:sz w:val="24"/>
          <w:szCs w:val="22"/>
          <w:highlight w:val="none"/>
        </w:rPr>
        <w:t>、其他</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_Toc7760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8</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_Toc15097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lang w:val="en-US" w:eastAsia="zh-CN"/>
        </w:rPr>
        <w:t>第四篇  磋商程序及方法、评审标准、无效响应和采购终止</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_Toc15097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9</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ind w:left="498" w:leftChars="0" w:hanging="498" w:hangingChars="178"/>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lang w:val="en-US" w:eastAsia="zh-CN"/>
        </w:rPr>
        <w:t xml:space="preserve">    </w:t>
      </w: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_Toc26188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val="0"/>
          <w:kern w:val="2"/>
          <w:sz w:val="24"/>
          <w:szCs w:val="22"/>
          <w:highlight w:val="none"/>
          <w:lang w:val="en-US" w:eastAsia="zh-CN" w:bidi="ar-SA"/>
        </w:rPr>
        <w:t>一、磋商程序及方法</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_Toc26188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9</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ind w:left="498" w:leftChars="0" w:hanging="498" w:hangingChars="178"/>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lang w:val="en-US" w:eastAsia="zh-CN"/>
        </w:rPr>
        <w:t xml:space="preserve">    </w:t>
      </w: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_Toc8921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val="0"/>
          <w:kern w:val="2"/>
          <w:sz w:val="24"/>
          <w:szCs w:val="22"/>
          <w:highlight w:val="none"/>
          <w:lang w:val="en-US" w:eastAsia="zh-CN" w:bidi="ar-SA"/>
        </w:rPr>
        <w:t>二、评审标准</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_Toc8921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12</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ind w:left="0" w:leftChars="0" w:firstLine="559" w:firstLineChars="233"/>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_Toc10832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kern w:val="2"/>
          <w:sz w:val="24"/>
          <w:szCs w:val="22"/>
          <w:highlight w:val="none"/>
          <w:lang w:val="en-US" w:eastAsia="zh-CN" w:bidi="ar-SA"/>
        </w:rPr>
        <w:t>三、无效响应</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_Toc10832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13</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_Toc12934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rPr>
        <w:t>第五篇  供应商须知</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_Toc12934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15</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_Toc31813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一、磋商费用</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_Toc31813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15</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_Toc32081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二、竞争性磋商文件</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_Toc32081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15</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_Toc3845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三、磋商要求</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_Toc3845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15</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_Toc19539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四、成交供应商的确认和变更</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_Toc19539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_Toc27226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五、成交通知</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_Toc27226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_Toc18139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六、关于质疑和投诉</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_Toc18139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_Toc9286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lang w:val="en-US" w:eastAsia="zh-CN"/>
        </w:rPr>
        <w:t>七</w:t>
      </w:r>
      <w:r>
        <w:rPr>
          <w:rFonts w:hint="eastAsia" w:ascii="方正仿宋_GBK" w:hAnsi="方正仿宋_GBK" w:eastAsia="方正仿宋_GBK" w:cs="方正仿宋_GBK"/>
          <w:sz w:val="24"/>
          <w:szCs w:val="22"/>
          <w:highlight w:val="none"/>
        </w:rPr>
        <w:t>、签订合同</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_Toc9286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18</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_Toc12075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kern w:val="2"/>
          <w:sz w:val="28"/>
          <w:szCs w:val="32"/>
          <w:highlight w:val="none"/>
          <w:lang w:val="en-US" w:eastAsia="zh-CN" w:bidi="ar-SA"/>
        </w:rPr>
        <w:t>第六篇  采购合同</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_Toc12075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20</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18"/>
        </w:rPr>
      </w:pPr>
      <w:r>
        <w:rPr>
          <w:rFonts w:hint="eastAsia" w:ascii="方正仿宋_GBK" w:hAnsi="方正仿宋_GBK" w:eastAsia="方正仿宋_GBK" w:cs="方正仿宋_GBK"/>
          <w:color w:val="auto"/>
          <w:sz w:val="28"/>
          <w:szCs w:val="18"/>
        </w:rPr>
        <w:fldChar w:fldCharType="begin"/>
      </w:r>
      <w:r>
        <w:rPr>
          <w:rFonts w:hint="eastAsia" w:ascii="方正仿宋_GBK" w:hAnsi="方正仿宋_GBK" w:eastAsia="方正仿宋_GBK" w:cs="方正仿宋_GBK"/>
          <w:sz w:val="28"/>
          <w:szCs w:val="18"/>
        </w:rPr>
        <w:instrText xml:space="preserve"> HYPERLINK \l _Toc28990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bCs/>
          <w:sz w:val="28"/>
          <w:szCs w:val="32"/>
          <w:highlight w:val="none"/>
        </w:rPr>
        <w:t>第七篇  响应文件编制要求</w:t>
      </w:r>
      <w:r>
        <w:rPr>
          <w:rFonts w:hint="eastAsia" w:ascii="方正仿宋_GBK" w:hAnsi="方正仿宋_GBK" w:eastAsia="方正仿宋_GBK" w:cs="方正仿宋_GBK"/>
          <w:sz w:val="28"/>
          <w:szCs w:val="18"/>
        </w:rPr>
        <w:tab/>
      </w:r>
      <w:r>
        <w:rPr>
          <w:rFonts w:hint="eastAsia" w:ascii="方正仿宋_GBK" w:hAnsi="方正仿宋_GBK" w:eastAsia="方正仿宋_GBK" w:cs="方正仿宋_GBK"/>
          <w:sz w:val="28"/>
          <w:szCs w:val="18"/>
        </w:rPr>
        <w:fldChar w:fldCharType="begin"/>
      </w:r>
      <w:r>
        <w:rPr>
          <w:rFonts w:hint="eastAsia" w:ascii="方正仿宋_GBK" w:hAnsi="方正仿宋_GBK" w:eastAsia="方正仿宋_GBK" w:cs="方正仿宋_GBK"/>
          <w:sz w:val="28"/>
          <w:szCs w:val="18"/>
        </w:rPr>
        <w:instrText xml:space="preserve"> PAGEREF _Toc28990 \h </w:instrText>
      </w:r>
      <w:r>
        <w:rPr>
          <w:rFonts w:hint="eastAsia" w:ascii="方正仿宋_GBK" w:hAnsi="方正仿宋_GBK" w:eastAsia="方正仿宋_GBK" w:cs="方正仿宋_GBK"/>
          <w:sz w:val="28"/>
          <w:szCs w:val="18"/>
        </w:rPr>
        <w:fldChar w:fldCharType="separate"/>
      </w:r>
      <w:r>
        <w:rPr>
          <w:rFonts w:hint="eastAsia" w:ascii="方正仿宋_GBK" w:hAnsi="方正仿宋_GBK" w:eastAsia="方正仿宋_GBK" w:cs="方正仿宋_GBK"/>
          <w:sz w:val="28"/>
          <w:szCs w:val="18"/>
        </w:rPr>
        <w:t>21</w:t>
      </w:r>
      <w:r>
        <w:rPr>
          <w:rFonts w:hint="eastAsia" w:ascii="方正仿宋_GBK" w:hAnsi="方正仿宋_GBK" w:eastAsia="方正仿宋_GBK" w:cs="方正仿宋_GBK"/>
          <w:sz w:val="28"/>
          <w:szCs w:val="18"/>
        </w:rPr>
        <w:fldChar w:fldCharType="end"/>
      </w:r>
      <w:r>
        <w:rPr>
          <w:rFonts w:hint="eastAsia" w:ascii="方正仿宋_GBK" w:hAnsi="方正仿宋_GBK" w:eastAsia="方正仿宋_GBK" w:cs="方正仿宋_GBK"/>
          <w:color w:val="auto"/>
          <w:sz w:val="28"/>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_Toc24115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rPr>
        <w:t>一、经济部分</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_Toc24115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22</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_Toc11127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二、</w:t>
      </w:r>
      <w:r>
        <w:rPr>
          <w:rFonts w:hint="eastAsia" w:ascii="方正仿宋_GBK" w:hAnsi="方正仿宋_GBK" w:eastAsia="方正仿宋_GBK" w:cs="方正仿宋_GBK"/>
          <w:sz w:val="24"/>
          <w:szCs w:val="22"/>
          <w:highlight w:val="none"/>
          <w:lang w:eastAsia="zh-CN"/>
        </w:rPr>
        <w:t>技术</w:t>
      </w:r>
      <w:r>
        <w:rPr>
          <w:rFonts w:hint="eastAsia" w:ascii="方正仿宋_GBK" w:hAnsi="方正仿宋_GBK" w:eastAsia="方正仿宋_GBK" w:cs="方正仿宋_GBK"/>
          <w:sz w:val="24"/>
          <w:szCs w:val="22"/>
          <w:highlight w:val="none"/>
        </w:rPr>
        <w:t>部分</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_Toc11127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25</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_Toc15927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bCs w:val="0"/>
          <w:sz w:val="24"/>
          <w:szCs w:val="22"/>
          <w:highlight w:val="none"/>
        </w:rPr>
        <w:t>三、商务部分</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_Toc15927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27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_Toc12671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四、资格条件及其他</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_Toc12671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30</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pStyle w:val="4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18"/>
        </w:rPr>
      </w:pPr>
      <w:r>
        <w:rPr>
          <w:rFonts w:hint="eastAsia" w:ascii="方正仿宋_GBK" w:hAnsi="方正仿宋_GBK" w:eastAsia="方正仿宋_GBK" w:cs="方正仿宋_GBK"/>
          <w:color w:val="auto"/>
          <w:sz w:val="24"/>
          <w:szCs w:val="18"/>
        </w:rPr>
        <w:fldChar w:fldCharType="begin"/>
      </w:r>
      <w:r>
        <w:rPr>
          <w:rFonts w:hint="eastAsia" w:ascii="方正仿宋_GBK" w:hAnsi="方正仿宋_GBK" w:eastAsia="方正仿宋_GBK" w:cs="方正仿宋_GBK"/>
          <w:sz w:val="24"/>
          <w:szCs w:val="18"/>
        </w:rPr>
        <w:instrText xml:space="preserve"> HYPERLINK \l _Toc17276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22"/>
          <w:highlight w:val="none"/>
        </w:rPr>
        <w:t>五、其他应提供的资料</w:t>
      </w:r>
      <w:r>
        <w:rPr>
          <w:rFonts w:hint="eastAsia" w:ascii="方正仿宋_GBK" w:hAnsi="方正仿宋_GBK" w:eastAsia="方正仿宋_GBK" w:cs="方正仿宋_GBK"/>
          <w:sz w:val="24"/>
          <w:szCs w:val="18"/>
        </w:rPr>
        <w:tab/>
      </w:r>
      <w:r>
        <w:rPr>
          <w:rFonts w:hint="eastAsia" w:ascii="方正仿宋_GBK" w:hAnsi="方正仿宋_GBK" w:eastAsia="方正仿宋_GBK" w:cs="方正仿宋_GBK"/>
          <w:sz w:val="24"/>
          <w:szCs w:val="18"/>
        </w:rPr>
        <w:fldChar w:fldCharType="begin"/>
      </w:r>
      <w:r>
        <w:rPr>
          <w:rFonts w:hint="eastAsia" w:ascii="方正仿宋_GBK" w:hAnsi="方正仿宋_GBK" w:eastAsia="方正仿宋_GBK" w:cs="方正仿宋_GBK"/>
          <w:sz w:val="24"/>
          <w:szCs w:val="18"/>
        </w:rPr>
        <w:instrText xml:space="preserve"> PAGEREF _Toc17276 \h </w:instrText>
      </w:r>
      <w:r>
        <w:rPr>
          <w:rFonts w:hint="eastAsia" w:ascii="方正仿宋_GBK" w:hAnsi="方正仿宋_GBK" w:eastAsia="方正仿宋_GBK" w:cs="方正仿宋_GBK"/>
          <w:sz w:val="24"/>
          <w:szCs w:val="18"/>
        </w:rPr>
        <w:fldChar w:fldCharType="separate"/>
      </w:r>
      <w:r>
        <w:rPr>
          <w:rFonts w:hint="eastAsia" w:ascii="方正仿宋_GBK" w:hAnsi="方正仿宋_GBK" w:eastAsia="方正仿宋_GBK" w:cs="方正仿宋_GBK"/>
          <w:sz w:val="24"/>
          <w:szCs w:val="18"/>
        </w:rPr>
        <w:t>37</w:t>
      </w:r>
      <w:r>
        <w:rPr>
          <w:rFonts w:hint="eastAsia" w:ascii="方正仿宋_GBK" w:hAnsi="方正仿宋_GBK" w:eastAsia="方正仿宋_GBK" w:cs="方正仿宋_GBK"/>
          <w:sz w:val="24"/>
          <w:szCs w:val="18"/>
        </w:rPr>
        <w:fldChar w:fldCharType="end"/>
      </w:r>
      <w:r>
        <w:rPr>
          <w:rFonts w:hint="eastAsia" w:ascii="方正仿宋_GBK" w:hAnsi="方正仿宋_GBK" w:eastAsia="方正仿宋_GBK" w:cs="方正仿宋_GBK"/>
          <w:color w:val="auto"/>
          <w:sz w:val="24"/>
          <w:szCs w:val="18"/>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color w:val="auto"/>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color w:val="auto"/>
          <w:sz w:val="24"/>
          <w:szCs w:val="18"/>
        </w:rPr>
        <w:fldChar w:fldCharType="end"/>
      </w:r>
    </w:p>
    <w:p>
      <w:pPr>
        <w:spacing w:line="360" w:lineRule="auto"/>
        <w:jc w:val="center"/>
        <w:outlineLvl w:val="0"/>
        <w:rPr>
          <w:rFonts w:hint="eastAsia" w:ascii="方正仿宋_GBK" w:hAnsi="方正仿宋_GBK" w:eastAsia="方正仿宋_GBK" w:cs="方正仿宋_GBK"/>
          <w:b/>
          <w:bCs/>
          <w:color w:val="auto"/>
          <w:sz w:val="36"/>
          <w:szCs w:val="36"/>
          <w:highlight w:val="none"/>
        </w:rPr>
      </w:pPr>
      <w:bookmarkStart w:id="0" w:name="_Toc2051"/>
      <w:bookmarkStart w:id="1" w:name="_Toc21017"/>
      <w:bookmarkStart w:id="2" w:name="_Toc11641050"/>
      <w:bookmarkStart w:id="3" w:name="_Toc12789052"/>
      <w:r>
        <w:rPr>
          <w:rFonts w:hint="eastAsia" w:ascii="方正仿宋_GBK" w:hAnsi="方正仿宋_GBK" w:eastAsia="方正仿宋_GBK" w:cs="方正仿宋_GBK"/>
          <w:b/>
          <w:bCs/>
          <w:color w:val="auto"/>
          <w:sz w:val="36"/>
          <w:szCs w:val="36"/>
          <w:highlight w:val="none"/>
        </w:rPr>
        <w:t>第一篇  采购邀请书</w:t>
      </w:r>
      <w:bookmarkEnd w:id="0"/>
      <w:bookmarkEnd w:id="1"/>
      <w:bookmarkEnd w:id="2"/>
      <w:bookmarkEnd w:id="3"/>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重庆两山建设开发有限公司</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u w:val="single"/>
          <w:lang w:eastAsia="zh-CN"/>
        </w:rPr>
        <w:t>微电园标准厂房8号楼新装变压器工程</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进行竞争性磋商采购。欢迎有资格的供应商前来参与磋商。</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4" w:name="_Toc313893526"/>
      <w:bookmarkStart w:id="5" w:name="_Toc6176"/>
      <w:bookmarkStart w:id="6" w:name="_Toc12745"/>
      <w:bookmarkStart w:id="7" w:name="_Toc7836"/>
      <w:bookmarkStart w:id="8" w:name="_Toc317775175"/>
      <w:r>
        <w:rPr>
          <w:rFonts w:hint="eastAsia" w:ascii="方正仿宋_GBK" w:hAnsi="方正仿宋_GBK" w:eastAsia="方正仿宋_GBK" w:cs="方正仿宋_GBK"/>
          <w:color w:val="auto"/>
          <w:sz w:val="24"/>
          <w:szCs w:val="24"/>
          <w:highlight w:val="none"/>
        </w:rPr>
        <w:t>一、竞争性磋商内容</w:t>
      </w:r>
      <w:bookmarkEnd w:id="4"/>
      <w:bookmarkEnd w:id="5"/>
      <w:bookmarkEnd w:id="6"/>
      <w:bookmarkEnd w:id="7"/>
      <w:bookmarkEnd w:id="8"/>
    </w:p>
    <w:tbl>
      <w:tblPr>
        <w:tblStyle w:val="58"/>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1568"/>
        <w:gridCol w:w="1650"/>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43"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方正仿宋_GBK" w:hAnsi="方正仿宋_GBK" w:eastAsia="方正仿宋_GBK" w:cs="方正仿宋_GBK"/>
                <w:b/>
                <w:bCs/>
                <w:color w:val="auto"/>
                <w:kern w:val="0"/>
                <w:sz w:val="21"/>
                <w:szCs w:val="24"/>
                <w:highlight w:val="none"/>
              </w:rPr>
            </w:pPr>
            <w:r>
              <w:rPr>
                <w:rFonts w:hint="eastAsia" w:ascii="方正仿宋_GBK" w:hAnsi="方正仿宋_GBK" w:eastAsia="方正仿宋_GBK" w:cs="方正仿宋_GBK"/>
                <w:b/>
                <w:bCs/>
                <w:color w:val="auto"/>
                <w:kern w:val="0"/>
                <w:sz w:val="21"/>
                <w:szCs w:val="24"/>
                <w:highlight w:val="none"/>
              </w:rPr>
              <w:t>项目名称</w:t>
            </w:r>
          </w:p>
        </w:tc>
        <w:tc>
          <w:tcPr>
            <w:tcW w:w="1568"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方正仿宋_GBK" w:hAnsi="方正仿宋_GBK" w:eastAsia="方正仿宋_GBK" w:cs="方正仿宋_GBK"/>
                <w:b/>
                <w:bCs/>
                <w:color w:val="auto"/>
                <w:kern w:val="0"/>
                <w:sz w:val="21"/>
                <w:szCs w:val="24"/>
                <w:highlight w:val="none"/>
              </w:rPr>
            </w:pPr>
            <w:r>
              <w:rPr>
                <w:rFonts w:hint="eastAsia" w:ascii="方正仿宋_GBK" w:hAnsi="方正仿宋_GBK" w:eastAsia="方正仿宋_GBK" w:cs="方正仿宋_GBK"/>
                <w:b/>
                <w:bCs/>
                <w:color w:val="auto"/>
                <w:kern w:val="0"/>
                <w:sz w:val="21"/>
                <w:szCs w:val="24"/>
                <w:highlight w:val="none"/>
                <w:lang w:eastAsia="zh-CN"/>
              </w:rPr>
              <w:t>最高限价</w:t>
            </w:r>
            <w:r>
              <w:rPr>
                <w:rFonts w:hint="eastAsia" w:ascii="方正仿宋_GBK" w:hAnsi="方正仿宋_GBK" w:eastAsia="方正仿宋_GBK" w:cs="方正仿宋_GBK"/>
                <w:b/>
                <w:bCs/>
                <w:color w:val="auto"/>
                <w:kern w:val="0"/>
                <w:sz w:val="21"/>
                <w:szCs w:val="24"/>
                <w:highlight w:val="none"/>
              </w:rPr>
              <w:t>（元）</w:t>
            </w:r>
          </w:p>
        </w:tc>
        <w:tc>
          <w:tcPr>
            <w:tcW w:w="1650" w:type="dxa"/>
            <w:tcBorders>
              <w:top w:val="single" w:color="auto" w:sz="4" w:space="0"/>
              <w:left w:val="single" w:color="auto" w:sz="4" w:space="0"/>
              <w:right w:val="single" w:color="auto" w:sz="4" w:space="0"/>
            </w:tcBorders>
            <w:noWrap w:val="0"/>
            <w:vAlign w:val="center"/>
          </w:tcPr>
          <w:p>
            <w:pPr>
              <w:spacing w:line="240" w:lineRule="auto"/>
              <w:jc w:val="center"/>
              <w:outlineLvl w:val="9"/>
              <w:rPr>
                <w:rFonts w:hint="eastAsia" w:ascii="方正仿宋_GBK" w:hAnsi="方正仿宋_GBK" w:eastAsia="方正仿宋_GBK" w:cs="方正仿宋_GBK"/>
                <w:b/>
                <w:bCs/>
                <w:color w:val="auto"/>
                <w:kern w:val="0"/>
                <w:sz w:val="21"/>
                <w:szCs w:val="24"/>
                <w:highlight w:val="none"/>
              </w:rPr>
            </w:pPr>
            <w:r>
              <w:rPr>
                <w:rFonts w:hint="eastAsia" w:ascii="方正仿宋_GBK" w:hAnsi="方正仿宋_GBK" w:eastAsia="方正仿宋_GBK" w:cs="方正仿宋_GBK"/>
                <w:b/>
                <w:bCs/>
                <w:color w:val="auto"/>
                <w:kern w:val="0"/>
                <w:sz w:val="21"/>
                <w:szCs w:val="24"/>
                <w:highlight w:val="none"/>
              </w:rPr>
              <w:t>成交供应商数量（名）</w:t>
            </w:r>
          </w:p>
        </w:tc>
        <w:tc>
          <w:tcPr>
            <w:tcW w:w="2248" w:type="dxa"/>
            <w:tcBorders>
              <w:top w:val="single" w:color="auto" w:sz="4" w:space="0"/>
              <w:left w:val="single" w:color="auto" w:sz="4" w:space="0"/>
              <w:right w:val="single" w:color="auto" w:sz="4" w:space="0"/>
            </w:tcBorders>
            <w:noWrap w:val="0"/>
            <w:vAlign w:val="center"/>
          </w:tcPr>
          <w:p>
            <w:pPr>
              <w:spacing w:line="240" w:lineRule="auto"/>
              <w:jc w:val="center"/>
              <w:outlineLvl w:val="9"/>
              <w:rPr>
                <w:rFonts w:hint="eastAsia" w:ascii="方正仿宋_GBK" w:hAnsi="方正仿宋_GBK" w:eastAsia="方正仿宋_GBK" w:cs="方正仿宋_GBK"/>
                <w:b/>
                <w:bCs/>
                <w:color w:val="auto"/>
                <w:kern w:val="0"/>
                <w:sz w:val="21"/>
                <w:szCs w:val="24"/>
                <w:highlight w:val="none"/>
              </w:rPr>
            </w:pPr>
            <w:r>
              <w:rPr>
                <w:rFonts w:hint="eastAsia" w:ascii="方正仿宋_GBK" w:hAnsi="方正仿宋_GBK" w:eastAsia="方正仿宋_GBK" w:cs="方正仿宋_GBK"/>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43" w:type="dxa"/>
            <w:tcBorders>
              <w:top w:val="single" w:color="auto" w:sz="4" w:space="0"/>
              <w:left w:val="single" w:color="auto" w:sz="4" w:space="0"/>
              <w:right w:val="single" w:color="auto" w:sz="4" w:space="0"/>
            </w:tcBorders>
            <w:noWrap w:val="0"/>
            <w:vAlign w:val="center"/>
          </w:tcPr>
          <w:p>
            <w:pPr>
              <w:snapToGrid w:val="0"/>
              <w:spacing w:line="360" w:lineRule="auto"/>
              <w:outlineLvl w:val="9"/>
              <w:rPr>
                <w:rFonts w:hint="eastAsia" w:ascii="方正仿宋_GBK" w:hAnsi="方正仿宋_GBK" w:eastAsia="方正仿宋_GBK" w:cs="方正仿宋_GBK"/>
                <w:color w:val="auto"/>
                <w:sz w:val="24"/>
                <w:szCs w:val="24"/>
                <w:highlight w:val="none"/>
                <w:lang w:eastAsia="zh-CN"/>
              </w:rPr>
            </w:pPr>
            <w:bookmarkStart w:id="9" w:name="_Hlk344477914"/>
            <w:r>
              <w:rPr>
                <w:rFonts w:hint="eastAsia" w:ascii="方正仿宋_GBK" w:hAnsi="方正仿宋_GBK" w:eastAsia="方正仿宋_GBK" w:cs="方正仿宋_GBK"/>
                <w:color w:val="auto"/>
                <w:sz w:val="24"/>
                <w:szCs w:val="24"/>
                <w:highlight w:val="none"/>
                <w:lang w:eastAsia="zh-CN"/>
              </w:rPr>
              <w:t>微电园标准厂房8号楼新装变压器工程</w:t>
            </w:r>
          </w:p>
        </w:tc>
        <w:tc>
          <w:tcPr>
            <w:tcW w:w="1568"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487914.97</w:t>
            </w:r>
          </w:p>
        </w:tc>
        <w:tc>
          <w:tcPr>
            <w:tcW w:w="1650"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w:t>
            </w:r>
          </w:p>
        </w:tc>
        <w:tc>
          <w:tcPr>
            <w:tcW w:w="2248"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供应商总报价不得超过总价最高限价的95%。</w:t>
            </w:r>
          </w:p>
        </w:tc>
      </w:tr>
      <w:bookmarkEnd w:id="9"/>
    </w:tbl>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10" w:name="_Toc2025"/>
      <w:bookmarkStart w:id="11" w:name="_Toc20843"/>
      <w:bookmarkStart w:id="12" w:name="_Toc27305"/>
      <w:bookmarkStart w:id="13" w:name="_Toc373860293"/>
      <w:bookmarkStart w:id="14" w:name="_Toc317775178"/>
      <w:r>
        <w:rPr>
          <w:rFonts w:hint="eastAsia" w:ascii="方正仿宋_GBK" w:hAnsi="方正仿宋_GBK" w:eastAsia="方正仿宋_GBK" w:cs="方正仿宋_GBK"/>
          <w:color w:val="auto"/>
          <w:sz w:val="24"/>
          <w:szCs w:val="24"/>
          <w:highlight w:val="none"/>
        </w:rPr>
        <w:t>二、资金来源</w:t>
      </w:r>
      <w:bookmarkEnd w:id="10"/>
      <w:bookmarkEnd w:id="11"/>
      <w:bookmarkEnd w:id="12"/>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业主自筹</w:t>
      </w:r>
      <w:r>
        <w:rPr>
          <w:rFonts w:hint="eastAsia" w:ascii="方正仿宋_GBK" w:hAnsi="方正仿宋_GBK" w:eastAsia="方正仿宋_GBK" w:cs="方正仿宋_GBK"/>
          <w:color w:val="auto"/>
          <w:sz w:val="24"/>
          <w:szCs w:val="24"/>
          <w:highlight w:val="none"/>
        </w:rPr>
        <w:t>。</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15" w:name="_Toc817"/>
      <w:bookmarkStart w:id="16" w:name="_Toc30329"/>
      <w:bookmarkStart w:id="17" w:name="_Toc15200"/>
      <w:r>
        <w:rPr>
          <w:rFonts w:hint="eastAsia" w:ascii="方正仿宋_GBK" w:hAnsi="方正仿宋_GBK" w:eastAsia="方正仿宋_GBK" w:cs="方正仿宋_GBK"/>
          <w:color w:val="auto"/>
          <w:sz w:val="24"/>
          <w:szCs w:val="24"/>
          <w:highlight w:val="none"/>
        </w:rPr>
        <w:t>三、供应商资格条件</w:t>
      </w:r>
      <w:bookmarkEnd w:id="15"/>
      <w:bookmarkEnd w:id="16"/>
      <w:bookmarkEnd w:id="17"/>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合格的供应商应首先符合基本资格条件，同时符合根据该项目特殊要求设置的特定资格条件。</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（一）基本资格条件</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3、具有履行合同所必需的设备和专业技术能力；</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4、有依法缴纳税收和社会保障资金的良好记录；</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5、参加采购活动前三年内，在经营活动中没有重大违法记录；</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（二）特定资格条件</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u w:val="none"/>
          <w:lang w:val="en-US" w:eastAsia="zh-CN"/>
        </w:rPr>
      </w:pPr>
      <w:r>
        <w:rPr>
          <w:rFonts w:hint="eastAsia" w:ascii="方正仿宋_GBK" w:hAnsi="方正仿宋_GBK" w:eastAsia="方正仿宋_GBK" w:cs="方正仿宋_GBK"/>
          <w:color w:val="auto"/>
          <w:sz w:val="24"/>
          <w:szCs w:val="24"/>
          <w:highlight w:val="none"/>
          <w:u w:val="none"/>
          <w:lang w:val="en-US" w:eastAsia="zh-CN"/>
        </w:rPr>
        <w:t>1、供应商须具备有效的建设行政主管部门颁发的电力工程施工总承包三级及以上资质或输变电工程专业承包三级及以上资质；（</w:t>
      </w:r>
      <w:r>
        <w:rPr>
          <w:rFonts w:hint="eastAsia" w:ascii="方正仿宋_GBK" w:hAnsi="方正仿宋_GBK" w:eastAsia="方正仿宋_GBK" w:cs="方正仿宋_GBK"/>
          <w:color w:val="auto"/>
          <w:sz w:val="24"/>
          <w:szCs w:val="24"/>
          <w:highlight w:val="none"/>
          <w:u w:val="none"/>
        </w:rPr>
        <w:t>须在</w:t>
      </w:r>
      <w:r>
        <w:rPr>
          <w:rFonts w:hint="eastAsia" w:ascii="方正仿宋_GBK" w:hAnsi="方正仿宋_GBK" w:eastAsia="方正仿宋_GBK" w:cs="方正仿宋_GBK"/>
          <w:color w:val="auto"/>
          <w:sz w:val="24"/>
          <w:szCs w:val="24"/>
          <w:highlight w:val="none"/>
          <w:u w:val="none"/>
          <w:lang w:eastAsia="zh-CN"/>
        </w:rPr>
        <w:t>响应文件中</w:t>
      </w:r>
      <w:r>
        <w:rPr>
          <w:rFonts w:hint="eastAsia" w:ascii="方正仿宋_GBK" w:hAnsi="方正仿宋_GBK" w:eastAsia="方正仿宋_GBK" w:cs="方正仿宋_GBK"/>
          <w:color w:val="auto"/>
          <w:sz w:val="24"/>
          <w:szCs w:val="24"/>
          <w:highlight w:val="none"/>
          <w:u w:val="none"/>
        </w:rPr>
        <w:t>提供有效的带二维码标识的资质证书</w:t>
      </w:r>
      <w:r>
        <w:rPr>
          <w:rFonts w:hint="eastAsia" w:ascii="方正仿宋_GBK" w:hAnsi="方正仿宋_GBK" w:eastAsia="方正仿宋_GBK" w:cs="方正仿宋_GBK"/>
          <w:color w:val="auto"/>
          <w:sz w:val="24"/>
          <w:szCs w:val="24"/>
          <w:highlight w:val="none"/>
          <w:u w:val="none"/>
          <w:lang w:eastAsia="zh-CN"/>
        </w:rPr>
        <w:t>复印件加盖供应商公章</w:t>
      </w:r>
      <w:r>
        <w:rPr>
          <w:rFonts w:hint="eastAsia" w:ascii="方正仿宋_GBK" w:hAnsi="方正仿宋_GBK" w:eastAsia="方正仿宋_GBK" w:cs="方正仿宋_GBK"/>
          <w:color w:val="auto"/>
          <w:sz w:val="24"/>
          <w:szCs w:val="24"/>
          <w:highlight w:val="none"/>
          <w:u w:val="none"/>
          <w:lang w:val="en-US" w:eastAsia="zh-CN"/>
        </w:rPr>
        <w:t>）</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none"/>
          <w:lang w:val="en-US" w:eastAsia="zh-CN"/>
        </w:rPr>
        <w:t>2、供应商须具备有效的国家能源局（原国家电监委）有关部门颁发的四级及以上承装（修、试）电力设施许可证</w:t>
      </w:r>
      <w:r>
        <w:rPr>
          <w:rFonts w:hint="eastAsia" w:ascii="方正仿宋_GBK" w:hAnsi="方正仿宋_GBK" w:eastAsia="方正仿宋_GBK" w:cs="方正仿宋_GBK"/>
          <w:color w:val="auto"/>
          <w:sz w:val="24"/>
          <w:szCs w:val="24"/>
          <w:highlight w:val="none"/>
          <w:u w:val="none"/>
        </w:rPr>
        <w:t>；并在人员、</w:t>
      </w:r>
      <w:r>
        <w:rPr>
          <w:rFonts w:hint="eastAsia" w:ascii="方正仿宋_GBK" w:hAnsi="方正仿宋_GBK" w:eastAsia="方正仿宋_GBK" w:cs="方正仿宋_GBK"/>
          <w:color w:val="auto"/>
          <w:sz w:val="24"/>
          <w:szCs w:val="24"/>
          <w:highlight w:val="none"/>
        </w:rPr>
        <w:t>设备、资金等方面具备相应的</w:t>
      </w:r>
      <w:r>
        <w:rPr>
          <w:rFonts w:hint="eastAsia" w:ascii="方正仿宋_GBK" w:hAnsi="方正仿宋_GBK" w:eastAsia="方正仿宋_GBK" w:cs="方正仿宋_GBK"/>
          <w:color w:val="auto"/>
          <w:sz w:val="24"/>
          <w:szCs w:val="24"/>
          <w:highlight w:val="none"/>
          <w:lang w:eastAsia="zh-CN"/>
        </w:rPr>
        <w:t>施工</w:t>
      </w:r>
      <w:r>
        <w:rPr>
          <w:rFonts w:hint="eastAsia" w:ascii="方正仿宋_GBK" w:hAnsi="方正仿宋_GBK" w:eastAsia="方正仿宋_GBK" w:cs="方正仿宋_GBK"/>
          <w:color w:val="auto"/>
          <w:sz w:val="24"/>
          <w:szCs w:val="24"/>
          <w:highlight w:val="none"/>
        </w:rPr>
        <w:t>能力。</w:t>
      </w:r>
      <w:r>
        <w:rPr>
          <w:rFonts w:hint="eastAsia" w:ascii="方正仿宋_GBK" w:hAnsi="方正仿宋_GBK" w:eastAsia="方正仿宋_GBK" w:cs="方正仿宋_GBK"/>
          <w:color w:val="auto"/>
          <w:sz w:val="24"/>
          <w:szCs w:val="24"/>
          <w:highlight w:val="none"/>
          <w:lang w:eastAsia="zh-CN"/>
        </w:rPr>
        <w:t>（须在响应文件资格审查部分提供有效的证书复印件加盖供应商公章。）</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供应商须具备建设行政主管部门颁发的有效的安全生产许可证，企业主要负责人、拟担任该项目项目经理和专职安全生产管理人员（即“三类人员”）具备相应的由建设行政主管部门颁发的有效的安全生产考核合格证书。（提供有效的安全生产许可证及“三类人员”安全生产考核合格证书复印件加盖供应商公章。）</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重庆市市外施工企业须满足“渝建发〔2016〕22号”文规定，提供入渝重庆市外建筑企业在投标前必须纳入市城乡建委“市外建筑施工企业入渝信息库”。市外施工企业的原分支机构入渝登记备案证在有效期内的提供有效的分支机构入渝登记备案证，并在开标时出示分支机构入渝登记备案证原件；市外施工企业原分支机构入渝登记备案证失效的和新入渝的市外施工企业应当提供在“重庆建设工程信息网”上查询结果的截图，并加盖单位鲜章。市外建筑施工企业在本市参与工程项目招投标时，该项目所配备的项目经理、技术负责人、主要管理人员应当是纳入“市外建筑施工企业入渝信息库”的人员。</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5、分公司、办事处等分支机构参加磋商的，须提供总公司授权</w:t>
      </w:r>
      <w:r>
        <w:rPr>
          <w:rFonts w:hint="eastAsia" w:ascii="方正仿宋_GBK" w:hAnsi="方正仿宋_GBK" w:eastAsia="方正仿宋_GBK" w:cs="方正仿宋_GBK"/>
          <w:color w:val="auto"/>
          <w:sz w:val="24"/>
          <w:szCs w:val="24"/>
          <w:highlight w:val="none"/>
        </w:rPr>
        <w:t>。</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18" w:name="_Toc12020"/>
      <w:bookmarkStart w:id="19" w:name="_Toc20285"/>
      <w:bookmarkStart w:id="20" w:name="_Toc26015"/>
      <w:r>
        <w:rPr>
          <w:rFonts w:hint="eastAsia" w:ascii="方正仿宋_GBK" w:hAnsi="方正仿宋_GBK" w:eastAsia="方正仿宋_GBK" w:cs="方正仿宋_GBK"/>
          <w:color w:val="auto"/>
          <w:sz w:val="24"/>
          <w:szCs w:val="24"/>
          <w:highlight w:val="none"/>
        </w:rPr>
        <w:t>四、磋商有关说明</w:t>
      </w:r>
      <w:bookmarkEnd w:id="13"/>
      <w:bookmarkEnd w:id="18"/>
      <w:bookmarkEnd w:id="19"/>
      <w:bookmarkEnd w:id="20"/>
    </w:p>
    <w:bookmarkEnd w:id="14"/>
    <w:p>
      <w:pPr>
        <w:widowControl/>
        <w:shd w:val="clear" w:color="auto" w:fill="FFFFFF"/>
        <w:spacing w:after="180" w:line="420" w:lineRule="atLeas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一</w:t>
      </w:r>
      <w:r>
        <w:rPr>
          <w:rFonts w:hint="eastAsia" w:ascii="方正仿宋_GBK" w:hAnsi="方正仿宋_GBK" w:eastAsia="方正仿宋_GBK" w:cs="方正仿宋_GBK"/>
          <w:color w:val="auto"/>
          <w:sz w:val="24"/>
          <w:szCs w:val="24"/>
          <w:highlight w:val="none"/>
        </w:rPr>
        <w:t>）磋商文件获取方式：</w:t>
      </w:r>
      <w:r>
        <w:rPr>
          <w:rFonts w:hint="eastAsia" w:ascii="方正仿宋_GBK" w:hAnsi="方正仿宋_GBK" w:eastAsia="方正仿宋_GBK" w:cs="方正仿宋_GBK"/>
          <w:color w:val="auto"/>
          <w:sz w:val="24"/>
          <w:szCs w:val="24"/>
          <w:highlight w:val="none"/>
          <w:lang w:val="en-US" w:eastAsia="zh-CN"/>
        </w:rPr>
        <w:t>磋商文件获取方式：凡有意参加磋商的供应商，请在重庆市璧山区人民政府网下载本项目磋商文件以及补遗文件等磋商前公布的所有项目资料。</w:t>
      </w:r>
    </w:p>
    <w:p>
      <w:pPr>
        <w:widowControl/>
        <w:shd w:val="clear" w:color="auto" w:fill="FFFFFF"/>
        <w:spacing w:after="180" w:line="420" w:lineRule="atLeast"/>
        <w:ind w:firstLine="48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（二）磋商文件公告期限：自磋商公告发布之日</w:t>
      </w:r>
      <w:bookmarkStart w:id="137" w:name="_GoBack"/>
      <w:bookmarkEnd w:id="137"/>
      <w:r>
        <w:rPr>
          <w:rFonts w:hint="eastAsia" w:ascii="方正仿宋_GBK" w:hAnsi="方正仿宋_GBK" w:eastAsia="方正仿宋_GBK" w:cs="方正仿宋_GBK"/>
          <w:color w:val="auto"/>
          <w:sz w:val="24"/>
          <w:szCs w:val="24"/>
          <w:highlight w:val="none"/>
          <w:lang w:val="en-US" w:eastAsia="zh-CN"/>
        </w:rPr>
        <w:t>起三个工作日。</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rPr>
        <w:t>）递交响应文件地点：</w:t>
      </w:r>
      <w:r>
        <w:rPr>
          <w:rFonts w:hint="eastAsia" w:ascii="方正仿宋_GBK" w:hAnsi="方正仿宋_GBK" w:eastAsia="方正仿宋_GBK" w:cs="方正仿宋_GBK"/>
          <w:color w:val="auto"/>
          <w:sz w:val="24"/>
          <w:szCs w:val="24"/>
          <w:highlight w:val="none"/>
          <w:lang w:eastAsia="zh-CN"/>
        </w:rPr>
        <w:t>重庆两山建设开发有限公司</w:t>
      </w:r>
      <w:r>
        <w:rPr>
          <w:rFonts w:hint="eastAsia" w:ascii="方正仿宋_GBK" w:hAnsi="方正仿宋_GBK" w:eastAsia="方正仿宋_GBK" w:cs="方正仿宋_GBK"/>
          <w:color w:val="auto"/>
          <w:sz w:val="24"/>
          <w:szCs w:val="24"/>
          <w:highlight w:val="none"/>
        </w:rPr>
        <w:t>会议室</w:t>
      </w:r>
      <w:r>
        <w:rPr>
          <w:rFonts w:hint="eastAsia" w:ascii="方正仿宋_GBK" w:hAnsi="方正仿宋_GBK" w:eastAsia="方正仿宋_GBK" w:cs="方正仿宋_GBK"/>
          <w:color w:val="auto"/>
          <w:sz w:val="24"/>
          <w:szCs w:val="24"/>
          <w:highlight w:val="none"/>
          <w:lang w:eastAsia="zh-CN"/>
        </w:rPr>
        <w:t>。</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五</w:t>
      </w:r>
      <w:r>
        <w:rPr>
          <w:rFonts w:hint="eastAsia" w:ascii="方正仿宋_GBK" w:hAnsi="方正仿宋_GBK" w:eastAsia="方正仿宋_GBK" w:cs="方正仿宋_GBK"/>
          <w:color w:val="auto"/>
          <w:sz w:val="24"/>
          <w:szCs w:val="24"/>
          <w:highlight w:val="none"/>
        </w:rPr>
        <w:t>）响应文件递交开始时间：202</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日北京时间</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0。</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六</w:t>
      </w:r>
      <w:r>
        <w:rPr>
          <w:rFonts w:hint="eastAsia" w:ascii="方正仿宋_GBK" w:hAnsi="方正仿宋_GBK" w:eastAsia="方正仿宋_GBK" w:cs="方正仿宋_GBK"/>
          <w:color w:val="auto"/>
          <w:sz w:val="24"/>
          <w:szCs w:val="24"/>
          <w:highlight w:val="none"/>
        </w:rPr>
        <w:t>）响应文件递交截止时间：202</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日北京时间</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w:t>
      </w:r>
    </w:p>
    <w:p>
      <w:pPr>
        <w:spacing w:line="360" w:lineRule="auto"/>
        <w:ind w:firstLine="480" w:firstLineChars="200"/>
        <w:outlineLvl w:val="9"/>
        <w:rPr>
          <w:rFonts w:hint="eastAsia" w:ascii="方正仿宋_GBK" w:hAnsi="方正仿宋_GBK" w:eastAsia="方正仿宋_GBK" w:cs="方正仿宋_GBK"/>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七</w:t>
      </w:r>
      <w:r>
        <w:rPr>
          <w:rFonts w:hint="eastAsia" w:ascii="方正仿宋_GBK" w:hAnsi="方正仿宋_GBK" w:eastAsia="方正仿宋_GBK" w:cs="方正仿宋_GBK"/>
          <w:color w:val="auto"/>
          <w:sz w:val="24"/>
          <w:szCs w:val="24"/>
          <w:highlight w:val="none"/>
        </w:rPr>
        <w:t>）磋商开始时间：202</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日北京时间1</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21" w:name="_Toc13446"/>
      <w:bookmarkStart w:id="22" w:name="_Toc15302"/>
      <w:bookmarkStart w:id="23" w:name="_Toc9985"/>
      <w:r>
        <w:rPr>
          <w:rFonts w:hint="eastAsia" w:ascii="方正仿宋_GBK" w:hAnsi="方正仿宋_GBK" w:eastAsia="方正仿宋_GBK" w:cs="方正仿宋_GBK"/>
          <w:color w:val="auto"/>
          <w:sz w:val="24"/>
          <w:szCs w:val="24"/>
          <w:highlight w:val="none"/>
          <w:lang w:val="en-US" w:eastAsia="zh-CN"/>
        </w:rPr>
        <w:t>五</w:t>
      </w:r>
      <w:r>
        <w:rPr>
          <w:rFonts w:hint="eastAsia" w:ascii="方正仿宋_GBK" w:hAnsi="方正仿宋_GBK" w:eastAsia="方正仿宋_GBK" w:cs="方正仿宋_GBK"/>
          <w:color w:val="auto"/>
          <w:sz w:val="24"/>
          <w:szCs w:val="24"/>
          <w:highlight w:val="none"/>
        </w:rPr>
        <w:t>、其它有关规定</w:t>
      </w:r>
      <w:bookmarkEnd w:id="21"/>
      <w:bookmarkEnd w:id="22"/>
      <w:bookmarkEnd w:id="23"/>
    </w:p>
    <w:p>
      <w:pPr>
        <w:snapToGrid w:val="0"/>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（一）单位负责人为同一人或者存在直接控股、管理关系的不同供应商，不得参加同一合同项下的采购活动，否则均为无效响应。</w:t>
      </w:r>
    </w:p>
    <w:p>
      <w:pPr>
        <w:snapToGrid w:val="0"/>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（二）为采购项目提供整体设计、规范编制或者项目管理、监理、检测等服务的供应商，不得再参加该采购项目的其他采购活动，否则均为无效响应。</w:t>
      </w:r>
    </w:p>
    <w:p>
      <w:pPr>
        <w:snapToGrid w:val="0"/>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（三）本项目的补遗文件（如果有）一律在</w:t>
      </w:r>
      <w:r>
        <w:rPr>
          <w:rFonts w:hint="eastAsia" w:ascii="方正仿宋_GBK" w:hAnsi="方正仿宋_GBK" w:eastAsia="方正仿宋_GBK" w:cs="方正仿宋_GBK"/>
          <w:color w:val="auto"/>
          <w:sz w:val="24"/>
          <w:szCs w:val="24"/>
          <w:highlight w:val="none"/>
          <w:u w:val="none"/>
          <w:lang w:eastAsia="zh-CN"/>
        </w:rPr>
        <w:t>重庆市璧山区人民政府网</w:t>
      </w:r>
      <w:r>
        <w:rPr>
          <w:rFonts w:hint="eastAsia" w:ascii="方正仿宋_GBK" w:hAnsi="方正仿宋_GBK" w:eastAsia="方正仿宋_GBK" w:cs="方正仿宋_GBK"/>
          <w:color w:val="auto"/>
          <w:sz w:val="24"/>
          <w:szCs w:val="24"/>
          <w:highlight w:val="none"/>
        </w:rPr>
        <w:t>上发布，请各供应商注意下载；无论供应商下载与否，均视同供应商已知晓本项目补遗文件（如果有）的内容。</w:t>
      </w:r>
    </w:p>
    <w:p>
      <w:pPr>
        <w:snapToGrid w:val="0"/>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（四）超过响应文件截止时间递交的响应文件，恕不接收。</w:t>
      </w:r>
    </w:p>
    <w:p>
      <w:pPr>
        <w:snapToGrid w:val="0"/>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五</w:t>
      </w:r>
      <w:r>
        <w:rPr>
          <w:rFonts w:hint="eastAsia" w:ascii="方正仿宋_GBK" w:hAnsi="方正仿宋_GBK" w:eastAsia="方正仿宋_GBK" w:cs="方正仿宋_GBK"/>
          <w:color w:val="auto"/>
          <w:sz w:val="24"/>
          <w:szCs w:val="24"/>
          <w:highlight w:val="none"/>
        </w:rPr>
        <w:t>）供应商列入失信被执行人、重大税收违法案件当事人名单、政府采购严重违法失信行为记录名单的供应商，将拒绝其参与采购活动。</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rPr>
        <w:t>）</w:t>
      </w:r>
      <w:r>
        <w:rPr>
          <w:rFonts w:hint="eastAsia" w:ascii="方正仿宋_GBK" w:hAnsi="宋体" w:eastAsia="方正仿宋_GBK"/>
          <w:b/>
          <w:sz w:val="24"/>
          <w:szCs w:val="24"/>
        </w:rPr>
        <w:t>本项目不接受联合体参与报价，否则按无效处理。</w:t>
      </w:r>
      <w:r>
        <w:rPr>
          <w:rFonts w:hint="eastAsia" w:ascii="方正仿宋_GBK" w:hAnsi="方正仿宋_GBK" w:eastAsia="方正仿宋_GBK" w:cs="方正仿宋_GBK"/>
          <w:color w:val="auto"/>
          <w:sz w:val="24"/>
          <w:szCs w:val="24"/>
          <w:highlight w:val="none"/>
        </w:rPr>
        <w:t>。</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24" w:name="_Toc4205"/>
      <w:bookmarkStart w:id="25" w:name="_Toc29064"/>
      <w:bookmarkStart w:id="26" w:name="_Toc30888"/>
      <w:r>
        <w:rPr>
          <w:rFonts w:hint="eastAsia" w:ascii="方正仿宋_GBK" w:hAnsi="方正仿宋_GBK" w:eastAsia="方正仿宋_GBK" w:cs="方正仿宋_GBK"/>
          <w:color w:val="auto"/>
          <w:sz w:val="24"/>
          <w:szCs w:val="24"/>
          <w:highlight w:val="none"/>
          <w:lang w:eastAsia="zh-CN"/>
        </w:rPr>
        <w:t>七</w:t>
      </w:r>
      <w:r>
        <w:rPr>
          <w:rFonts w:hint="eastAsia" w:ascii="方正仿宋_GBK" w:hAnsi="方正仿宋_GBK" w:eastAsia="方正仿宋_GBK" w:cs="方正仿宋_GBK"/>
          <w:color w:val="auto"/>
          <w:sz w:val="24"/>
          <w:szCs w:val="24"/>
          <w:highlight w:val="none"/>
        </w:rPr>
        <w:t>、联系方式</w:t>
      </w:r>
      <w:bookmarkEnd w:id="24"/>
      <w:bookmarkEnd w:id="25"/>
      <w:bookmarkEnd w:id="26"/>
    </w:p>
    <w:p>
      <w:pPr>
        <w:snapToGrid w:val="0"/>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采购人：重庆两山建设开发有限公司</w:t>
      </w:r>
    </w:p>
    <w:p>
      <w:pPr>
        <w:snapToGrid w:val="0"/>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联系人：曹老师</w:t>
      </w:r>
    </w:p>
    <w:p>
      <w:pPr>
        <w:snapToGrid w:val="0"/>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电话：023-41555036</w:t>
      </w:r>
    </w:p>
    <w:p>
      <w:pPr>
        <w:snapToGrid w:val="0"/>
        <w:spacing w:line="360" w:lineRule="auto"/>
        <w:outlineLvl w:val="9"/>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地址：重庆市璧山区</w:t>
      </w:r>
      <w:r>
        <w:rPr>
          <w:rFonts w:hint="eastAsia" w:ascii="方正仿宋_GBK" w:hAnsi="方正仿宋_GBK" w:eastAsia="方正仿宋_GBK" w:cs="方正仿宋_GBK"/>
          <w:color w:val="auto"/>
          <w:sz w:val="24"/>
          <w:szCs w:val="24"/>
          <w:highlight w:val="none"/>
          <w:lang w:val="en-US" w:eastAsia="zh-CN"/>
        </w:rPr>
        <w:t>璧泉街道双星大道50号CBD 7栋二楼</w:t>
      </w:r>
    </w:p>
    <w:p>
      <w:pPr>
        <w:snapToGrid w:val="0"/>
        <w:spacing w:line="360" w:lineRule="auto"/>
        <w:ind w:firstLine="482" w:firstLineChars="200"/>
        <w:outlineLvl w:val="9"/>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 xml:space="preserve"> </w:t>
      </w: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outlineLvl w:val="9"/>
        <w:rPr>
          <w:rFonts w:hint="eastAsia" w:ascii="方正仿宋_GBK" w:hAnsi="方正仿宋_GBK" w:eastAsia="方正仿宋_GBK" w:cs="方正仿宋_GBK"/>
          <w:color w:val="auto"/>
          <w:lang w:eastAsia="zh-CN"/>
        </w:rPr>
        <w:sectPr>
          <w:footerReference r:id="rId8" w:type="default"/>
          <w:pgSz w:w="12240" w:h="15840"/>
          <w:pgMar w:top="1440" w:right="1800" w:bottom="1440" w:left="1800" w:header="720" w:footer="720" w:gutter="0"/>
          <w:pgNumType w:fmt="decimal" w:start="1"/>
          <w:cols w:space="720" w:num="1"/>
        </w:sectPr>
      </w:pPr>
    </w:p>
    <w:p>
      <w:pPr>
        <w:spacing w:before="0" w:after="0" w:line="360" w:lineRule="auto"/>
        <w:jc w:val="both"/>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0"/>
        <w:rPr>
          <w:rFonts w:hint="eastAsia" w:ascii="方正仿宋_GBK" w:hAnsi="方正仿宋_GBK" w:eastAsia="方正仿宋_GBK" w:cs="方正仿宋_GBK"/>
          <w:b/>
          <w:bCs/>
          <w:color w:val="auto"/>
          <w:sz w:val="36"/>
          <w:szCs w:val="36"/>
          <w:highlight w:val="none"/>
        </w:rPr>
      </w:pPr>
      <w:bookmarkStart w:id="27" w:name="_Toc22453"/>
      <w:bookmarkStart w:id="28" w:name="_Toc16800"/>
      <w:r>
        <w:rPr>
          <w:rFonts w:hint="eastAsia" w:ascii="方正仿宋_GBK" w:hAnsi="方正仿宋_GBK" w:eastAsia="方正仿宋_GBK" w:cs="方正仿宋_GBK"/>
          <w:b/>
          <w:bCs/>
          <w:color w:val="auto"/>
          <w:sz w:val="36"/>
          <w:szCs w:val="36"/>
          <w:highlight w:val="none"/>
        </w:rPr>
        <w:t>第二篇  采购</w:t>
      </w:r>
      <w:r>
        <w:rPr>
          <w:rFonts w:hint="eastAsia" w:ascii="方正仿宋_GBK" w:hAnsi="方正仿宋_GBK" w:eastAsia="方正仿宋_GBK" w:cs="方正仿宋_GBK"/>
          <w:b/>
          <w:bCs/>
          <w:color w:val="auto"/>
          <w:sz w:val="36"/>
          <w:szCs w:val="36"/>
          <w:highlight w:val="none"/>
          <w:lang w:eastAsia="zh-CN"/>
        </w:rPr>
        <w:t>技术</w:t>
      </w:r>
      <w:r>
        <w:rPr>
          <w:rFonts w:hint="eastAsia" w:ascii="方正仿宋_GBK" w:hAnsi="方正仿宋_GBK" w:eastAsia="方正仿宋_GBK" w:cs="方正仿宋_GBK"/>
          <w:b/>
          <w:bCs/>
          <w:color w:val="auto"/>
          <w:sz w:val="36"/>
          <w:szCs w:val="36"/>
          <w:highlight w:val="none"/>
        </w:rPr>
        <w:t>需求</w:t>
      </w:r>
      <w:bookmarkEnd w:id="27"/>
      <w:bookmarkEnd w:id="28"/>
    </w:p>
    <w:p>
      <w:pPr>
        <w:outlineLvl w:val="9"/>
        <w:rPr>
          <w:rFonts w:hint="eastAsia" w:ascii="方正仿宋_GBK" w:hAnsi="方正仿宋_GBK" w:eastAsia="方正仿宋_GBK" w:cs="方正仿宋_GBK"/>
          <w:b/>
          <w:bCs/>
          <w:color w:val="auto"/>
          <w:kern w:val="0"/>
          <w:sz w:val="24"/>
          <w:szCs w:val="24"/>
          <w:highlight w:val="none"/>
        </w:rPr>
      </w:pPr>
      <w:bookmarkStart w:id="29" w:name="_Toc12789058"/>
    </w:p>
    <w:p>
      <w:pPr>
        <w:pStyle w:val="30"/>
        <w:spacing w:line="360" w:lineRule="auto"/>
        <w:ind w:firstLine="560" w:firstLineChars="200"/>
        <w:outlineLvl w:val="1"/>
        <w:rPr>
          <w:rFonts w:hint="eastAsia" w:ascii="方正仿宋_GBK" w:hAnsi="方正仿宋_GBK" w:eastAsia="方正仿宋_GBK" w:cs="方正仿宋_GBK"/>
          <w:b w:val="0"/>
          <w:bCs w:val="0"/>
          <w:snapToGrid w:val="0"/>
          <w:color w:val="auto"/>
          <w:kern w:val="0"/>
          <w:sz w:val="28"/>
          <w:szCs w:val="28"/>
          <w:u w:val="none" w:color="auto"/>
          <w:lang w:val="zh-TW" w:eastAsia="zh-CN"/>
        </w:rPr>
      </w:pPr>
      <w:bookmarkStart w:id="30" w:name="_Toc32529"/>
      <w:r>
        <w:rPr>
          <w:rFonts w:hint="eastAsia" w:ascii="方正仿宋_GBK" w:hAnsi="方正仿宋_GBK" w:eastAsia="方正仿宋_GBK" w:cs="方正仿宋_GBK"/>
          <w:b w:val="0"/>
          <w:bCs w:val="0"/>
          <w:snapToGrid w:val="0"/>
          <w:color w:val="auto"/>
          <w:kern w:val="0"/>
          <w:sz w:val="28"/>
          <w:szCs w:val="28"/>
          <w:u w:val="none" w:color="auto"/>
          <w:lang w:val="zh-TW" w:eastAsia="zh-CN"/>
        </w:rPr>
        <w:t>一</w:t>
      </w:r>
      <w:r>
        <w:rPr>
          <w:rFonts w:hint="eastAsia" w:ascii="方正仿宋_GBK" w:hAnsi="方正仿宋_GBK" w:eastAsia="方正仿宋_GBK" w:cs="方正仿宋_GBK"/>
          <w:b w:val="0"/>
          <w:bCs w:val="0"/>
          <w:snapToGrid w:val="0"/>
          <w:color w:val="auto"/>
          <w:kern w:val="0"/>
          <w:sz w:val="28"/>
          <w:szCs w:val="28"/>
          <w:u w:val="none" w:color="auto"/>
          <w:lang w:val="zh-TW"/>
        </w:rPr>
        <w:t>、项目</w:t>
      </w:r>
      <w:r>
        <w:rPr>
          <w:rFonts w:hint="eastAsia" w:ascii="方正仿宋_GBK" w:hAnsi="方正仿宋_GBK" w:eastAsia="方正仿宋_GBK" w:cs="方正仿宋_GBK"/>
          <w:b w:val="0"/>
          <w:bCs w:val="0"/>
          <w:snapToGrid w:val="0"/>
          <w:color w:val="auto"/>
          <w:kern w:val="0"/>
          <w:sz w:val="28"/>
          <w:szCs w:val="28"/>
          <w:u w:val="none" w:color="auto"/>
          <w:lang w:val="zh-TW" w:eastAsia="zh-CN"/>
        </w:rPr>
        <w:t>概况</w:t>
      </w:r>
      <w:bookmarkEnd w:id="30"/>
    </w:p>
    <w:p>
      <w:pPr>
        <w:spacing w:line="540" w:lineRule="exact"/>
        <w:ind w:firstLine="480" w:firstLineChars="200"/>
        <w:outlineLvl w:val="9"/>
        <w:rPr>
          <w:rFonts w:hint="eastAsia" w:ascii="方正仿宋_GBK" w:hAnsi="方正仿宋_GBK" w:eastAsia="方正仿宋_GBK" w:cs="方正仿宋_GBK"/>
          <w:snapToGrid w:val="0"/>
          <w:color w:val="auto"/>
          <w:kern w:val="0"/>
          <w:sz w:val="24"/>
          <w:szCs w:val="24"/>
          <w:highlight w:val="none"/>
          <w:u w:val="none" w:color="auto"/>
          <w:lang w:val="en-US" w:eastAsia="zh-CN" w:bidi="ar-SA"/>
        </w:rPr>
      </w:pP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在微电园标准厂房8号厂房内新建变压器容量为1000kVA的配电室一间。主要工作内容为新建电缆沟、安装变压器、安装高低压配电柜、电缆拆除和敷设、桥架安装、设备调试等工程内容。详见附件。</w:t>
      </w:r>
    </w:p>
    <w:p>
      <w:pPr>
        <w:numPr>
          <w:ilvl w:val="0"/>
          <w:numId w:val="13"/>
        </w:numPr>
        <w:spacing w:line="540" w:lineRule="exact"/>
        <w:ind w:left="0" w:leftChars="0" w:firstLine="420" w:firstLineChars="0"/>
        <w:outlineLvl w:val="9"/>
        <w:rPr>
          <w:rFonts w:hint="eastAsia" w:ascii="方正仿宋_GBK" w:hAnsi="方正仿宋_GBK" w:eastAsia="方正仿宋_GBK" w:cs="方正仿宋_GBK"/>
          <w:snapToGrid w:val="0"/>
          <w:color w:val="auto"/>
          <w:kern w:val="0"/>
          <w:sz w:val="24"/>
          <w:szCs w:val="24"/>
          <w:highlight w:val="none"/>
          <w:u w:val="none" w:color="auto"/>
          <w:lang w:val="en-US" w:eastAsia="zh-CN" w:bidi="ar-SA"/>
        </w:rPr>
      </w:pPr>
      <w:r>
        <w:rPr>
          <w:rFonts w:hint="eastAsia" w:ascii="方正仿宋_GBK" w:hAnsi="方正仿宋_GBK" w:eastAsia="方正仿宋_GBK" w:cs="方正仿宋_GBK"/>
          <w:snapToGrid w:val="0"/>
          <w:color w:val="auto"/>
          <w:kern w:val="0"/>
          <w:sz w:val="24"/>
          <w:szCs w:val="24"/>
          <w:u w:val="none" w:color="auto"/>
          <w:lang w:val="en-US" w:eastAsia="zh-CN" w:bidi="ar-SA"/>
        </w:rPr>
        <w:t>采购范围：</w:t>
      </w: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包括《重庆两山建设开发有限公司微电园标准厂房8号楼新装变压器工程设计图》及《（对外发布招标控制价）微电园标准厂房8号楼新装变压器工程》中的全部内容，</w:t>
      </w:r>
      <w:r>
        <w:rPr>
          <w:rFonts w:hint="eastAsia" w:ascii="方正仿宋_GBK" w:hAnsi="方正仿宋_GBK" w:eastAsia="方正仿宋_GBK" w:cs="方正仿宋_GBK"/>
          <w:b/>
          <w:bCs/>
          <w:snapToGrid w:val="0"/>
          <w:color w:val="auto"/>
          <w:kern w:val="0"/>
          <w:sz w:val="24"/>
          <w:szCs w:val="24"/>
          <w:highlight w:val="none"/>
          <w:u w:val="none" w:color="auto"/>
          <w:lang w:val="en-US" w:eastAsia="zh-CN" w:bidi="ar-SA"/>
        </w:rPr>
        <w:t>详见招标清单</w:t>
      </w: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w:t>
      </w:r>
    </w:p>
    <w:p>
      <w:pPr>
        <w:numPr>
          <w:ilvl w:val="0"/>
          <w:numId w:val="13"/>
        </w:numPr>
        <w:spacing w:line="540" w:lineRule="exact"/>
        <w:ind w:left="0" w:leftChars="0" w:firstLine="420" w:firstLineChars="0"/>
        <w:outlineLvl w:val="9"/>
        <w:rPr>
          <w:rFonts w:hint="eastAsia" w:ascii="方正仿宋_GBK" w:hAnsi="方正仿宋_GBK" w:eastAsia="方正仿宋_GBK" w:cs="方正仿宋_GBK"/>
          <w:snapToGrid w:val="0"/>
          <w:color w:val="auto"/>
          <w:kern w:val="0"/>
          <w:sz w:val="24"/>
          <w:szCs w:val="24"/>
          <w:highlight w:val="none"/>
          <w:u w:val="none" w:color="auto"/>
          <w:lang w:val="en-US" w:eastAsia="zh-CN" w:bidi="ar-SA"/>
        </w:rPr>
      </w:pPr>
      <w:r>
        <w:rPr>
          <w:rFonts w:hint="eastAsia" w:ascii="方正仿宋_GBK" w:hAnsi="方正仿宋_GBK" w:eastAsia="方正仿宋_GBK" w:cs="方正仿宋_GBK"/>
          <w:snapToGrid w:val="0"/>
          <w:color w:val="auto"/>
          <w:kern w:val="0"/>
          <w:sz w:val="24"/>
          <w:szCs w:val="24"/>
          <w:highlight w:val="none"/>
          <w:u w:val="none" w:color="auto"/>
          <w:lang w:val="zh-TW" w:eastAsia="zh-CN" w:bidi="ar-SA"/>
        </w:rPr>
        <w:t>计划工期：</w:t>
      </w: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30日历天。</w:t>
      </w:r>
    </w:p>
    <w:p>
      <w:pPr>
        <w:numPr>
          <w:ilvl w:val="0"/>
          <w:numId w:val="13"/>
        </w:numPr>
        <w:spacing w:line="540" w:lineRule="exact"/>
        <w:ind w:left="0" w:leftChars="0" w:firstLine="420" w:firstLineChars="0"/>
        <w:outlineLvl w:val="9"/>
        <w:rPr>
          <w:rFonts w:hint="eastAsia" w:ascii="方正仿宋_GBK" w:hAnsi="方正仿宋_GBK" w:eastAsia="方正仿宋_GBK" w:cs="方正仿宋_GBK"/>
          <w:snapToGrid w:val="0"/>
          <w:color w:val="auto"/>
          <w:kern w:val="0"/>
          <w:sz w:val="24"/>
          <w:szCs w:val="24"/>
          <w:highlight w:val="none"/>
          <w:u w:val="none" w:color="auto"/>
          <w:lang w:val="en-US" w:eastAsia="zh-CN" w:bidi="ar-SA"/>
        </w:rPr>
      </w:pP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质量要求：达到国家现行有关施工质量验收规范要求，并达到合格标准。</w:t>
      </w:r>
    </w:p>
    <w:p>
      <w:pPr>
        <w:numPr>
          <w:ilvl w:val="0"/>
          <w:numId w:val="13"/>
        </w:numPr>
        <w:spacing w:line="540" w:lineRule="exact"/>
        <w:ind w:left="0" w:leftChars="0" w:firstLine="420" w:firstLineChars="0"/>
        <w:outlineLvl w:val="9"/>
        <w:rPr>
          <w:rFonts w:hint="eastAsia" w:ascii="方正仿宋_GBK" w:hAnsi="方正仿宋_GBK" w:eastAsia="方正仿宋_GBK" w:cs="方正仿宋_GBK"/>
          <w:snapToGrid w:val="0"/>
          <w:color w:val="auto"/>
          <w:kern w:val="0"/>
          <w:sz w:val="24"/>
          <w:szCs w:val="24"/>
          <w:highlight w:val="none"/>
          <w:u w:val="none" w:color="auto"/>
          <w:lang w:val="en-US" w:eastAsia="zh-CN" w:bidi="ar-SA"/>
        </w:rPr>
      </w:pPr>
      <w:r>
        <w:rPr>
          <w:rFonts w:hint="eastAsia" w:ascii="方正仿宋_GBK" w:hAnsi="方正仿宋_GBK" w:eastAsia="方正仿宋_GBK" w:cs="方正仿宋_GBK"/>
          <w:snapToGrid w:val="0"/>
          <w:color w:val="auto"/>
          <w:kern w:val="0"/>
          <w:sz w:val="24"/>
          <w:szCs w:val="24"/>
          <w:highlight w:val="none"/>
          <w:u w:val="none" w:color="auto"/>
          <w:lang w:val="en-US" w:eastAsia="zh-CN" w:bidi="ar-SA"/>
        </w:rPr>
        <w:t>缺陷责任期：12个月。</w:t>
      </w:r>
    </w:p>
    <w:p>
      <w:pPr>
        <w:pStyle w:val="30"/>
        <w:spacing w:line="360" w:lineRule="auto"/>
        <w:ind w:firstLine="562" w:firstLineChars="200"/>
        <w:outlineLvl w:val="9"/>
        <w:rPr>
          <w:rFonts w:hint="eastAsia" w:ascii="方正仿宋_GBK" w:hAnsi="方正仿宋_GBK" w:eastAsia="方正仿宋_GBK" w:cs="方正仿宋_GBK"/>
          <w:b/>
          <w:bCs/>
          <w:snapToGrid w:val="0"/>
          <w:color w:val="auto"/>
          <w:kern w:val="0"/>
          <w:sz w:val="28"/>
          <w:szCs w:val="28"/>
          <w:u w:val="none" w:color="auto"/>
          <w:lang w:val="zh-TW" w:eastAsia="zh-CN"/>
        </w:rPr>
      </w:pPr>
    </w:p>
    <w:p>
      <w:pPr>
        <w:pStyle w:val="30"/>
        <w:spacing w:line="360" w:lineRule="auto"/>
        <w:ind w:firstLine="560" w:firstLineChars="200"/>
        <w:outlineLvl w:val="1"/>
        <w:rPr>
          <w:rFonts w:hint="eastAsia" w:ascii="方正仿宋_GBK" w:hAnsi="方正仿宋_GBK" w:eastAsia="方正仿宋_GBK" w:cs="方正仿宋_GBK"/>
          <w:b w:val="0"/>
          <w:bCs w:val="0"/>
          <w:snapToGrid w:val="0"/>
          <w:color w:val="auto"/>
          <w:kern w:val="0"/>
          <w:sz w:val="28"/>
          <w:szCs w:val="28"/>
          <w:u w:val="none" w:color="auto"/>
          <w:lang w:val="zh-TW" w:eastAsia="zh-CN"/>
        </w:rPr>
      </w:pPr>
      <w:bookmarkStart w:id="31" w:name="_Toc18257"/>
      <w:r>
        <w:rPr>
          <w:rFonts w:hint="eastAsia" w:ascii="方正仿宋_GBK" w:hAnsi="方正仿宋_GBK" w:eastAsia="方正仿宋_GBK" w:cs="方正仿宋_GBK"/>
          <w:b w:val="0"/>
          <w:bCs w:val="0"/>
          <w:snapToGrid w:val="0"/>
          <w:color w:val="auto"/>
          <w:kern w:val="0"/>
          <w:sz w:val="28"/>
          <w:szCs w:val="28"/>
          <w:u w:val="none" w:color="auto"/>
          <w:lang w:val="zh-TW" w:eastAsia="zh-CN"/>
        </w:rPr>
        <w:t>二</w:t>
      </w:r>
      <w:r>
        <w:rPr>
          <w:rFonts w:hint="eastAsia" w:ascii="方正仿宋_GBK" w:hAnsi="方正仿宋_GBK" w:eastAsia="方正仿宋_GBK" w:cs="方正仿宋_GBK"/>
          <w:b w:val="0"/>
          <w:bCs w:val="0"/>
          <w:snapToGrid w:val="0"/>
          <w:color w:val="auto"/>
          <w:kern w:val="0"/>
          <w:sz w:val="28"/>
          <w:szCs w:val="28"/>
          <w:u w:val="none" w:color="auto"/>
          <w:lang w:val="zh-TW"/>
        </w:rPr>
        <w:t>、</w:t>
      </w:r>
      <w:r>
        <w:rPr>
          <w:rFonts w:hint="eastAsia" w:ascii="方正仿宋_GBK" w:hAnsi="方正仿宋_GBK" w:eastAsia="方正仿宋_GBK" w:cs="方正仿宋_GBK"/>
          <w:b w:val="0"/>
          <w:bCs w:val="0"/>
          <w:snapToGrid w:val="0"/>
          <w:color w:val="auto"/>
          <w:kern w:val="0"/>
          <w:sz w:val="28"/>
          <w:szCs w:val="28"/>
          <w:u w:val="none" w:color="auto"/>
          <w:lang w:val="zh-TW" w:eastAsia="zh-CN"/>
        </w:rPr>
        <w:t>实施要求</w:t>
      </w:r>
      <w:bookmarkEnd w:id="31"/>
    </w:p>
    <w:p>
      <w:pPr>
        <w:pStyle w:val="30"/>
        <w:spacing w:line="360" w:lineRule="auto"/>
        <w:ind w:firstLine="400" w:firstLineChars="200"/>
        <w:outlineLvl w:val="9"/>
        <w:rPr>
          <w:rFonts w:hint="eastAsia" w:ascii="方正仿宋_GBK" w:hAnsi="方正仿宋_GBK" w:eastAsia="方正仿宋_GBK" w:cs="方正仿宋_GBK"/>
          <w:snapToGrid w:val="0"/>
          <w:color w:val="auto"/>
          <w:sz w:val="24"/>
          <w:szCs w:val="24"/>
          <w:u w:val="none" w:color="auto"/>
        </w:rPr>
      </w:pPr>
      <w:r>
        <w:rPr>
          <w:rFonts w:hint="eastAsia" w:ascii="方正仿宋_GBK" w:hAnsi="方正仿宋_GBK" w:eastAsia="方正仿宋_GBK" w:cs="方正仿宋_GBK"/>
          <w:color w:val="auto"/>
          <w:sz w:val="20"/>
          <w:szCs w:val="18"/>
          <w:lang w:val="en-US" w:eastAsia="zh-CN"/>
        </w:rPr>
        <w:t xml:space="preserve"> </w:t>
      </w:r>
      <w:r>
        <w:rPr>
          <w:rFonts w:hint="eastAsia" w:ascii="方正仿宋_GBK" w:hAnsi="方正仿宋_GBK" w:eastAsia="方正仿宋_GBK" w:cs="方正仿宋_GBK"/>
          <w:snapToGrid w:val="0"/>
          <w:color w:val="auto"/>
          <w:sz w:val="24"/>
          <w:szCs w:val="24"/>
          <w:u w:val="none" w:color="auto"/>
          <w:lang w:val="en-US" w:eastAsia="zh-CN"/>
        </w:rPr>
        <w:t>（一）</w:t>
      </w:r>
      <w:r>
        <w:rPr>
          <w:rFonts w:hint="eastAsia" w:ascii="方正仿宋_GBK" w:hAnsi="方正仿宋_GBK" w:eastAsia="方正仿宋_GBK" w:cs="方正仿宋_GBK"/>
          <w:snapToGrid w:val="0"/>
          <w:color w:val="auto"/>
          <w:sz w:val="24"/>
          <w:szCs w:val="24"/>
          <w:u w:val="none" w:color="auto"/>
        </w:rPr>
        <w:t>项目经理</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lang w:eastAsia="zh-CN"/>
        </w:rPr>
      </w:pPr>
      <w:r>
        <w:rPr>
          <w:rFonts w:hint="eastAsia" w:ascii="方正仿宋_GBK" w:hAnsi="方正仿宋_GBK" w:eastAsia="方正仿宋_GBK" w:cs="方正仿宋_GBK"/>
          <w:b w:val="0"/>
          <w:bCs w:val="0"/>
          <w:snapToGrid w:val="0"/>
          <w:color w:val="auto"/>
          <w:sz w:val="24"/>
          <w:szCs w:val="24"/>
          <w:u w:val="none" w:color="auto"/>
          <w:lang w:val="en-US" w:eastAsia="zh-CN"/>
        </w:rPr>
        <w:t>1、拟派</w:t>
      </w:r>
      <w:r>
        <w:rPr>
          <w:rFonts w:hint="eastAsia" w:ascii="方正仿宋_GBK" w:hAnsi="方正仿宋_GBK" w:eastAsia="方正仿宋_GBK" w:cs="方正仿宋_GBK"/>
          <w:b w:val="0"/>
          <w:bCs w:val="0"/>
          <w:snapToGrid w:val="0"/>
          <w:color w:val="auto"/>
          <w:sz w:val="24"/>
          <w:szCs w:val="24"/>
          <w:u w:val="none" w:color="auto"/>
        </w:rPr>
        <w:t>项目经理必须已在申请人单位注册并应具备机电</w:t>
      </w:r>
      <w:r>
        <w:rPr>
          <w:rFonts w:hint="eastAsia" w:ascii="方正仿宋_GBK" w:hAnsi="方正仿宋_GBK" w:eastAsia="方正仿宋_GBK" w:cs="方正仿宋_GBK"/>
          <w:b w:val="0"/>
          <w:bCs w:val="0"/>
          <w:snapToGrid w:val="0"/>
          <w:color w:val="auto"/>
          <w:sz w:val="24"/>
          <w:szCs w:val="24"/>
          <w:u w:val="none" w:color="auto"/>
          <w:lang w:eastAsia="zh-CN"/>
        </w:rPr>
        <w:t>或机电</w:t>
      </w:r>
      <w:r>
        <w:rPr>
          <w:rFonts w:hint="eastAsia" w:ascii="方正仿宋_GBK" w:hAnsi="方正仿宋_GBK" w:eastAsia="方正仿宋_GBK" w:cs="方正仿宋_GBK"/>
          <w:b w:val="0"/>
          <w:bCs w:val="0"/>
          <w:snapToGrid w:val="0"/>
          <w:color w:val="auto"/>
          <w:sz w:val="24"/>
          <w:szCs w:val="24"/>
          <w:u w:val="none" w:color="auto"/>
        </w:rPr>
        <w:t>工程二级及以上注册建造师执业资格，并且不能在在建工程担任项目经理。</w:t>
      </w:r>
      <w:r>
        <w:rPr>
          <w:rFonts w:hint="eastAsia" w:ascii="方正仿宋_GBK" w:hAnsi="方正仿宋_GBK" w:eastAsia="方正仿宋_GBK" w:cs="方正仿宋_GBK"/>
          <w:b w:val="0"/>
          <w:bCs w:val="0"/>
          <w:snapToGrid w:val="0"/>
          <w:color w:val="auto"/>
          <w:sz w:val="24"/>
          <w:szCs w:val="24"/>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须提供有效的建造师执业资格证复印件</w:t>
      </w:r>
      <w:r>
        <w:rPr>
          <w:rFonts w:hint="eastAsia" w:ascii="方正仿宋_GBK" w:hAnsi="方正仿宋_GBK" w:eastAsia="方正仿宋_GBK" w:cs="方正仿宋_GBK"/>
          <w:b w:val="0"/>
          <w:bCs w:val="0"/>
          <w:snapToGrid w:val="0"/>
          <w:color w:val="auto"/>
          <w:sz w:val="24"/>
          <w:szCs w:val="24"/>
          <w:u w:val="none" w:color="auto"/>
          <w:lang w:eastAsia="zh-CN"/>
        </w:rPr>
        <w:t>并加盖供应商公章</w:t>
      </w:r>
      <w:r>
        <w:rPr>
          <w:rFonts w:hint="eastAsia" w:ascii="方正仿宋_GBK" w:hAnsi="方正仿宋_GBK" w:eastAsia="方正仿宋_GBK" w:cs="方正仿宋_GBK"/>
          <w:b w:val="0"/>
          <w:bCs w:val="0"/>
          <w:snapToGrid w:val="0"/>
          <w:color w:val="auto"/>
          <w:sz w:val="24"/>
          <w:szCs w:val="24"/>
          <w:u w:val="none" w:color="auto"/>
        </w:rPr>
        <w:t>。</w:t>
      </w:r>
      <w:r>
        <w:rPr>
          <w:rFonts w:hint="eastAsia" w:ascii="方正仿宋_GBK" w:hAnsi="方正仿宋_GBK" w:eastAsia="方正仿宋_GBK" w:cs="方正仿宋_GBK"/>
          <w:b w:val="0"/>
          <w:bCs w:val="0"/>
          <w:snapToGrid w:val="0"/>
          <w:color w:val="auto"/>
          <w:sz w:val="24"/>
          <w:szCs w:val="24"/>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val="en-US" w:eastAsia="zh-CN"/>
        </w:rPr>
        <w:t>2、供应商</w:t>
      </w:r>
      <w:r>
        <w:rPr>
          <w:rFonts w:hint="eastAsia" w:ascii="方正仿宋_GBK" w:hAnsi="方正仿宋_GBK" w:eastAsia="方正仿宋_GBK" w:cs="方正仿宋_GBK"/>
          <w:b w:val="0"/>
          <w:bCs w:val="0"/>
          <w:snapToGrid w:val="0"/>
          <w:color w:val="auto"/>
          <w:sz w:val="24"/>
          <w:szCs w:val="24"/>
          <w:u w:val="none" w:color="auto"/>
        </w:rPr>
        <w:t>须书面承诺</w:t>
      </w:r>
      <w:r>
        <w:rPr>
          <w:rFonts w:hint="eastAsia" w:ascii="方正仿宋_GBK" w:hAnsi="方正仿宋_GBK" w:eastAsia="方正仿宋_GBK" w:cs="方正仿宋_GBK"/>
          <w:b w:val="0"/>
          <w:bCs w:val="0"/>
          <w:snapToGrid w:val="0"/>
          <w:color w:val="auto"/>
          <w:sz w:val="24"/>
          <w:szCs w:val="24"/>
          <w:u w:val="none" w:color="auto"/>
          <w:lang w:eastAsia="zh-CN"/>
        </w:rPr>
        <w:t>拟派的项目经理</w:t>
      </w:r>
      <w:r>
        <w:rPr>
          <w:rFonts w:hint="eastAsia" w:ascii="方正仿宋_GBK" w:hAnsi="方正仿宋_GBK" w:eastAsia="方正仿宋_GBK" w:cs="方正仿宋_GBK"/>
          <w:b w:val="0"/>
          <w:bCs w:val="0"/>
          <w:snapToGrid w:val="0"/>
          <w:color w:val="auto"/>
          <w:sz w:val="24"/>
          <w:szCs w:val="24"/>
          <w:u w:val="none" w:color="auto"/>
        </w:rPr>
        <w:t>未在在建工程中担任项目经理</w:t>
      </w:r>
      <w:r>
        <w:rPr>
          <w:rFonts w:hint="eastAsia" w:ascii="方正仿宋_GBK" w:hAnsi="方正仿宋_GBK" w:eastAsia="方正仿宋_GBK" w:cs="方正仿宋_GBK"/>
          <w:b w:val="0"/>
          <w:bCs w:val="0"/>
          <w:snapToGrid w:val="0"/>
          <w:color w:val="auto"/>
          <w:sz w:val="24"/>
          <w:szCs w:val="24"/>
          <w:u w:val="none" w:color="auto"/>
          <w:lang w:eastAsia="zh-CN"/>
        </w:rPr>
        <w:t>，且除法定原因外不得对人员进行变更。</w:t>
      </w:r>
      <w:r>
        <w:rPr>
          <w:rFonts w:hint="eastAsia" w:ascii="方正仿宋_GBK" w:hAnsi="方正仿宋_GBK" w:eastAsia="方正仿宋_GBK" w:cs="方正仿宋_GBK"/>
          <w:b w:val="0"/>
          <w:bCs w:val="0"/>
          <w:snapToGrid w:val="0"/>
          <w:color w:val="auto"/>
          <w:sz w:val="24"/>
          <w:szCs w:val="24"/>
          <w:u w:val="none" w:color="auto"/>
        </w:rPr>
        <w:t>（须</w:t>
      </w:r>
      <w:r>
        <w:rPr>
          <w:rFonts w:hint="eastAsia" w:ascii="方正仿宋_GBK" w:hAnsi="方正仿宋_GBK" w:eastAsia="方正仿宋_GBK" w:cs="方正仿宋_GBK"/>
          <w:b w:val="0"/>
          <w:bCs w:val="0"/>
          <w:snapToGrid w:val="0"/>
          <w:color w:val="auto"/>
          <w:sz w:val="24"/>
          <w:szCs w:val="24"/>
          <w:u w:val="none" w:color="auto"/>
          <w:lang w:eastAsia="zh-CN"/>
        </w:rPr>
        <w:t>自行</w:t>
      </w:r>
      <w:r>
        <w:rPr>
          <w:rFonts w:hint="eastAsia" w:ascii="方正仿宋_GBK" w:hAnsi="方正仿宋_GBK" w:eastAsia="方正仿宋_GBK" w:cs="方正仿宋_GBK"/>
          <w:b w:val="0"/>
          <w:bCs w:val="0"/>
          <w:snapToGrid w:val="0"/>
          <w:color w:val="auto"/>
          <w:sz w:val="24"/>
          <w:szCs w:val="24"/>
          <w:u w:val="none" w:color="auto"/>
        </w:rPr>
        <w:t>提交承诺书</w:t>
      </w:r>
      <w:r>
        <w:rPr>
          <w:rFonts w:hint="eastAsia" w:ascii="方正仿宋_GBK" w:hAnsi="方正仿宋_GBK" w:eastAsia="方正仿宋_GBK" w:cs="方正仿宋_GBK"/>
          <w:b w:val="0"/>
          <w:bCs w:val="0"/>
          <w:snapToGrid w:val="0"/>
          <w:color w:val="auto"/>
          <w:sz w:val="24"/>
          <w:szCs w:val="24"/>
          <w:highlight w:val="none"/>
          <w:u w:val="none" w:color="auto"/>
        </w:rPr>
        <w:t>原件</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r>
        <w:rPr>
          <w:rFonts w:hint="eastAsia" w:ascii="方正仿宋_GBK" w:hAnsi="方正仿宋_GBK" w:eastAsia="方正仿宋_GBK" w:cs="方正仿宋_GBK"/>
          <w:b w:val="0"/>
          <w:bCs w:val="0"/>
          <w:snapToGrid w:val="0"/>
          <w:color w:val="auto"/>
          <w:sz w:val="24"/>
          <w:szCs w:val="24"/>
          <w:highlight w:val="none"/>
          <w:u w:val="none" w:color="auto"/>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val="en-US" w:eastAsia="zh-CN"/>
        </w:rPr>
        <w:t>（二）项目技术负责人</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lang w:eastAsia="zh-CN"/>
        </w:rPr>
      </w:pPr>
      <w:r>
        <w:rPr>
          <w:rFonts w:hint="eastAsia" w:ascii="方正仿宋_GBK" w:hAnsi="方正仿宋_GBK" w:eastAsia="方正仿宋_GBK" w:cs="方正仿宋_GBK"/>
          <w:b w:val="0"/>
          <w:bCs w:val="0"/>
          <w:snapToGrid w:val="0"/>
          <w:color w:val="auto"/>
          <w:sz w:val="24"/>
          <w:szCs w:val="24"/>
          <w:u w:val="none" w:color="auto"/>
          <w:lang w:val="en-US" w:eastAsia="zh-CN"/>
        </w:rPr>
        <w:t>1、拟派项目技术负责人</w:t>
      </w:r>
      <w:r>
        <w:rPr>
          <w:rFonts w:hint="eastAsia" w:ascii="方正仿宋_GBK" w:hAnsi="方正仿宋_GBK" w:eastAsia="方正仿宋_GBK" w:cs="方正仿宋_GBK"/>
          <w:b w:val="0"/>
          <w:bCs w:val="0"/>
          <w:snapToGrid w:val="0"/>
          <w:color w:val="auto"/>
          <w:sz w:val="24"/>
          <w:szCs w:val="24"/>
          <w:u w:val="none" w:color="auto"/>
        </w:rPr>
        <w:t>应具有电力</w:t>
      </w:r>
      <w:r>
        <w:rPr>
          <w:rFonts w:hint="eastAsia" w:ascii="方正仿宋_GBK" w:hAnsi="方正仿宋_GBK" w:eastAsia="方正仿宋_GBK" w:cs="方正仿宋_GBK"/>
          <w:b w:val="0"/>
          <w:bCs w:val="0"/>
          <w:snapToGrid w:val="0"/>
          <w:color w:val="auto"/>
          <w:sz w:val="24"/>
          <w:szCs w:val="24"/>
          <w:u w:val="none" w:color="auto"/>
          <w:lang w:eastAsia="zh-CN"/>
        </w:rPr>
        <w:t>或机电</w:t>
      </w:r>
      <w:r>
        <w:rPr>
          <w:rFonts w:hint="eastAsia" w:ascii="方正仿宋_GBK" w:hAnsi="方正仿宋_GBK" w:eastAsia="方正仿宋_GBK" w:cs="方正仿宋_GBK"/>
          <w:b w:val="0"/>
          <w:bCs w:val="0"/>
          <w:snapToGrid w:val="0"/>
          <w:color w:val="auto"/>
          <w:sz w:val="24"/>
          <w:szCs w:val="24"/>
          <w:u w:val="none" w:color="auto"/>
        </w:rPr>
        <w:t>工程相关专业中级工程师及以上职称</w:t>
      </w:r>
      <w:r>
        <w:rPr>
          <w:rFonts w:hint="eastAsia" w:ascii="方正仿宋_GBK" w:hAnsi="方正仿宋_GBK" w:eastAsia="方正仿宋_GBK" w:cs="方正仿宋_GBK"/>
          <w:b w:val="0"/>
          <w:bCs w:val="0"/>
          <w:snapToGrid w:val="0"/>
          <w:color w:val="auto"/>
          <w:sz w:val="24"/>
          <w:szCs w:val="24"/>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须提供职称证复印件</w:t>
      </w:r>
      <w:r>
        <w:rPr>
          <w:rFonts w:hint="eastAsia" w:ascii="方正仿宋_GBK" w:hAnsi="方正仿宋_GBK" w:eastAsia="方正仿宋_GBK" w:cs="方正仿宋_GBK"/>
          <w:b w:val="0"/>
          <w:bCs w:val="0"/>
          <w:snapToGrid w:val="0"/>
          <w:color w:val="auto"/>
          <w:sz w:val="24"/>
          <w:szCs w:val="24"/>
          <w:u w:val="none" w:color="auto"/>
          <w:lang w:eastAsia="zh-CN"/>
        </w:rPr>
        <w:t>加盖供应商公章。）</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val="en-US" w:eastAsia="zh-CN"/>
        </w:rPr>
        <w:t>2、供应商须书面承诺项目技术负责人</w:t>
      </w:r>
      <w:r>
        <w:rPr>
          <w:rFonts w:hint="eastAsia" w:ascii="方正仿宋_GBK" w:hAnsi="方正仿宋_GBK" w:eastAsia="方正仿宋_GBK" w:cs="方正仿宋_GBK"/>
          <w:b w:val="0"/>
          <w:bCs w:val="0"/>
          <w:snapToGrid w:val="0"/>
          <w:color w:val="auto"/>
          <w:sz w:val="24"/>
          <w:szCs w:val="24"/>
          <w:u w:val="none" w:color="auto"/>
          <w:lang w:eastAsia="zh-CN"/>
        </w:rPr>
        <w:t>除法定原因外不得进行变更。</w:t>
      </w:r>
      <w:r>
        <w:rPr>
          <w:rFonts w:hint="eastAsia" w:ascii="方正仿宋_GBK" w:hAnsi="方正仿宋_GBK" w:eastAsia="方正仿宋_GBK" w:cs="方正仿宋_GBK"/>
          <w:b w:val="0"/>
          <w:bCs w:val="0"/>
          <w:snapToGrid w:val="0"/>
          <w:color w:val="auto"/>
          <w:sz w:val="24"/>
          <w:szCs w:val="24"/>
          <w:u w:val="none" w:color="auto"/>
        </w:rPr>
        <w:t>（须</w:t>
      </w:r>
      <w:r>
        <w:rPr>
          <w:rFonts w:hint="eastAsia" w:ascii="方正仿宋_GBK" w:hAnsi="方正仿宋_GBK" w:eastAsia="方正仿宋_GBK" w:cs="方正仿宋_GBK"/>
          <w:b w:val="0"/>
          <w:bCs w:val="0"/>
          <w:snapToGrid w:val="0"/>
          <w:color w:val="auto"/>
          <w:sz w:val="24"/>
          <w:szCs w:val="24"/>
          <w:u w:val="none" w:color="auto"/>
          <w:lang w:eastAsia="zh-CN"/>
        </w:rPr>
        <w:t>自行</w:t>
      </w:r>
      <w:r>
        <w:rPr>
          <w:rFonts w:hint="eastAsia" w:ascii="方正仿宋_GBK" w:hAnsi="方正仿宋_GBK" w:eastAsia="方正仿宋_GBK" w:cs="方正仿宋_GBK"/>
          <w:b w:val="0"/>
          <w:bCs w:val="0"/>
          <w:snapToGrid w:val="0"/>
          <w:color w:val="auto"/>
          <w:sz w:val="24"/>
          <w:szCs w:val="24"/>
          <w:u w:val="none" w:color="auto"/>
        </w:rPr>
        <w:t>提交承诺书</w:t>
      </w:r>
      <w:r>
        <w:rPr>
          <w:rFonts w:hint="eastAsia" w:ascii="方正仿宋_GBK" w:hAnsi="方正仿宋_GBK" w:eastAsia="方正仿宋_GBK" w:cs="方正仿宋_GBK"/>
          <w:b w:val="0"/>
          <w:bCs w:val="0"/>
          <w:snapToGrid w:val="0"/>
          <w:color w:val="auto"/>
          <w:sz w:val="24"/>
          <w:szCs w:val="24"/>
          <w:highlight w:val="none"/>
          <w:u w:val="none" w:color="auto"/>
        </w:rPr>
        <w:t>原件</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r>
        <w:rPr>
          <w:rFonts w:hint="eastAsia" w:ascii="方正仿宋_GBK" w:hAnsi="方正仿宋_GBK" w:eastAsia="方正仿宋_GBK" w:cs="方正仿宋_GBK"/>
          <w:b w:val="0"/>
          <w:bCs w:val="0"/>
          <w:snapToGrid w:val="0"/>
          <w:color w:val="auto"/>
          <w:sz w:val="24"/>
          <w:szCs w:val="24"/>
          <w:highlight w:val="none"/>
          <w:u w:val="none" w:color="auto"/>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eastAsia="zh-CN"/>
        </w:rPr>
        <w:t>（三）</w:t>
      </w:r>
      <w:r>
        <w:rPr>
          <w:rFonts w:hint="eastAsia" w:ascii="方正仿宋_GBK" w:hAnsi="方正仿宋_GBK" w:eastAsia="方正仿宋_GBK" w:cs="方正仿宋_GBK"/>
          <w:b w:val="0"/>
          <w:bCs w:val="0"/>
          <w:snapToGrid w:val="0"/>
          <w:color w:val="auto"/>
          <w:sz w:val="24"/>
          <w:szCs w:val="24"/>
          <w:u w:val="none" w:color="auto"/>
        </w:rPr>
        <w:t>主要管理人员</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lang w:eastAsia="zh-CN"/>
        </w:rPr>
      </w:pPr>
      <w:r>
        <w:rPr>
          <w:rFonts w:hint="eastAsia" w:ascii="方正仿宋_GBK" w:hAnsi="方正仿宋_GBK" w:eastAsia="方正仿宋_GBK" w:cs="方正仿宋_GBK"/>
          <w:b w:val="0"/>
          <w:bCs w:val="0"/>
          <w:snapToGrid w:val="0"/>
          <w:color w:val="auto"/>
          <w:sz w:val="24"/>
          <w:szCs w:val="24"/>
          <w:u w:val="none" w:color="auto"/>
          <w:lang w:val="en-US" w:eastAsia="zh-CN"/>
        </w:rPr>
        <w:t>1、</w:t>
      </w:r>
      <w:r>
        <w:rPr>
          <w:rFonts w:hint="eastAsia" w:ascii="方正仿宋_GBK" w:hAnsi="方正仿宋_GBK" w:eastAsia="方正仿宋_GBK" w:cs="方正仿宋_GBK"/>
          <w:b w:val="0"/>
          <w:bCs w:val="0"/>
          <w:snapToGrid w:val="0"/>
          <w:color w:val="auto"/>
          <w:sz w:val="24"/>
          <w:szCs w:val="24"/>
          <w:u w:val="none" w:color="auto"/>
          <w:lang w:val="zh-TW"/>
        </w:rPr>
        <w:t>持有有效证件的质检（量）员不少于1人，安全员不少于1人，造价员或造价工程师不少于1人，施工员不少于1</w:t>
      </w:r>
      <w:r>
        <w:rPr>
          <w:rFonts w:hint="eastAsia" w:ascii="方正仿宋_GBK" w:hAnsi="方正仿宋_GBK" w:eastAsia="方正仿宋_GBK" w:cs="方正仿宋_GBK"/>
          <w:b w:val="0"/>
          <w:bCs w:val="0"/>
          <w:snapToGrid w:val="0"/>
          <w:color w:val="auto"/>
          <w:sz w:val="24"/>
          <w:szCs w:val="24"/>
          <w:u w:val="none" w:color="auto"/>
          <w:lang w:val="zh-TW" w:eastAsia="zh-CN"/>
        </w:rPr>
        <w:t>人</w:t>
      </w:r>
      <w:r>
        <w:rPr>
          <w:rFonts w:hint="eastAsia" w:ascii="方正仿宋_GBK" w:hAnsi="方正仿宋_GBK" w:eastAsia="方正仿宋_GBK" w:cs="方正仿宋_GBK"/>
          <w:b w:val="0"/>
          <w:bCs w:val="0"/>
          <w:snapToGrid w:val="0"/>
          <w:color w:val="auto"/>
          <w:sz w:val="24"/>
          <w:szCs w:val="24"/>
          <w:u w:val="none" w:color="auto"/>
        </w:rPr>
        <w:t>。</w:t>
      </w:r>
      <w:r>
        <w:rPr>
          <w:rFonts w:hint="eastAsia" w:ascii="方正仿宋_GBK" w:hAnsi="方正仿宋_GBK" w:eastAsia="方正仿宋_GBK" w:cs="方正仿宋_GBK"/>
          <w:b w:val="0"/>
          <w:bCs w:val="0"/>
          <w:snapToGrid w:val="0"/>
          <w:color w:val="auto"/>
          <w:sz w:val="24"/>
          <w:szCs w:val="24"/>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须提供质检（量）员、安全员、施工员上岗证复印件、造价员上岗证复印件或造价工程师注册证复印件</w:t>
      </w:r>
      <w:r>
        <w:rPr>
          <w:rFonts w:hint="eastAsia" w:ascii="方正仿宋_GBK" w:hAnsi="方正仿宋_GBK" w:eastAsia="方正仿宋_GBK" w:cs="方正仿宋_GBK"/>
          <w:b w:val="0"/>
          <w:bCs w:val="0"/>
          <w:snapToGrid w:val="0"/>
          <w:color w:val="auto"/>
          <w:sz w:val="24"/>
          <w:szCs w:val="24"/>
          <w:u w:val="none" w:color="auto"/>
          <w:lang w:eastAsia="zh-CN"/>
        </w:rPr>
        <w:t>并加盖供应商公章。）</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u w:val="none" w:color="auto"/>
          <w:lang w:val="en-US" w:eastAsia="zh-CN"/>
        </w:rPr>
        <w:t>（四）</w:t>
      </w:r>
      <w:r>
        <w:rPr>
          <w:rFonts w:hint="eastAsia" w:ascii="方正仿宋_GBK" w:hAnsi="方正仿宋_GBK" w:eastAsia="方正仿宋_GBK" w:cs="方正仿宋_GBK"/>
          <w:b w:val="0"/>
          <w:bCs w:val="0"/>
          <w:snapToGrid w:val="0"/>
          <w:color w:val="auto"/>
          <w:sz w:val="24"/>
          <w:szCs w:val="24"/>
          <w:highlight w:val="none"/>
          <w:u w:val="none" w:color="auto"/>
        </w:rPr>
        <w:t>信誉要求</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（1）</w:t>
      </w:r>
      <w:r>
        <w:rPr>
          <w:rFonts w:hint="eastAsia" w:ascii="方正仿宋_GBK" w:hAnsi="方正仿宋_GBK" w:eastAsia="方正仿宋_GBK" w:cs="方正仿宋_GBK"/>
          <w:b w:val="0"/>
          <w:bCs w:val="0"/>
          <w:snapToGrid w:val="0"/>
          <w:color w:val="auto"/>
          <w:sz w:val="24"/>
          <w:szCs w:val="24"/>
          <w:highlight w:val="none"/>
          <w:u w:val="none" w:color="auto"/>
          <w:lang w:eastAsia="zh-CN"/>
        </w:rPr>
        <w:t>未被有关行政部门暂停投标资格或</w:t>
      </w:r>
      <w:r>
        <w:rPr>
          <w:rFonts w:hint="eastAsia" w:ascii="方正仿宋_GBK" w:hAnsi="方正仿宋_GBK" w:eastAsia="方正仿宋_GBK" w:cs="方正仿宋_GBK"/>
          <w:b w:val="0"/>
          <w:bCs w:val="0"/>
          <w:snapToGrid w:val="0"/>
          <w:color w:val="auto"/>
          <w:sz w:val="24"/>
          <w:szCs w:val="24"/>
          <w:highlight w:val="none"/>
          <w:u w:val="none" w:color="auto"/>
        </w:rPr>
        <w:t>被有关行政部门暂停投标资格期限已满</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r>
        <w:rPr>
          <w:rFonts w:hint="eastAsia" w:ascii="方正仿宋_GBK" w:hAnsi="方正仿宋_GBK" w:eastAsia="方正仿宋_GBK" w:cs="方正仿宋_GBK"/>
          <w:b w:val="0"/>
          <w:bCs w:val="0"/>
          <w:snapToGrid w:val="0"/>
          <w:color w:val="auto"/>
          <w:sz w:val="24"/>
          <w:szCs w:val="24"/>
          <w:highlight w:val="none"/>
          <w:u w:val="none" w:color="auto"/>
        </w:rPr>
        <w:t>（</w:t>
      </w:r>
      <w:r>
        <w:rPr>
          <w:rFonts w:hint="eastAsia" w:ascii="方正仿宋_GBK" w:hAnsi="方正仿宋_GBK" w:eastAsia="方正仿宋_GBK" w:cs="方正仿宋_GBK"/>
          <w:b w:val="0"/>
          <w:bCs w:val="0"/>
          <w:snapToGrid w:val="0"/>
          <w:color w:val="auto"/>
          <w:sz w:val="24"/>
          <w:szCs w:val="24"/>
          <w:u w:val="none" w:color="auto"/>
        </w:rPr>
        <w:t>须</w:t>
      </w:r>
      <w:r>
        <w:rPr>
          <w:rFonts w:hint="eastAsia" w:ascii="方正仿宋_GBK" w:hAnsi="方正仿宋_GBK" w:eastAsia="方正仿宋_GBK" w:cs="方正仿宋_GBK"/>
          <w:b w:val="0"/>
          <w:bCs w:val="0"/>
          <w:snapToGrid w:val="0"/>
          <w:color w:val="auto"/>
          <w:sz w:val="24"/>
          <w:szCs w:val="24"/>
          <w:u w:val="none" w:color="auto"/>
          <w:lang w:eastAsia="zh-CN"/>
        </w:rPr>
        <w:t>自行</w:t>
      </w:r>
      <w:r>
        <w:rPr>
          <w:rFonts w:hint="eastAsia" w:ascii="方正仿宋_GBK" w:hAnsi="方正仿宋_GBK" w:eastAsia="方正仿宋_GBK" w:cs="方正仿宋_GBK"/>
          <w:b w:val="0"/>
          <w:bCs w:val="0"/>
          <w:snapToGrid w:val="0"/>
          <w:color w:val="auto"/>
          <w:sz w:val="24"/>
          <w:szCs w:val="24"/>
          <w:u w:val="none" w:color="auto"/>
        </w:rPr>
        <w:t>提交承诺书</w:t>
      </w:r>
      <w:r>
        <w:rPr>
          <w:rFonts w:hint="eastAsia" w:ascii="方正仿宋_GBK" w:hAnsi="方正仿宋_GBK" w:eastAsia="方正仿宋_GBK" w:cs="方正仿宋_GBK"/>
          <w:b w:val="0"/>
          <w:bCs w:val="0"/>
          <w:snapToGrid w:val="0"/>
          <w:color w:val="auto"/>
          <w:sz w:val="24"/>
          <w:szCs w:val="24"/>
          <w:highlight w:val="none"/>
          <w:u w:val="none" w:color="auto"/>
        </w:rPr>
        <w:t>原件）</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（2）</w:t>
      </w:r>
      <w:r>
        <w:rPr>
          <w:rFonts w:hint="eastAsia" w:ascii="方正仿宋_GBK" w:hAnsi="方正仿宋_GBK" w:eastAsia="方正仿宋_GBK" w:cs="方正仿宋_GBK"/>
          <w:b w:val="0"/>
          <w:bCs w:val="0"/>
          <w:snapToGrid w:val="0"/>
          <w:color w:val="auto"/>
          <w:sz w:val="24"/>
          <w:szCs w:val="24"/>
          <w:highlight w:val="none"/>
          <w:u w:val="none" w:color="auto"/>
          <w:lang w:eastAsia="zh-CN"/>
        </w:rPr>
        <w:t>磋商</w:t>
      </w:r>
      <w:r>
        <w:rPr>
          <w:rFonts w:hint="eastAsia" w:ascii="方正仿宋_GBK" w:hAnsi="方正仿宋_GBK" w:eastAsia="方正仿宋_GBK" w:cs="方正仿宋_GBK"/>
          <w:b w:val="0"/>
          <w:bCs w:val="0"/>
          <w:snapToGrid w:val="0"/>
          <w:color w:val="auto"/>
          <w:sz w:val="24"/>
          <w:szCs w:val="24"/>
          <w:highlight w:val="none"/>
          <w:u w:val="none" w:color="auto"/>
        </w:rPr>
        <w:t>截止前二年内</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单位和其法定代表人无行贿犯罪记录</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须</w:t>
      </w:r>
      <w:r>
        <w:rPr>
          <w:rFonts w:hint="eastAsia" w:ascii="方正仿宋_GBK" w:hAnsi="方正仿宋_GBK" w:eastAsia="方正仿宋_GBK" w:cs="方正仿宋_GBK"/>
          <w:b w:val="0"/>
          <w:bCs w:val="0"/>
          <w:snapToGrid w:val="0"/>
          <w:color w:val="auto"/>
          <w:sz w:val="24"/>
          <w:szCs w:val="24"/>
          <w:u w:val="none" w:color="auto"/>
          <w:lang w:eastAsia="zh-CN"/>
        </w:rPr>
        <w:t>自行</w:t>
      </w:r>
      <w:r>
        <w:rPr>
          <w:rFonts w:hint="eastAsia" w:ascii="方正仿宋_GBK" w:hAnsi="方正仿宋_GBK" w:eastAsia="方正仿宋_GBK" w:cs="方正仿宋_GBK"/>
          <w:b w:val="0"/>
          <w:bCs w:val="0"/>
          <w:snapToGrid w:val="0"/>
          <w:color w:val="auto"/>
          <w:sz w:val="24"/>
          <w:szCs w:val="24"/>
          <w:u w:val="none" w:color="auto"/>
        </w:rPr>
        <w:t>提交承诺书</w:t>
      </w:r>
      <w:r>
        <w:rPr>
          <w:rFonts w:hint="eastAsia" w:ascii="方正仿宋_GBK" w:hAnsi="方正仿宋_GBK" w:eastAsia="方正仿宋_GBK" w:cs="方正仿宋_GBK"/>
          <w:b w:val="0"/>
          <w:bCs w:val="0"/>
          <w:snapToGrid w:val="0"/>
          <w:color w:val="auto"/>
          <w:sz w:val="24"/>
          <w:szCs w:val="24"/>
          <w:highlight w:val="none"/>
          <w:u w:val="none" w:color="auto"/>
        </w:rPr>
        <w:t>原件</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lang w:eastAsia="zh-CN"/>
        </w:rPr>
      </w:pPr>
      <w:r>
        <w:rPr>
          <w:rFonts w:hint="eastAsia" w:ascii="方正仿宋_GBK" w:hAnsi="方正仿宋_GBK" w:eastAsia="方正仿宋_GBK" w:cs="方正仿宋_GBK"/>
          <w:b w:val="0"/>
          <w:bCs w:val="0"/>
          <w:snapToGrid w:val="0"/>
          <w:color w:val="auto"/>
          <w:sz w:val="24"/>
          <w:szCs w:val="24"/>
          <w:highlight w:val="none"/>
          <w:u w:val="none" w:color="auto"/>
        </w:rPr>
        <w:t>（3）</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被人民法院列为失信被执行人的不得参与</w:t>
      </w:r>
      <w:r>
        <w:rPr>
          <w:rFonts w:hint="eastAsia" w:ascii="方正仿宋_GBK" w:hAnsi="方正仿宋_GBK" w:eastAsia="方正仿宋_GBK" w:cs="方正仿宋_GBK"/>
          <w:b w:val="0"/>
          <w:bCs w:val="0"/>
          <w:snapToGrid w:val="0"/>
          <w:color w:val="auto"/>
          <w:sz w:val="24"/>
          <w:szCs w:val="24"/>
          <w:highlight w:val="none"/>
          <w:u w:val="none" w:color="auto"/>
          <w:lang w:eastAsia="zh-CN"/>
        </w:rPr>
        <w:t>本项目</w:t>
      </w:r>
      <w:r>
        <w:rPr>
          <w:rFonts w:hint="eastAsia" w:ascii="方正仿宋_GBK" w:hAnsi="方正仿宋_GBK" w:eastAsia="方正仿宋_GBK" w:cs="方正仿宋_GBK"/>
          <w:b w:val="0"/>
          <w:bCs w:val="0"/>
          <w:snapToGrid w:val="0"/>
          <w:color w:val="auto"/>
          <w:sz w:val="24"/>
          <w:szCs w:val="24"/>
          <w:highlight w:val="none"/>
          <w:u w:val="none" w:color="auto"/>
        </w:rPr>
        <w:t>。</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应通过“信用中国”网站（www.creditchina.gov.cn）查询被列为失信被执行人情况，并在</w:t>
      </w:r>
      <w:r>
        <w:rPr>
          <w:rFonts w:hint="eastAsia" w:ascii="方正仿宋_GBK" w:hAnsi="方正仿宋_GBK" w:eastAsia="方正仿宋_GBK" w:cs="方正仿宋_GBK"/>
          <w:b w:val="0"/>
          <w:bCs w:val="0"/>
          <w:snapToGrid w:val="0"/>
          <w:color w:val="auto"/>
          <w:sz w:val="24"/>
          <w:szCs w:val="24"/>
          <w:highlight w:val="none"/>
          <w:u w:val="none" w:color="auto"/>
          <w:lang w:eastAsia="zh-CN"/>
        </w:rPr>
        <w:t>响应</w:t>
      </w:r>
      <w:r>
        <w:rPr>
          <w:rFonts w:hint="eastAsia" w:ascii="方正仿宋_GBK" w:hAnsi="方正仿宋_GBK" w:eastAsia="方正仿宋_GBK" w:cs="方正仿宋_GBK"/>
          <w:b w:val="0"/>
          <w:bCs w:val="0"/>
          <w:snapToGrid w:val="0"/>
          <w:color w:val="auto"/>
          <w:sz w:val="24"/>
          <w:szCs w:val="24"/>
          <w:highlight w:val="none"/>
          <w:u w:val="none" w:color="auto"/>
        </w:rPr>
        <w:t>文件中提供相关查询截图并加盖</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公章</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（4）</w:t>
      </w:r>
      <w:r>
        <w:rPr>
          <w:rFonts w:hint="eastAsia" w:ascii="方正仿宋_GBK" w:hAnsi="方正仿宋_GBK" w:eastAsia="方正仿宋_GBK" w:cs="方正仿宋_GBK"/>
          <w:b w:val="0"/>
          <w:bCs w:val="0"/>
          <w:snapToGrid w:val="0"/>
          <w:color w:val="auto"/>
          <w:sz w:val="24"/>
          <w:szCs w:val="24"/>
          <w:u w:val="none" w:color="auto"/>
          <w:lang w:eastAsia="zh-CN"/>
        </w:rPr>
        <w:t>供应商自行</w:t>
      </w:r>
      <w:r>
        <w:rPr>
          <w:rFonts w:hint="eastAsia" w:ascii="方正仿宋_GBK" w:hAnsi="方正仿宋_GBK" w:eastAsia="方正仿宋_GBK" w:cs="方正仿宋_GBK"/>
          <w:b w:val="0"/>
          <w:bCs w:val="0"/>
          <w:snapToGrid w:val="0"/>
          <w:color w:val="auto"/>
          <w:sz w:val="24"/>
          <w:szCs w:val="24"/>
          <w:u w:val="none" w:color="auto"/>
        </w:rPr>
        <w:t>提交承诺书</w:t>
      </w:r>
      <w:r>
        <w:rPr>
          <w:rFonts w:hint="eastAsia" w:ascii="方正仿宋_GBK" w:hAnsi="方正仿宋_GBK" w:eastAsia="方正仿宋_GBK" w:cs="方正仿宋_GBK"/>
          <w:b w:val="0"/>
          <w:bCs w:val="0"/>
          <w:snapToGrid w:val="0"/>
          <w:color w:val="auto"/>
          <w:sz w:val="24"/>
          <w:szCs w:val="24"/>
          <w:highlight w:val="none"/>
          <w:u w:val="none" w:color="auto"/>
        </w:rPr>
        <w:t>原件</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承诺不得存在下列情形之一：</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1）被列入《重庆市工程建设领域</w:t>
      </w:r>
      <w:r>
        <w:rPr>
          <w:rFonts w:hint="eastAsia" w:ascii="方正仿宋_GBK" w:hAnsi="方正仿宋_GBK" w:eastAsia="方正仿宋_GBK" w:cs="方正仿宋_GBK"/>
          <w:b w:val="0"/>
          <w:bCs w:val="0"/>
          <w:snapToGrid w:val="0"/>
          <w:color w:val="auto"/>
          <w:sz w:val="24"/>
          <w:szCs w:val="24"/>
          <w:u w:val="none" w:color="auto"/>
          <w:lang w:eastAsia="zh-CN"/>
        </w:rPr>
        <w:t>招标</w:t>
      </w:r>
      <w:r>
        <w:rPr>
          <w:rFonts w:hint="eastAsia" w:ascii="方正仿宋_GBK" w:hAnsi="方正仿宋_GBK" w:eastAsia="方正仿宋_GBK" w:cs="方正仿宋_GBK"/>
          <w:b w:val="0"/>
          <w:bCs w:val="0"/>
          <w:snapToGrid w:val="0"/>
          <w:color w:val="auto"/>
          <w:sz w:val="24"/>
          <w:szCs w:val="24"/>
          <w:u w:val="none" w:color="auto"/>
        </w:rPr>
        <w:t>投标信用管理暂行办法》规定的重点关注名单且记分达到12分；</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2）被列入《重庆市工程建设领域</w:t>
      </w:r>
      <w:r>
        <w:rPr>
          <w:rFonts w:hint="eastAsia" w:ascii="方正仿宋_GBK" w:hAnsi="方正仿宋_GBK" w:eastAsia="方正仿宋_GBK" w:cs="方正仿宋_GBK"/>
          <w:b w:val="0"/>
          <w:bCs w:val="0"/>
          <w:snapToGrid w:val="0"/>
          <w:color w:val="auto"/>
          <w:sz w:val="24"/>
          <w:szCs w:val="24"/>
          <w:u w:val="none" w:color="auto"/>
          <w:lang w:eastAsia="zh-CN"/>
        </w:rPr>
        <w:t>招标</w:t>
      </w:r>
      <w:r>
        <w:rPr>
          <w:rFonts w:hint="eastAsia" w:ascii="方正仿宋_GBK" w:hAnsi="方正仿宋_GBK" w:eastAsia="方正仿宋_GBK" w:cs="方正仿宋_GBK"/>
          <w:b w:val="0"/>
          <w:bCs w:val="0"/>
          <w:snapToGrid w:val="0"/>
          <w:color w:val="auto"/>
          <w:sz w:val="24"/>
          <w:szCs w:val="24"/>
          <w:u w:val="none" w:color="auto"/>
        </w:rPr>
        <w:t>投标信用管理暂行办法》规定的黑名单；</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3）被国家、重庆市（含市或任意区县）有关行政部门处以暂停投标资格行政处罚，且在处罚期限内；</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lang w:eastAsia="zh-CN"/>
        </w:rPr>
      </w:pPr>
      <w:r>
        <w:rPr>
          <w:rFonts w:hint="eastAsia" w:ascii="方正仿宋_GBK" w:hAnsi="方正仿宋_GBK" w:eastAsia="方正仿宋_GBK" w:cs="方正仿宋_GBK"/>
          <w:b w:val="0"/>
          <w:bCs w:val="0"/>
          <w:snapToGrid w:val="0"/>
          <w:color w:val="auto"/>
          <w:sz w:val="24"/>
          <w:szCs w:val="24"/>
          <w:u w:val="none" w:color="auto"/>
        </w:rPr>
        <w:t>4）被重庆市住房和城乡建设主管部门暂停在渝承揽新业务。</w:t>
      </w:r>
    </w:p>
    <w:p>
      <w:pPr>
        <w:outlineLvl w:val="9"/>
        <w:rPr>
          <w:rFonts w:hint="eastAsia" w:ascii="方正仿宋_GBK" w:hAnsi="方正仿宋_GBK" w:eastAsia="方正仿宋_GBK" w:cs="方正仿宋_GBK"/>
          <w:b w:val="0"/>
          <w:bCs w:val="0"/>
          <w:color w:val="auto"/>
          <w:lang w:val="en-US" w:eastAsia="zh-CN"/>
        </w:rPr>
      </w:pP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注：</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①以上证书、证件均须真实、有效。</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②以上资料复印件</w:t>
      </w:r>
      <w:r>
        <w:rPr>
          <w:rFonts w:hint="eastAsia" w:ascii="方正仿宋_GBK" w:hAnsi="方正仿宋_GBK" w:eastAsia="方正仿宋_GBK" w:cs="方正仿宋_GBK"/>
          <w:b w:val="0"/>
          <w:bCs w:val="0"/>
          <w:snapToGrid w:val="0"/>
          <w:color w:val="auto"/>
          <w:sz w:val="24"/>
          <w:szCs w:val="24"/>
          <w:highlight w:val="none"/>
          <w:u w:val="none" w:color="auto"/>
          <w:lang w:eastAsia="zh-CN"/>
        </w:rPr>
        <w:t>须</w:t>
      </w:r>
      <w:r>
        <w:rPr>
          <w:rFonts w:hint="eastAsia" w:ascii="方正仿宋_GBK" w:hAnsi="方正仿宋_GBK" w:eastAsia="方正仿宋_GBK" w:cs="方正仿宋_GBK"/>
          <w:b w:val="0"/>
          <w:bCs w:val="0"/>
          <w:snapToGrid w:val="0"/>
          <w:color w:val="auto"/>
          <w:sz w:val="24"/>
          <w:szCs w:val="24"/>
          <w:highlight w:val="none"/>
          <w:u w:val="none" w:color="auto"/>
        </w:rPr>
        <w:t>加盖</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公章。</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rPr>
        <w:t>④</w:t>
      </w:r>
      <w:r>
        <w:rPr>
          <w:rFonts w:hint="eastAsia" w:ascii="方正仿宋_GBK" w:hAnsi="方正仿宋_GBK" w:eastAsia="方正仿宋_GBK" w:cs="方正仿宋_GBK"/>
          <w:b w:val="0"/>
          <w:bCs w:val="0"/>
          <w:snapToGrid w:val="0"/>
          <w:color w:val="auto"/>
          <w:sz w:val="24"/>
          <w:szCs w:val="24"/>
          <w:highlight w:val="none"/>
          <w:u w:val="none" w:color="auto"/>
          <w:lang w:eastAsia="zh-CN"/>
        </w:rPr>
        <w:t>未按上述要求进行响应的文件视作符合性审查不合格，</w:t>
      </w:r>
      <w:r>
        <w:rPr>
          <w:rFonts w:hint="eastAsia" w:ascii="方正仿宋_GBK" w:hAnsi="方正仿宋_GBK" w:eastAsia="方正仿宋_GBK" w:cs="方正仿宋_GBK"/>
          <w:b w:val="0"/>
          <w:bCs w:val="0"/>
          <w:snapToGrid w:val="0"/>
          <w:color w:val="auto"/>
          <w:sz w:val="24"/>
          <w:szCs w:val="24"/>
          <w:highlight w:val="none"/>
          <w:u w:val="none" w:color="auto"/>
        </w:rPr>
        <w:t>将不再进入下一步评审。</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eastAsia="zh-CN"/>
        </w:rPr>
        <w:t>⑤采购人</w:t>
      </w:r>
      <w:r>
        <w:rPr>
          <w:rFonts w:hint="eastAsia" w:ascii="方正仿宋_GBK" w:hAnsi="方正仿宋_GBK" w:eastAsia="方正仿宋_GBK" w:cs="方正仿宋_GBK"/>
          <w:b w:val="0"/>
          <w:bCs w:val="0"/>
          <w:snapToGrid w:val="0"/>
          <w:color w:val="auto"/>
          <w:sz w:val="24"/>
          <w:szCs w:val="24"/>
          <w:u w:val="none" w:color="auto"/>
        </w:rPr>
        <w:t>保留对</w:t>
      </w:r>
      <w:r>
        <w:rPr>
          <w:rFonts w:hint="eastAsia" w:ascii="方正仿宋_GBK" w:hAnsi="方正仿宋_GBK" w:eastAsia="方正仿宋_GBK" w:cs="方正仿宋_GBK"/>
          <w:b w:val="0"/>
          <w:bCs w:val="0"/>
          <w:snapToGrid w:val="0"/>
          <w:color w:val="auto"/>
          <w:sz w:val="24"/>
          <w:szCs w:val="24"/>
          <w:u w:val="none" w:color="auto"/>
          <w:lang w:eastAsia="zh-CN"/>
        </w:rPr>
        <w:t>供应商</w:t>
      </w:r>
      <w:r>
        <w:rPr>
          <w:rFonts w:hint="eastAsia" w:ascii="方正仿宋_GBK" w:hAnsi="方正仿宋_GBK" w:eastAsia="方正仿宋_GBK" w:cs="方正仿宋_GBK"/>
          <w:b w:val="0"/>
          <w:bCs w:val="0"/>
          <w:snapToGrid w:val="0"/>
          <w:color w:val="auto"/>
          <w:sz w:val="24"/>
          <w:szCs w:val="24"/>
          <w:u w:val="none" w:color="auto"/>
        </w:rPr>
        <w:t>提供的</w:t>
      </w:r>
      <w:r>
        <w:rPr>
          <w:rFonts w:hint="eastAsia" w:ascii="方正仿宋_GBK" w:hAnsi="方正仿宋_GBK" w:eastAsia="方正仿宋_GBK" w:cs="方正仿宋_GBK"/>
          <w:b w:val="0"/>
          <w:bCs w:val="0"/>
          <w:snapToGrid w:val="0"/>
          <w:color w:val="auto"/>
          <w:sz w:val="24"/>
          <w:szCs w:val="24"/>
          <w:u w:val="none" w:color="auto"/>
          <w:lang w:eastAsia="zh-CN"/>
        </w:rPr>
        <w:t>响应文件</w:t>
      </w:r>
      <w:r>
        <w:rPr>
          <w:rFonts w:hint="eastAsia" w:ascii="方正仿宋_GBK" w:hAnsi="方正仿宋_GBK" w:eastAsia="方正仿宋_GBK" w:cs="方正仿宋_GBK"/>
          <w:b w:val="0"/>
          <w:bCs w:val="0"/>
          <w:snapToGrid w:val="0"/>
          <w:color w:val="auto"/>
          <w:sz w:val="24"/>
          <w:szCs w:val="24"/>
          <w:u w:val="none" w:color="auto"/>
        </w:rPr>
        <w:t>进行进一步查验的权利。若为</w:t>
      </w:r>
      <w:r>
        <w:rPr>
          <w:rFonts w:hint="eastAsia" w:ascii="方正仿宋_GBK" w:hAnsi="方正仿宋_GBK" w:eastAsia="方正仿宋_GBK" w:cs="方正仿宋_GBK"/>
          <w:b w:val="0"/>
          <w:bCs w:val="0"/>
          <w:snapToGrid w:val="0"/>
          <w:color w:val="auto"/>
          <w:sz w:val="24"/>
          <w:szCs w:val="24"/>
          <w:u w:val="none" w:color="auto"/>
          <w:lang w:eastAsia="zh-CN"/>
        </w:rPr>
        <w:t>成交候选人</w:t>
      </w:r>
      <w:r>
        <w:rPr>
          <w:rFonts w:hint="eastAsia" w:ascii="方正仿宋_GBK" w:hAnsi="方正仿宋_GBK" w:eastAsia="方正仿宋_GBK" w:cs="方正仿宋_GBK"/>
          <w:b w:val="0"/>
          <w:bCs w:val="0"/>
          <w:snapToGrid w:val="0"/>
          <w:color w:val="auto"/>
          <w:sz w:val="24"/>
          <w:szCs w:val="24"/>
          <w:u w:val="none" w:color="auto"/>
        </w:rPr>
        <w:t>，将取消</w:t>
      </w:r>
      <w:r>
        <w:rPr>
          <w:rFonts w:hint="eastAsia" w:ascii="方正仿宋_GBK" w:hAnsi="方正仿宋_GBK" w:eastAsia="方正仿宋_GBK" w:cs="方正仿宋_GBK"/>
          <w:b w:val="0"/>
          <w:bCs w:val="0"/>
          <w:snapToGrid w:val="0"/>
          <w:color w:val="auto"/>
          <w:sz w:val="24"/>
          <w:szCs w:val="24"/>
          <w:u w:val="none" w:color="auto"/>
          <w:lang w:eastAsia="zh-CN"/>
        </w:rPr>
        <w:t>成交候选人</w:t>
      </w:r>
      <w:r>
        <w:rPr>
          <w:rFonts w:hint="eastAsia" w:ascii="方正仿宋_GBK" w:hAnsi="方正仿宋_GBK" w:eastAsia="方正仿宋_GBK" w:cs="方正仿宋_GBK"/>
          <w:b w:val="0"/>
          <w:bCs w:val="0"/>
          <w:snapToGrid w:val="0"/>
          <w:color w:val="auto"/>
          <w:sz w:val="24"/>
          <w:szCs w:val="24"/>
          <w:u w:val="none" w:color="auto"/>
        </w:rPr>
        <w:t>资格</w:t>
      </w:r>
      <w:r>
        <w:rPr>
          <w:rFonts w:hint="eastAsia" w:ascii="方正仿宋_GBK" w:hAnsi="方正仿宋_GBK" w:eastAsia="方正仿宋_GBK" w:cs="方正仿宋_GBK"/>
          <w:b w:val="0"/>
          <w:bCs w:val="0"/>
          <w:snapToGrid w:val="0"/>
          <w:color w:val="auto"/>
          <w:sz w:val="24"/>
          <w:szCs w:val="24"/>
          <w:u w:val="none" w:color="auto"/>
          <w:lang w:eastAsia="zh-CN"/>
        </w:rPr>
        <w:t>；</w:t>
      </w:r>
      <w:r>
        <w:rPr>
          <w:rFonts w:hint="eastAsia" w:ascii="方正仿宋_GBK" w:hAnsi="方正仿宋_GBK" w:eastAsia="方正仿宋_GBK" w:cs="方正仿宋_GBK"/>
          <w:b w:val="0"/>
          <w:bCs w:val="0"/>
          <w:snapToGrid w:val="0"/>
          <w:color w:val="auto"/>
          <w:sz w:val="24"/>
          <w:szCs w:val="24"/>
          <w:u w:val="none" w:color="auto"/>
        </w:rPr>
        <w:t>若为</w:t>
      </w:r>
      <w:r>
        <w:rPr>
          <w:rFonts w:hint="eastAsia" w:ascii="方正仿宋_GBK" w:hAnsi="方正仿宋_GBK" w:eastAsia="方正仿宋_GBK" w:cs="方正仿宋_GBK"/>
          <w:b w:val="0"/>
          <w:bCs w:val="0"/>
          <w:snapToGrid w:val="0"/>
          <w:color w:val="auto"/>
          <w:sz w:val="24"/>
          <w:szCs w:val="24"/>
          <w:u w:val="none" w:color="auto"/>
          <w:lang w:eastAsia="zh-CN"/>
        </w:rPr>
        <w:t>成交供应商</w:t>
      </w:r>
      <w:r>
        <w:rPr>
          <w:rFonts w:hint="eastAsia" w:ascii="方正仿宋_GBK" w:hAnsi="方正仿宋_GBK" w:eastAsia="方正仿宋_GBK" w:cs="方正仿宋_GBK"/>
          <w:b w:val="0"/>
          <w:bCs w:val="0"/>
          <w:snapToGrid w:val="0"/>
          <w:color w:val="auto"/>
          <w:sz w:val="24"/>
          <w:szCs w:val="24"/>
          <w:u w:val="none" w:color="auto"/>
        </w:rPr>
        <w:t>，将取消</w:t>
      </w:r>
      <w:r>
        <w:rPr>
          <w:rFonts w:hint="eastAsia" w:ascii="方正仿宋_GBK" w:hAnsi="方正仿宋_GBK" w:eastAsia="方正仿宋_GBK" w:cs="方正仿宋_GBK"/>
          <w:b w:val="0"/>
          <w:bCs w:val="0"/>
          <w:snapToGrid w:val="0"/>
          <w:color w:val="auto"/>
          <w:sz w:val="24"/>
          <w:szCs w:val="24"/>
          <w:u w:val="none" w:color="auto"/>
          <w:lang w:eastAsia="zh-CN"/>
        </w:rPr>
        <w:t>成交</w:t>
      </w:r>
      <w:r>
        <w:rPr>
          <w:rFonts w:hint="eastAsia" w:ascii="方正仿宋_GBK" w:hAnsi="方正仿宋_GBK" w:eastAsia="方正仿宋_GBK" w:cs="方正仿宋_GBK"/>
          <w:b w:val="0"/>
          <w:bCs w:val="0"/>
          <w:snapToGrid w:val="0"/>
          <w:color w:val="auto"/>
          <w:sz w:val="24"/>
          <w:szCs w:val="24"/>
          <w:u w:val="none" w:color="auto"/>
        </w:rPr>
        <w:t>资格。并将依据有关法规处理。</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p>
    <w:p>
      <w:pPr>
        <w:spacing w:before="0" w:after="0" w:line="360" w:lineRule="auto"/>
        <w:outlineLvl w:val="0"/>
        <w:rPr>
          <w:rFonts w:hint="eastAsia" w:ascii="方正仿宋_GBK" w:hAnsi="方正仿宋_GBK" w:eastAsia="方正仿宋_GBK" w:cs="方正仿宋_GBK"/>
          <w:b/>
          <w:bCs/>
          <w:color w:val="auto"/>
          <w:sz w:val="36"/>
          <w:szCs w:val="36"/>
          <w:highlight w:val="none"/>
        </w:rPr>
      </w:pPr>
      <w:bookmarkStart w:id="32" w:name="_Toc30316"/>
    </w:p>
    <w:p>
      <w:pPr>
        <w:spacing w:before="0" w:after="0" w:line="360" w:lineRule="auto"/>
        <w:ind w:firstLine="2891" w:firstLineChars="800"/>
        <w:outlineLvl w:val="0"/>
        <w:rPr>
          <w:rFonts w:hint="eastAsia" w:ascii="方正仿宋_GBK" w:hAnsi="方正仿宋_GBK" w:eastAsia="方正仿宋_GBK" w:cs="方正仿宋_GBK"/>
          <w:b/>
          <w:bCs/>
          <w:color w:val="auto"/>
          <w:sz w:val="36"/>
          <w:szCs w:val="36"/>
          <w:highlight w:val="none"/>
        </w:rPr>
      </w:pPr>
      <w:bookmarkStart w:id="33" w:name="_Toc20934"/>
      <w:r>
        <w:rPr>
          <w:rFonts w:hint="eastAsia" w:ascii="方正仿宋_GBK" w:hAnsi="方正仿宋_GBK" w:eastAsia="方正仿宋_GBK" w:cs="方正仿宋_GBK"/>
          <w:b/>
          <w:bCs/>
          <w:color w:val="auto"/>
          <w:sz w:val="36"/>
          <w:szCs w:val="36"/>
          <w:highlight w:val="none"/>
        </w:rPr>
        <w:t>第三篇  采购商务需求</w:t>
      </w:r>
      <w:bookmarkEnd w:id="29"/>
      <w:bookmarkEnd w:id="32"/>
      <w:bookmarkEnd w:id="33"/>
    </w:p>
    <w:p>
      <w:pPr>
        <w:pageBreakBefore w:val="0"/>
        <w:widowControl w:val="0"/>
        <w:kinsoku/>
        <w:wordWrap/>
        <w:overflowPunct/>
        <w:topLinePunct w:val="0"/>
        <w:autoSpaceDE/>
        <w:autoSpaceDN/>
        <w:bidi w:val="0"/>
        <w:adjustRightInd/>
        <w:spacing w:line="400" w:lineRule="exact"/>
        <w:textAlignment w:val="auto"/>
        <w:outlineLvl w:val="9"/>
        <w:rPr>
          <w:rFonts w:hint="eastAsia" w:ascii="方正仿宋_GBK" w:hAnsi="方正仿宋_GBK" w:eastAsia="方正仿宋_GBK" w:cs="方正仿宋_GBK"/>
          <w:b/>
          <w:bCs/>
          <w:color w:val="auto"/>
          <w:sz w:val="24"/>
          <w:szCs w:val="24"/>
          <w:highlight w:val="none"/>
        </w:rPr>
      </w:pPr>
      <w:bookmarkStart w:id="34" w:name="_Toc344475120"/>
      <w:r>
        <w:rPr>
          <w:rFonts w:hint="eastAsia" w:ascii="方正仿宋_GBK" w:hAnsi="方正仿宋_GBK" w:eastAsia="方正仿宋_GBK" w:cs="方正仿宋_GBK"/>
          <w:b/>
          <w:bCs/>
          <w:color w:val="auto"/>
          <w:sz w:val="24"/>
          <w:szCs w:val="24"/>
          <w:highlight w:val="none"/>
        </w:rPr>
        <w:t>备注：★标注条款为实质性要求，作为符合性评审标准。</w:t>
      </w:r>
    </w:p>
    <w:p>
      <w:pPr>
        <w:pageBreakBefore w:val="0"/>
        <w:widowControl w:val="0"/>
        <w:kinsoku/>
        <w:wordWrap/>
        <w:overflowPunct/>
        <w:topLinePunct w:val="0"/>
        <w:autoSpaceDE/>
        <w:autoSpaceDN/>
        <w:bidi w:val="0"/>
        <w:adjustRightInd/>
        <w:spacing w:before="0" w:after="0" w:line="400" w:lineRule="exact"/>
        <w:textAlignment w:val="auto"/>
        <w:outlineLvl w:val="1"/>
        <w:rPr>
          <w:rFonts w:hint="eastAsia" w:ascii="方正仿宋_GBK" w:hAnsi="方正仿宋_GBK" w:eastAsia="方正仿宋_GBK" w:cs="方正仿宋_GBK"/>
          <w:b w:val="0"/>
          <w:bCs w:val="0"/>
          <w:color w:val="auto"/>
          <w:sz w:val="24"/>
          <w:szCs w:val="24"/>
          <w:highlight w:val="none"/>
        </w:rPr>
      </w:pPr>
      <w:bookmarkStart w:id="35" w:name="_Toc6655"/>
      <w:bookmarkStart w:id="36" w:name="_Toc4239"/>
      <w:bookmarkStart w:id="37" w:name="_Toc23359"/>
      <w:r>
        <w:rPr>
          <w:rFonts w:hint="eastAsia" w:ascii="方正仿宋_GBK" w:hAnsi="方正仿宋_GBK" w:eastAsia="方正仿宋_GBK" w:cs="方正仿宋_GBK"/>
          <w:b w:val="0"/>
          <w:bCs w:val="0"/>
          <w:color w:val="auto"/>
          <w:sz w:val="24"/>
          <w:szCs w:val="24"/>
          <w:highlight w:val="none"/>
        </w:rPr>
        <w:t>一、</w:t>
      </w:r>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sz w:val="24"/>
          <w:szCs w:val="22"/>
          <w:highlight w:val="none"/>
          <w:lang w:eastAsia="zh-CN"/>
        </w:rPr>
        <w:t>工期</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建设</w:t>
      </w:r>
      <w:r>
        <w:rPr>
          <w:rFonts w:hint="eastAsia" w:ascii="方正仿宋_GBK" w:hAnsi="方正仿宋_GBK" w:eastAsia="方正仿宋_GBK" w:cs="方正仿宋_GBK"/>
          <w:b w:val="0"/>
          <w:bCs w:val="0"/>
          <w:color w:val="auto"/>
          <w:sz w:val="24"/>
          <w:szCs w:val="24"/>
          <w:highlight w:val="none"/>
        </w:rPr>
        <w:t>地点</w:t>
      </w:r>
      <w:bookmarkEnd w:id="34"/>
      <w:bookmarkEnd w:id="35"/>
      <w:bookmarkEnd w:id="36"/>
      <w:bookmarkEnd w:id="37"/>
    </w:p>
    <w:p>
      <w:pPr>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highlight w:val="none"/>
        </w:rPr>
      </w:pPr>
      <w:bookmarkStart w:id="38" w:name="_Toc344475121"/>
      <w:r>
        <w:rPr>
          <w:rFonts w:hint="eastAsia" w:ascii="方正仿宋_GBK" w:hAnsi="方正仿宋_GBK" w:eastAsia="方正仿宋_GBK" w:cs="方正仿宋_GBK"/>
          <w:b w:val="0"/>
          <w:bCs w:val="0"/>
          <w:color w:val="auto"/>
          <w:sz w:val="24"/>
          <w:szCs w:val="24"/>
          <w:highlight w:val="none"/>
        </w:rPr>
        <w:t>（一）</w:t>
      </w:r>
      <w:r>
        <w:rPr>
          <w:rFonts w:hint="eastAsia" w:ascii="方正仿宋_GBK" w:hAnsi="方正仿宋_GBK" w:eastAsia="方正仿宋_GBK" w:cs="方正仿宋_GBK"/>
          <w:b w:val="0"/>
          <w:bCs w:val="0"/>
          <w:color w:val="auto"/>
          <w:sz w:val="24"/>
          <w:szCs w:val="24"/>
          <w:highlight w:val="none"/>
          <w:lang w:eastAsia="zh-CN"/>
        </w:rPr>
        <w:t>工</w:t>
      </w:r>
      <w:r>
        <w:rPr>
          <w:rFonts w:hint="eastAsia" w:ascii="方正仿宋_GBK" w:hAnsi="方正仿宋_GBK" w:eastAsia="方正仿宋_GBK" w:cs="方正仿宋_GBK"/>
          <w:b w:val="0"/>
          <w:bCs w:val="0"/>
          <w:color w:val="auto"/>
          <w:sz w:val="24"/>
          <w:szCs w:val="24"/>
          <w:highlight w:val="none"/>
        </w:rPr>
        <w:t xml:space="preserve">期：合同签订后 </w:t>
      </w:r>
      <w:r>
        <w:rPr>
          <w:rFonts w:hint="eastAsia" w:ascii="方正仿宋_GBK" w:hAnsi="方正仿宋_GBK" w:eastAsia="方正仿宋_GBK" w:cs="方正仿宋_GBK"/>
          <w:b w:val="0"/>
          <w:bCs w:val="0"/>
          <w:color w:val="auto"/>
          <w:sz w:val="24"/>
          <w:szCs w:val="24"/>
          <w:highlight w:val="none"/>
          <w:lang w:val="en-US" w:eastAsia="zh-CN"/>
        </w:rPr>
        <w:t>30</w:t>
      </w:r>
      <w:r>
        <w:rPr>
          <w:rFonts w:hint="eastAsia" w:ascii="方正仿宋_GBK" w:hAnsi="方正仿宋_GBK" w:eastAsia="方正仿宋_GBK" w:cs="方正仿宋_GBK"/>
          <w:b w:val="0"/>
          <w:bCs w:val="0"/>
          <w:color w:val="auto"/>
          <w:sz w:val="24"/>
          <w:szCs w:val="24"/>
          <w:highlight w:val="none"/>
        </w:rPr>
        <w:t>日历日内完成。</w:t>
      </w:r>
    </w:p>
    <w:p>
      <w:pPr>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eastAsia="zh-CN"/>
        </w:rPr>
      </w:pPr>
      <w:r>
        <w:rPr>
          <w:rFonts w:hint="eastAsia" w:ascii="方正仿宋_GBK" w:hAnsi="方正仿宋_GBK" w:eastAsia="方正仿宋_GBK" w:cs="方正仿宋_GBK"/>
          <w:b w:val="0"/>
          <w:bCs w:val="0"/>
          <w:color w:val="auto"/>
          <w:sz w:val="24"/>
          <w:szCs w:val="24"/>
        </w:rPr>
        <w:t>（二）</w:t>
      </w:r>
      <w:r>
        <w:rPr>
          <w:rFonts w:hint="eastAsia" w:ascii="方正仿宋_GBK" w:hAnsi="方正仿宋_GBK" w:eastAsia="方正仿宋_GBK" w:cs="方正仿宋_GBK"/>
          <w:b w:val="0"/>
          <w:bCs w:val="0"/>
          <w:color w:val="auto"/>
          <w:sz w:val="24"/>
          <w:szCs w:val="24"/>
          <w:lang w:eastAsia="zh-CN"/>
        </w:rPr>
        <w:t>建设</w:t>
      </w:r>
      <w:r>
        <w:rPr>
          <w:rFonts w:hint="eastAsia" w:ascii="方正仿宋_GBK" w:hAnsi="方正仿宋_GBK" w:eastAsia="方正仿宋_GBK" w:cs="方正仿宋_GBK"/>
          <w:b w:val="0"/>
          <w:bCs w:val="0"/>
          <w:color w:val="auto"/>
          <w:sz w:val="24"/>
          <w:szCs w:val="24"/>
        </w:rPr>
        <w:t>地点：</w:t>
      </w:r>
      <w:r>
        <w:rPr>
          <w:rFonts w:hint="eastAsia" w:ascii="方正仿宋_GBK" w:hAnsi="方正仿宋_GBK" w:eastAsia="方正仿宋_GBK" w:cs="方正仿宋_GBK"/>
          <w:b w:val="0"/>
          <w:bCs w:val="0"/>
          <w:color w:val="auto"/>
          <w:sz w:val="24"/>
          <w:szCs w:val="24"/>
          <w:lang w:eastAsia="zh-CN"/>
        </w:rPr>
        <w:t>重庆市璧山区璧泉街道铁山路1号附8栋。</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（三）验收方式：</w:t>
      </w:r>
      <w:r>
        <w:rPr>
          <w:rFonts w:hint="eastAsia" w:ascii="方正仿宋_GBK" w:hAnsi="方正仿宋_GBK" w:eastAsia="方正仿宋_GBK" w:cs="方正仿宋_GBK"/>
          <w:b w:val="0"/>
          <w:bCs w:val="0"/>
          <w:color w:val="auto"/>
          <w:sz w:val="24"/>
          <w:szCs w:val="24"/>
          <w:lang w:eastAsia="zh-CN"/>
        </w:rPr>
        <w:t>建设完毕后成交供应商向采购人提出验收申请，由采购人具体组织验收，并出具验收材料</w:t>
      </w:r>
      <w:r>
        <w:rPr>
          <w:rFonts w:hint="eastAsia" w:ascii="方正仿宋_GBK" w:hAnsi="方正仿宋_GBK" w:eastAsia="方正仿宋_GBK" w:cs="方正仿宋_GBK"/>
          <w:b w:val="0"/>
          <w:bCs w:val="0"/>
          <w:color w:val="auto"/>
          <w:sz w:val="24"/>
          <w:szCs w:val="24"/>
        </w:rPr>
        <w:t>。</w:t>
      </w:r>
    </w:p>
    <w:p>
      <w:pPr>
        <w:pageBreakBefore w:val="0"/>
        <w:widowControl w:val="0"/>
        <w:kinsoku/>
        <w:wordWrap/>
        <w:overflowPunct/>
        <w:topLinePunct w:val="0"/>
        <w:autoSpaceDE/>
        <w:autoSpaceDN/>
        <w:bidi w:val="0"/>
        <w:adjustRightInd/>
        <w:snapToGrid/>
        <w:spacing w:before="0" w:after="0" w:line="400" w:lineRule="exact"/>
        <w:textAlignment w:val="auto"/>
        <w:outlineLvl w:val="1"/>
        <w:rPr>
          <w:rFonts w:hint="eastAsia" w:ascii="方正仿宋_GBK" w:hAnsi="方正仿宋_GBK" w:eastAsia="方正仿宋_GBK" w:cs="方正仿宋_GBK"/>
          <w:b w:val="0"/>
          <w:bCs w:val="0"/>
          <w:color w:val="auto"/>
          <w:sz w:val="24"/>
          <w:szCs w:val="24"/>
          <w:highlight w:val="none"/>
          <w:lang w:eastAsia="zh-CN"/>
        </w:rPr>
      </w:pPr>
      <w:bookmarkStart w:id="39" w:name="_Toc5882"/>
      <w:bookmarkStart w:id="40" w:name="_Toc29586"/>
      <w:bookmarkStart w:id="41" w:name="_Toc19339"/>
      <w:r>
        <w:rPr>
          <w:rFonts w:hint="eastAsia" w:ascii="方正仿宋_GBK" w:hAnsi="方正仿宋_GBK" w:eastAsia="方正仿宋_GBK" w:cs="方正仿宋_GBK"/>
          <w:b w:val="0"/>
          <w:bCs w:val="0"/>
          <w:color w:val="auto"/>
          <w:sz w:val="24"/>
          <w:szCs w:val="24"/>
          <w:highlight w:val="none"/>
        </w:rPr>
        <w:t>二、</w:t>
      </w:r>
      <w:bookmarkEnd w:id="38"/>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sz w:val="24"/>
          <w:szCs w:val="24"/>
          <w:highlight w:val="none"/>
        </w:rPr>
        <w:t>报价</w:t>
      </w:r>
      <w:r>
        <w:rPr>
          <w:rFonts w:hint="eastAsia" w:ascii="方正仿宋_GBK" w:hAnsi="方正仿宋_GBK" w:eastAsia="方正仿宋_GBK" w:cs="方正仿宋_GBK"/>
          <w:b w:val="0"/>
          <w:bCs w:val="0"/>
          <w:color w:val="auto"/>
          <w:sz w:val="24"/>
          <w:szCs w:val="24"/>
          <w:highlight w:val="none"/>
          <w:lang w:eastAsia="zh-CN"/>
        </w:rPr>
        <w:t>及工程结算</w:t>
      </w:r>
      <w:bookmarkEnd w:id="39"/>
      <w:bookmarkEnd w:id="40"/>
      <w:bookmarkEnd w:id="41"/>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rPr>
      </w:pPr>
      <w:r>
        <w:rPr>
          <w:rFonts w:hint="eastAsia" w:ascii="方正仿宋_GBK" w:hAnsi="方正仿宋_GBK" w:eastAsia="方正仿宋_GBK" w:cs="方正仿宋_GBK"/>
          <w:b w:val="0"/>
          <w:bCs w:val="0"/>
          <w:color w:val="auto"/>
          <w:sz w:val="24"/>
          <w:szCs w:val="24"/>
          <w:lang w:val="zh-CN" w:eastAsia="zh-CN"/>
        </w:rPr>
        <w:t>（一）供应商应按本项目对外发布工程量清单的要求填写相应清单表格。供应商的响应报价应是本项目采购范围内的全部工程的报价，并以供应商在工程量清单中提出的单价或总价为依据</w:t>
      </w:r>
      <w:r>
        <w:rPr>
          <w:rFonts w:hint="eastAsia" w:ascii="方正仿宋_GBK" w:hAnsi="方正仿宋_GBK" w:eastAsia="方正仿宋_GBK" w:cs="方正仿宋_GBK"/>
          <w:b w:val="0"/>
          <w:bCs w:val="0"/>
          <w:color w:val="auto"/>
          <w:sz w:val="24"/>
          <w:szCs w:val="24"/>
          <w:lang w:val="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二）供应商应认真填写工程量清单中所列的本合同各工程子目的单价或总价。供应商没有填入单价或总价的工程子目，采购人将认为该子目的价款已包括在工程量清单其他子目的单价和总价中，成交后必须完成该子项工作内容，采购人不对该子项进行结算与支付，并不能获得索赔。供应商在工程量清单中多报的子目和单价或总价发包人将不予接受，并将被视为重大偏差，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（三）参考的规范及定额：《建设工程工程量清单计价规范》（GB50500-2013）、《重庆 市建设工程工程量清单计价规则》（CQJJGZ-2013 ）、《重庆市建设工程工程量计算规则》（CQJLGZ-2013 ）、2018年《重庆市通用安装工程计价定额》、2018年《重庆市市政工程计价定额》、2018年《重庆市建设工程费用定额》、重庆市住房城乡建委《关于适用增值税新税率调整建设工程计价依据的通知》（渝建〔2019〕143号）及相关配套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lang w:val="zh-CN" w:eastAsia="zh-CN"/>
        </w:rPr>
      </w:pPr>
      <w:r>
        <w:rPr>
          <w:rFonts w:hint="eastAsia" w:ascii="方正仿宋_GBK" w:hAnsi="方正仿宋_GBK" w:eastAsia="方正仿宋_GBK" w:cs="方正仿宋_GBK"/>
          <w:b w:val="0"/>
          <w:bCs w:val="0"/>
          <w:color w:val="auto"/>
          <w:sz w:val="24"/>
          <w:szCs w:val="24"/>
          <w:lang w:val="zh-CN" w:eastAsia="zh-CN"/>
        </w:rPr>
        <w:t>（四）人工、材料采购及价格：本工程所需材料由供应商按照施工图设计要求采购，所选材料的产品质量均不得低于本工程的设计要求，其价格参考《重庆工程造价信息》发布的璧山地区材料价格，并结合璧山区的市场行情及供应商的自身实力自主报价，并结合璧山区的市场行情及供应商的自身实力自主报价；人工价格参考重庆市城乡建委发布的2018年重庆市定额基价。</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w:t>
      </w:r>
      <w:r>
        <w:rPr>
          <w:rFonts w:hint="eastAsia" w:ascii="方正仿宋_GBK" w:hAnsi="方正仿宋_GBK" w:eastAsia="方正仿宋_GBK" w:cs="方正仿宋_GBK"/>
          <w:b w:val="0"/>
          <w:bCs w:val="0"/>
          <w:color w:val="auto"/>
          <w:sz w:val="24"/>
          <w:szCs w:val="24"/>
          <w:lang w:val="en-US" w:eastAsia="zh-CN"/>
        </w:rPr>
        <w:t>五</w:t>
      </w:r>
      <w:r>
        <w:rPr>
          <w:rFonts w:hint="eastAsia" w:ascii="方正仿宋_GBK" w:hAnsi="方正仿宋_GBK" w:eastAsia="方正仿宋_GBK" w:cs="方正仿宋_GBK"/>
          <w:b w:val="0"/>
          <w:bCs w:val="0"/>
          <w:color w:val="auto"/>
          <w:sz w:val="24"/>
          <w:szCs w:val="24"/>
          <w:lang w:val="zh-CN" w:eastAsia="zh-CN"/>
        </w:rPr>
        <w:t>）工程量清单中的工程量</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1、各供应商均应以采购人发出的工程量清单为准予以报价，结算时工程量按有关计量规定计量后据实结算。</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2、如发现工程量清单中的数量与图纸中数量不一致，应于质疑截止时间前书面通知采购人核查，除非采购人以补遗书的形式予以更正，否则，应以工程量清单中列出的数量为准。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3、采购人提供的工程量清单格式以及采购人在工程量清单中所列出的各清单子项排列顺序、各清单子项项目编码、项目名称、项目特征、工作内容、计量单位、工程量等，供应商不得修改，否则视为对竞争性磋商文件不作实质性响应，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4、总报价不得超过总价最高限价的95%，总报价必须与所附工程量清单报价表所报总金额一致，供应商不得采用总价百分比优惠（下浮）的方式进行报价，其优惠应直接体现在各项报价的综合单价中，否则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5、本工程各分部分项工程量清单综合单价和其他以非综合单价表示的子项报价应包括但不仅限于完成该子项的人工费、材料费、机械费、其他费、其他直接费、现场经费、间接费、企业管理费、利润、价差以及本竞争性磋商文件中明示或暗示的风险费等所有费用。</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6、总报价应由分部分项工程费、措施项目费、其他项目费、规费、税金组成。</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7、采购人在招标控制价（工程量）清单中所列出的价格（包括暂列金额、暂估价等），供应商不得修改，否则其响应文件作符合性审查不合格处理。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8、安全文明施工费：</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严格按照《重庆市建设工程安全文明施工费计取及使用管理规定》（渝建发〔2014〕25号）、《重庆市住房和城乡建设委员会关于适用增值税新税率调整建设工程计价依据的通知》（渝建〔2019〕143号）文件的规定标准计算，安全文明施工费暂定金额为</w:t>
      </w:r>
      <w:r>
        <w:rPr>
          <w:rFonts w:hint="eastAsia" w:ascii="方正仿宋_GBK" w:hAnsi="方正仿宋_GBK" w:eastAsia="方正仿宋_GBK" w:cs="方正仿宋_GBK"/>
          <w:b w:val="0"/>
          <w:bCs w:val="0"/>
          <w:color w:val="auto"/>
          <w:sz w:val="24"/>
          <w:szCs w:val="24"/>
          <w:u w:val="single"/>
          <w:lang w:val="zh-CN" w:eastAsia="zh-CN"/>
        </w:rPr>
        <w:t xml:space="preserve"> 6771.4 </w:t>
      </w:r>
      <w:r>
        <w:rPr>
          <w:rFonts w:hint="eastAsia" w:ascii="方正仿宋_GBK" w:hAnsi="方正仿宋_GBK" w:eastAsia="方正仿宋_GBK" w:cs="方正仿宋_GBK"/>
          <w:b w:val="0"/>
          <w:bCs w:val="0"/>
          <w:color w:val="auto"/>
          <w:sz w:val="24"/>
          <w:szCs w:val="24"/>
          <w:lang w:val="zh-CN" w:eastAsia="zh-CN"/>
        </w:rPr>
        <w:t>元。供应商在其响应文件中的安全文明施工费必须按采购人给定的暂定金额填报，不得浮动，否则，视为对竞争性磋商文件不作实质性响应，其响应文件作符合性审查不合格处理。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9、供应商应先到工地踏勘以充分了解工地位置、情况、道路、储存空间、装卸限制及任何其它足以影响承包价格的情况，任何因忽视或误解工地情况而导致的索赔或工期延长申请将不获批准。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10、该项目用地范围即为成交人的工作用地面，采购人不再提供其它场地，如因该原因造成成交人施工降效所产生的费用包含在报价内。</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11、本项目将设置总价最高限价和清单单价最高限价。供应商的总报价不得超过总价最高限价的95%，清单单价不得超过对应的综合单价最高限价，否则其响应文件作符合性审查不合格处理。本项目总价最高限价为</w:t>
      </w:r>
      <w:r>
        <w:rPr>
          <w:rFonts w:hint="eastAsia" w:ascii="方正仿宋_GBK" w:hAnsi="方正仿宋_GBK" w:eastAsia="方正仿宋_GBK" w:cs="方正仿宋_GBK"/>
          <w:b w:val="0"/>
          <w:bCs w:val="0"/>
          <w:color w:val="auto"/>
          <w:sz w:val="24"/>
          <w:szCs w:val="24"/>
          <w:lang w:val="en-US" w:eastAsia="zh-CN"/>
        </w:rPr>
        <w:t>人民币</w:t>
      </w:r>
      <w:r>
        <w:rPr>
          <w:rFonts w:hint="eastAsia" w:ascii="方正仿宋_GBK" w:hAnsi="方正仿宋_GBK" w:eastAsia="方正仿宋_GBK" w:cs="方正仿宋_GBK"/>
          <w:b w:val="0"/>
          <w:bCs w:val="0"/>
          <w:color w:val="auto"/>
          <w:sz w:val="24"/>
          <w:szCs w:val="24"/>
          <w:u w:val="single"/>
          <w:lang w:val="zh-CN" w:eastAsia="zh-CN"/>
        </w:rPr>
        <w:t xml:space="preserve"> </w:t>
      </w:r>
      <w:r>
        <w:rPr>
          <w:rFonts w:hint="eastAsia" w:ascii="方正仿宋_GBK" w:hAnsi="方正仿宋_GBK" w:eastAsia="方正仿宋_GBK" w:cs="方正仿宋_GBK"/>
          <w:b w:val="0"/>
          <w:bCs w:val="0"/>
          <w:color w:val="auto"/>
          <w:sz w:val="24"/>
          <w:szCs w:val="24"/>
          <w:u w:val="single"/>
          <w:lang w:val="en-US" w:eastAsia="zh-CN"/>
        </w:rPr>
        <w:t>487914.97</w:t>
      </w:r>
      <w:r>
        <w:rPr>
          <w:rFonts w:hint="eastAsia" w:ascii="方正仿宋_GBK" w:hAnsi="方正仿宋_GBK" w:eastAsia="方正仿宋_GBK" w:cs="方正仿宋_GBK"/>
          <w:b w:val="0"/>
          <w:bCs w:val="0"/>
          <w:color w:val="auto"/>
          <w:sz w:val="24"/>
          <w:szCs w:val="24"/>
          <w:u w:val="single"/>
          <w:lang w:val="zh-CN" w:eastAsia="zh-CN"/>
        </w:rPr>
        <w:t xml:space="preserve"> </w:t>
      </w:r>
      <w:r>
        <w:rPr>
          <w:rFonts w:hint="eastAsia" w:ascii="方正仿宋_GBK" w:hAnsi="方正仿宋_GBK" w:eastAsia="方正仿宋_GBK" w:cs="方正仿宋_GBK"/>
          <w:b w:val="0"/>
          <w:bCs w:val="0"/>
          <w:color w:val="auto"/>
          <w:sz w:val="24"/>
          <w:szCs w:val="24"/>
          <w:lang w:val="zh-CN" w:eastAsia="zh-CN"/>
        </w:rPr>
        <w:t>元（</w:t>
      </w:r>
      <w:r>
        <w:rPr>
          <w:rFonts w:hint="eastAsia" w:ascii="方正仿宋_GBK" w:hAnsi="方正仿宋_GBK" w:eastAsia="方正仿宋_GBK" w:cs="方正仿宋_GBK"/>
          <w:b w:val="0"/>
          <w:bCs w:val="0"/>
          <w:color w:val="auto"/>
          <w:sz w:val="24"/>
          <w:szCs w:val="24"/>
          <w:lang w:val="en-US" w:eastAsia="zh-CN"/>
        </w:rPr>
        <w:t>大写：</w:t>
      </w:r>
      <w:r>
        <w:rPr>
          <w:rFonts w:hint="eastAsia" w:ascii="方正仿宋_GBK" w:hAnsi="方正仿宋_GBK" w:eastAsia="方正仿宋_GBK" w:cs="方正仿宋_GBK"/>
          <w:b w:val="0"/>
          <w:bCs w:val="0"/>
          <w:color w:val="auto"/>
          <w:sz w:val="24"/>
          <w:szCs w:val="24"/>
          <w:u w:val="single"/>
          <w:lang w:val="zh-CN" w:eastAsia="zh-CN"/>
        </w:rPr>
        <w:t>肆拾捌万柒仟玖佰壹拾肆元玖角柒分</w:t>
      </w:r>
      <w:r>
        <w:rPr>
          <w:rFonts w:hint="eastAsia" w:ascii="方正仿宋_GBK" w:hAnsi="方正仿宋_GBK" w:eastAsia="方正仿宋_GBK" w:cs="方正仿宋_GBK"/>
          <w:b w:val="0"/>
          <w:bCs w:val="0"/>
          <w:color w:val="auto"/>
          <w:sz w:val="24"/>
          <w:szCs w:val="24"/>
          <w:lang w:val="zh-CN" w:eastAsia="zh-CN"/>
        </w:rPr>
        <w:t>）。清单单价限价详见附件。</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12、预拌商品砂浆（如有）按重庆市城乡建设委员会渝建〔2018〕375号和璧建发〔2018〕129号执行，由供应商综合考虑，包含在报价中，结算时不予调整。</w:t>
      </w:r>
    </w:p>
    <w:p>
      <w:pPr>
        <w:pageBreakBefore w:val="0"/>
        <w:widowControl w:val="0"/>
        <w:kinsoku/>
        <w:wordWrap/>
        <w:overflowPunct/>
        <w:topLinePunct w:val="0"/>
        <w:autoSpaceDE/>
        <w:autoSpaceDN/>
        <w:bidi w:val="0"/>
        <w:adjustRightInd/>
        <w:snapToGrid/>
        <w:spacing w:line="400" w:lineRule="exact"/>
        <w:textAlignment w:val="auto"/>
        <w:outlineLvl w:val="1"/>
        <w:rPr>
          <w:rFonts w:hint="eastAsia" w:ascii="方正仿宋_GBK" w:hAnsi="方正仿宋_GBK" w:eastAsia="方正仿宋_GBK" w:cs="方正仿宋_GBK"/>
          <w:b w:val="0"/>
          <w:bCs w:val="0"/>
          <w:color w:val="auto"/>
          <w:sz w:val="24"/>
          <w:szCs w:val="24"/>
          <w:lang w:val="zh-CN" w:eastAsia="zh-CN"/>
        </w:rPr>
      </w:pPr>
      <w:bookmarkStart w:id="42" w:name="_Toc14790"/>
      <w:r>
        <w:rPr>
          <w:rFonts w:hint="eastAsia" w:ascii="方正仿宋_GBK" w:hAnsi="方正仿宋_GBK" w:eastAsia="方正仿宋_GBK" w:cs="方正仿宋_GBK"/>
          <w:b w:val="0"/>
          <w:bCs w:val="0"/>
          <w:color w:val="auto"/>
          <w:sz w:val="24"/>
          <w:szCs w:val="24"/>
          <w:lang w:val="zh-CN" w:eastAsia="zh-CN"/>
        </w:rPr>
        <w:t>三、</w:t>
      </w:r>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sz w:val="24"/>
          <w:szCs w:val="24"/>
          <w:lang w:val="zh-CN" w:eastAsia="zh-CN"/>
        </w:rPr>
        <w:t>工程结算</w:t>
      </w:r>
      <w:bookmarkEnd w:id="42"/>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本工程最终结算金按清单计价原则（清单计价原则为有综合单价的以中标单价和实施的合格工程量据实计算，相应非综合单价表示的子项费用按中标费率进行结算，规费、税金和安全文明施工费按相关规定进行结算）计算后确定。</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（二）新增或变更项目综合单价的结算原则：</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①在中选工程量清单中有相同子目的采用该子目单价。</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②在中选工程量清单中有类似子目的可以参照类似子目的单价。</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③在中选工程量清单中无相同或类似子目的单价的：</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 xml:space="preserve">参照定额：《建设工程工程量清单计价规范》（GB 50500-2013）、《重庆市建设工程工程量计算规则》(CQJLGZ-2013)、《重庆市建设工程工程量清单计价规则》(CQJJGZ-2013)、2018年《重庆市房屋建筑与装饰工程计价定额》、2018年《重庆市构筑物工程计价定额》、2018年《重庆市通用安装工程计价定额》、2018年《重庆市市政工程计价定额》、2018年《重庆市建设工程费用定额》、重庆市住房城乡建委《关于适用增值税新税率调整建设工程计价依据的通知》（渝建﹝2019﹞143号）及相关配套文件。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本项目原则上不增减工程量，如确需增减工程量则按《重庆市璧山区发展改革委重庆市璧山区财政局关于印发&lt;璧山区政府投资项目管理办法&gt;等系列文件的通知》（璧发改[2020] 113号）规定报批，由业主、施工单位、监理单位现场签证，并接受重庆市璧山区标后监管机构的监督。</w:t>
      </w:r>
    </w:p>
    <w:p>
      <w:pPr>
        <w:pageBreakBefore w:val="0"/>
        <w:widowControl w:val="0"/>
        <w:kinsoku/>
        <w:wordWrap/>
        <w:overflowPunct/>
        <w:topLinePunct w:val="0"/>
        <w:autoSpaceDE/>
        <w:autoSpaceDN/>
        <w:bidi w:val="0"/>
        <w:adjustRightInd/>
        <w:snapToGrid/>
        <w:spacing w:line="400" w:lineRule="exact"/>
        <w:textAlignment w:val="auto"/>
        <w:outlineLvl w:val="1"/>
        <w:rPr>
          <w:rFonts w:hint="eastAsia" w:ascii="方正仿宋_GBK" w:hAnsi="方正仿宋_GBK" w:eastAsia="方正仿宋_GBK" w:cs="方正仿宋_GBK"/>
          <w:b w:val="0"/>
          <w:bCs w:val="0"/>
          <w:color w:val="auto"/>
          <w:sz w:val="24"/>
          <w:szCs w:val="24"/>
          <w:lang w:val="zh-CN" w:eastAsia="zh-CN"/>
        </w:rPr>
      </w:pPr>
      <w:bookmarkStart w:id="43" w:name="_Toc29728"/>
      <w:r>
        <w:rPr>
          <w:rFonts w:hint="eastAsia" w:ascii="方正仿宋_GBK" w:hAnsi="方正仿宋_GBK" w:eastAsia="方正仿宋_GBK" w:cs="方正仿宋_GBK"/>
          <w:b w:val="0"/>
          <w:bCs w:val="0"/>
          <w:color w:val="auto"/>
          <w:sz w:val="24"/>
          <w:szCs w:val="24"/>
          <w:lang w:val="zh-CN" w:eastAsia="zh-CN"/>
        </w:rPr>
        <w:t>四、</w:t>
      </w:r>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sz w:val="24"/>
          <w:szCs w:val="24"/>
          <w:lang w:val="zh-CN" w:eastAsia="zh-CN"/>
        </w:rPr>
        <w:t>履约担保</w:t>
      </w:r>
      <w:bookmarkEnd w:id="43"/>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1.履约担保的形式：履约保证金。</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2.履约保证金金额：签约合同价格的</w:t>
      </w:r>
      <w:r>
        <w:rPr>
          <w:rFonts w:hint="eastAsia" w:ascii="方正仿宋_GBK" w:hAnsi="方正仿宋_GBK" w:eastAsia="方正仿宋_GBK" w:cs="方正仿宋_GBK"/>
          <w:b w:val="0"/>
          <w:bCs w:val="0"/>
          <w:color w:val="auto"/>
          <w:sz w:val="24"/>
          <w:szCs w:val="24"/>
          <w:u w:val="single"/>
          <w:lang w:val="zh-CN" w:eastAsia="zh-CN"/>
        </w:rPr>
        <w:t>10</w:t>
      </w:r>
      <w:r>
        <w:rPr>
          <w:rFonts w:hint="eastAsia" w:ascii="方正仿宋_GBK" w:hAnsi="方正仿宋_GBK" w:eastAsia="方正仿宋_GBK" w:cs="方正仿宋_GBK"/>
          <w:b w:val="0"/>
          <w:bCs w:val="0"/>
          <w:color w:val="auto"/>
          <w:sz w:val="24"/>
          <w:szCs w:val="24"/>
          <w:u w:val="single"/>
          <w:lang w:val="en-US" w:eastAsia="zh-CN"/>
        </w:rPr>
        <w:t xml:space="preserve"> </w:t>
      </w:r>
      <w:r>
        <w:rPr>
          <w:rFonts w:hint="eastAsia" w:ascii="方正仿宋_GBK" w:hAnsi="方正仿宋_GBK" w:eastAsia="方正仿宋_GBK" w:cs="方正仿宋_GBK"/>
          <w:b w:val="0"/>
          <w:bCs w:val="0"/>
          <w:color w:val="auto"/>
          <w:sz w:val="24"/>
          <w:szCs w:val="24"/>
          <w:u w:val="single"/>
          <w:lang w:val="zh-CN" w:eastAsia="zh-CN"/>
        </w:rPr>
        <w:t>%</w:t>
      </w:r>
      <w:r>
        <w:rPr>
          <w:rFonts w:hint="eastAsia" w:ascii="方正仿宋_GBK" w:hAnsi="方正仿宋_GBK" w:eastAsia="方正仿宋_GBK" w:cs="方正仿宋_GBK"/>
          <w:b w:val="0"/>
          <w:bCs w:val="0"/>
          <w:color w:val="auto"/>
          <w:sz w:val="24"/>
          <w:szCs w:val="24"/>
          <w:lang w:val="zh-CN"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3.履约保证金的缴纳方式：以支票、汇票、本票或者金融机构、担保机构出具的见索即付保函等非现金形式提交。</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4.履约保证金的递交时间：自成交通知书发出之日起10个工作日内书面合同签订前递交至采购人指定账户。</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5.履约保证金返还：竣工验收合格后一次性无息退还。（履约保证金不计息） 。</w:t>
      </w:r>
    </w:p>
    <w:p>
      <w:pPr>
        <w:pageBreakBefore w:val="0"/>
        <w:widowControl w:val="0"/>
        <w:kinsoku/>
        <w:wordWrap/>
        <w:overflowPunct/>
        <w:topLinePunct w:val="0"/>
        <w:autoSpaceDE/>
        <w:autoSpaceDN/>
        <w:bidi w:val="0"/>
        <w:adjustRightInd/>
        <w:snapToGrid/>
        <w:spacing w:line="400" w:lineRule="exact"/>
        <w:textAlignment w:val="auto"/>
        <w:outlineLvl w:val="1"/>
        <w:rPr>
          <w:rFonts w:hint="eastAsia" w:ascii="方正仿宋_GBK" w:hAnsi="方正仿宋_GBK" w:eastAsia="方正仿宋_GBK" w:cs="方正仿宋_GBK"/>
          <w:b w:val="0"/>
          <w:bCs w:val="0"/>
          <w:color w:val="auto"/>
          <w:sz w:val="24"/>
          <w:szCs w:val="24"/>
          <w:lang w:val="zh-CN" w:eastAsia="zh-CN"/>
        </w:rPr>
      </w:pPr>
      <w:bookmarkStart w:id="44" w:name="_Toc19719"/>
      <w:r>
        <w:rPr>
          <w:rFonts w:hint="eastAsia" w:ascii="方正仿宋_GBK" w:hAnsi="方正仿宋_GBK" w:eastAsia="方正仿宋_GBK" w:cs="方正仿宋_GBK"/>
          <w:b w:val="0"/>
          <w:bCs w:val="0"/>
          <w:color w:val="auto"/>
          <w:sz w:val="24"/>
          <w:szCs w:val="24"/>
          <w:lang w:val="zh-CN" w:eastAsia="zh-CN"/>
        </w:rPr>
        <w:t>五、</w:t>
      </w:r>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sz w:val="24"/>
          <w:szCs w:val="24"/>
          <w:lang w:val="zh-CN" w:eastAsia="zh-CN"/>
        </w:rPr>
        <w:t>工程款支付</w:t>
      </w:r>
      <w:bookmarkEnd w:id="44"/>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bookmarkStart w:id="45" w:name="_Toc31012"/>
      <w:bookmarkStart w:id="46" w:name="_Toc344475123"/>
      <w:bookmarkStart w:id="47" w:name="_Toc6625"/>
      <w:bookmarkStart w:id="48" w:name="_Toc20699"/>
      <w:r>
        <w:rPr>
          <w:rFonts w:hint="eastAsia" w:ascii="方正仿宋_GBK" w:hAnsi="方正仿宋_GBK" w:eastAsia="方正仿宋_GBK" w:cs="方正仿宋_GBK"/>
          <w:b w:val="0"/>
          <w:bCs w:val="0"/>
          <w:color w:val="auto"/>
          <w:sz w:val="24"/>
          <w:szCs w:val="24"/>
          <w:lang w:val="zh-CN" w:eastAsia="zh-CN"/>
        </w:rPr>
        <w:t>此项目无进度款，全部工程完工并经区级有关部门验收合格，30个工作日内支付至已完合格工程量计价款的80%（但不得超过合同金额的80%）；工程经审计结算，出具审计报告后支付至审定金额的97%，预留3%为维护保养保证金，保证金待维护保养期（1年）满验收合格后一次性无息退还。</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lang w:val="zh-CN" w:eastAsia="zh-CN"/>
        </w:rPr>
      </w:pPr>
      <w:r>
        <w:rPr>
          <w:rFonts w:hint="eastAsia" w:ascii="方正仿宋_GBK" w:hAnsi="方正仿宋_GBK" w:eastAsia="方正仿宋_GBK" w:cs="方正仿宋_GBK"/>
          <w:b w:val="0"/>
          <w:bCs w:val="0"/>
          <w:color w:val="auto"/>
          <w:sz w:val="24"/>
          <w:szCs w:val="24"/>
          <w:lang w:val="zh-CN" w:eastAsia="zh-CN"/>
        </w:rPr>
        <w:t>注：工程最终结算金额以承包人委托的审计机关或第三方审计机构审定金额为准。六、★知识产权</w:t>
      </w:r>
      <w:bookmarkEnd w:id="45"/>
      <w:bookmarkEnd w:id="46"/>
      <w:bookmarkEnd w:id="47"/>
      <w:bookmarkEnd w:id="48"/>
    </w:p>
    <w:p>
      <w:pPr>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采购人在中华人民共和国境内使用成交供应商提供的货物</w:t>
      </w:r>
      <w:r>
        <w:rPr>
          <w:rFonts w:hint="eastAsia" w:ascii="方正仿宋_GBK" w:hAnsi="方正仿宋_GBK" w:eastAsia="方正仿宋_GBK" w:cs="方正仿宋_GBK"/>
          <w:b w:val="0"/>
          <w:bCs w:val="0"/>
          <w:color w:val="auto"/>
          <w:sz w:val="24"/>
          <w:szCs w:val="24"/>
          <w:highlight w:val="none"/>
          <w:lang w:eastAsia="zh-CN"/>
        </w:rPr>
        <w:t>、工程</w:t>
      </w:r>
      <w:r>
        <w:rPr>
          <w:rFonts w:hint="eastAsia" w:ascii="方正仿宋_GBK" w:hAnsi="方正仿宋_GBK" w:eastAsia="方正仿宋_GBK" w:cs="方正仿宋_GBK"/>
          <w:b w:val="0"/>
          <w:bCs w:val="0"/>
          <w:color w:val="auto"/>
          <w:sz w:val="24"/>
          <w:szCs w:val="24"/>
          <w:highlight w:val="none"/>
        </w:rPr>
        <w:t>及服务时免受第三方提出的侵犯其专利权或其它知识产权的起诉。如果第三方提出侵权指控，成交供应商应承担由此而引起的一切法律责任和费用。</w:t>
      </w:r>
    </w:p>
    <w:p>
      <w:pPr>
        <w:pageBreakBefore w:val="0"/>
        <w:widowControl w:val="0"/>
        <w:kinsoku/>
        <w:wordWrap/>
        <w:overflowPunct/>
        <w:topLinePunct w:val="0"/>
        <w:autoSpaceDE/>
        <w:autoSpaceDN/>
        <w:bidi w:val="0"/>
        <w:adjustRightInd/>
        <w:spacing w:before="0" w:after="0" w:line="400" w:lineRule="exact"/>
        <w:textAlignment w:val="auto"/>
        <w:outlineLvl w:val="1"/>
        <w:rPr>
          <w:rFonts w:hint="eastAsia" w:ascii="方正仿宋_GBK" w:hAnsi="方正仿宋_GBK" w:eastAsia="方正仿宋_GBK" w:cs="方正仿宋_GBK"/>
          <w:b w:val="0"/>
          <w:bCs w:val="0"/>
          <w:color w:val="auto"/>
          <w:sz w:val="24"/>
          <w:szCs w:val="24"/>
          <w:highlight w:val="none"/>
        </w:rPr>
      </w:pPr>
      <w:bookmarkStart w:id="49" w:name="_Toc344475124"/>
      <w:bookmarkStart w:id="50" w:name="_Toc21497"/>
      <w:bookmarkStart w:id="51" w:name="_Toc7760"/>
      <w:bookmarkStart w:id="52" w:name="_Toc22482"/>
      <w:r>
        <w:rPr>
          <w:rFonts w:hint="eastAsia" w:ascii="方正仿宋_GBK" w:hAnsi="方正仿宋_GBK" w:eastAsia="方正仿宋_GBK" w:cs="方正仿宋_GBK"/>
          <w:b w:val="0"/>
          <w:bCs w:val="0"/>
          <w:color w:val="auto"/>
          <w:sz w:val="24"/>
          <w:szCs w:val="24"/>
          <w:highlight w:val="none"/>
          <w:lang w:eastAsia="zh-CN"/>
        </w:rPr>
        <w:t>七</w:t>
      </w:r>
      <w:r>
        <w:rPr>
          <w:rFonts w:hint="eastAsia" w:ascii="方正仿宋_GBK" w:hAnsi="方正仿宋_GBK" w:eastAsia="方正仿宋_GBK" w:cs="方正仿宋_GBK"/>
          <w:b w:val="0"/>
          <w:bCs w:val="0"/>
          <w:color w:val="auto"/>
          <w:sz w:val="24"/>
          <w:szCs w:val="24"/>
          <w:highlight w:val="none"/>
        </w:rPr>
        <w:t>、</w:t>
      </w:r>
      <w:bookmarkEnd w:id="49"/>
      <w:bookmarkStart w:id="53" w:name="_Toc344475125"/>
      <w:r>
        <w:rPr>
          <w:rFonts w:hint="eastAsia" w:ascii="方正仿宋_GBK" w:hAnsi="方正仿宋_GBK" w:eastAsia="方正仿宋_GBK" w:cs="方正仿宋_GBK"/>
          <w:b w:val="0"/>
          <w:bCs w:val="0"/>
          <w:color w:val="auto"/>
          <w:sz w:val="24"/>
          <w:szCs w:val="24"/>
          <w:highlight w:val="none"/>
        </w:rPr>
        <w:t>其他</w:t>
      </w:r>
      <w:bookmarkEnd w:id="50"/>
      <w:bookmarkEnd w:id="51"/>
      <w:bookmarkEnd w:id="52"/>
    </w:p>
    <w:bookmarkEnd w:id="53"/>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（一）供应商必须在响应文件中对以上条款和承诺明确列出，承诺内容必须达到本篇及竞争性磋商文件其他条款的要求。</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（二）其他未尽事宜由供需双方在采购合同中详细约定。</w:t>
      </w:r>
    </w:p>
    <w:p>
      <w:pPr>
        <w:pStyle w:val="2"/>
        <w:rPr>
          <w:rFonts w:hint="eastAsia" w:ascii="方正仿宋_GBK" w:hAnsi="方正仿宋_GBK" w:eastAsia="方正仿宋_GBK" w:cs="方正仿宋_GBK"/>
          <w:lang w:val="en-US" w:eastAsia="zh-CN"/>
        </w:rPr>
      </w:pPr>
    </w:p>
    <w:p>
      <w:pPr>
        <w:spacing w:before="0" w:after="0" w:line="360" w:lineRule="auto"/>
        <w:outlineLvl w:val="0"/>
        <w:rPr>
          <w:rFonts w:hint="eastAsia" w:ascii="方正仿宋_GBK" w:hAnsi="方正仿宋_GBK" w:eastAsia="方正仿宋_GBK" w:cs="方正仿宋_GBK"/>
          <w:b/>
          <w:bCs/>
          <w:color w:val="auto"/>
          <w:sz w:val="36"/>
          <w:szCs w:val="36"/>
          <w:highlight w:val="none"/>
          <w:lang w:val="en-US" w:eastAsia="zh-CN"/>
        </w:rPr>
      </w:pPr>
      <w:bookmarkStart w:id="54" w:name="_Toc15097"/>
      <w:r>
        <w:rPr>
          <w:rFonts w:hint="eastAsia" w:ascii="方正仿宋_GBK" w:hAnsi="方正仿宋_GBK" w:eastAsia="方正仿宋_GBK" w:cs="方正仿宋_GBK"/>
          <w:b/>
          <w:bCs/>
          <w:color w:val="auto"/>
          <w:sz w:val="36"/>
          <w:szCs w:val="36"/>
          <w:highlight w:val="none"/>
          <w:lang w:val="en-US" w:eastAsia="zh-CN"/>
        </w:rPr>
        <w:t>第四篇  磋商程序及方法、评审标准、无效响应和采购终止</w:t>
      </w:r>
      <w:bookmarkEnd w:id="54"/>
    </w:p>
    <w:p>
      <w:pPr>
        <w:keepNext/>
        <w:keepLines/>
        <w:widowControl w:val="0"/>
        <w:spacing w:before="0" w:beforeLines="0" w:beforeAutospacing="0" w:after="0" w:afterLines="0" w:afterAutospacing="0" w:line="360" w:lineRule="auto"/>
        <w:jc w:val="both"/>
        <w:outlineLvl w:val="0"/>
        <w:rPr>
          <w:rFonts w:hint="eastAsia" w:ascii="方正仿宋_GBK" w:hAnsi="方正仿宋_GBK" w:eastAsia="方正仿宋_GBK" w:cs="方正仿宋_GBK"/>
          <w:b w:val="0"/>
          <w:bCs w:val="0"/>
          <w:color w:val="auto"/>
          <w:kern w:val="2"/>
          <w:sz w:val="24"/>
          <w:szCs w:val="24"/>
          <w:highlight w:val="none"/>
          <w:lang w:val="en-US" w:eastAsia="zh-CN" w:bidi="ar-SA"/>
        </w:rPr>
      </w:pPr>
      <w:bookmarkStart w:id="55" w:name="_Toc26188"/>
      <w:r>
        <w:rPr>
          <w:rFonts w:hint="eastAsia" w:ascii="方正仿宋_GBK" w:hAnsi="方正仿宋_GBK" w:eastAsia="方正仿宋_GBK" w:cs="方正仿宋_GBK"/>
          <w:b w:val="0"/>
          <w:bCs w:val="0"/>
          <w:color w:val="auto"/>
          <w:kern w:val="2"/>
          <w:sz w:val="24"/>
          <w:szCs w:val="24"/>
          <w:highlight w:val="none"/>
          <w:lang w:val="en-US" w:eastAsia="zh-CN" w:bidi="ar-SA"/>
        </w:rPr>
        <w:t>一、磋商程序及方法</w:t>
      </w:r>
      <w:bookmarkEnd w:id="55"/>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磋商按竞争性磋商文件规定的时间和地点进行，供应商须有法定代表人（或分支机构负责人）或其授权代表参加并签到。竞争性磋商以抽签的形式确定磋商顺序，由本项目依法组建的磋商小组分别与各供应商进行磋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outlineLvl w:val="9"/>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sz w:val="24"/>
          <w:szCs w:val="24"/>
          <w:highlight w:val="none"/>
        </w:rPr>
        <w:t>1、</w:t>
      </w:r>
      <w:r>
        <w:rPr>
          <w:rFonts w:hint="eastAsia" w:ascii="方正仿宋_GBK" w:hAnsi="方正仿宋_GBK" w:eastAsia="方正仿宋_GBK" w:cs="方正仿宋_GBK"/>
          <w:b w:val="0"/>
          <w:bCs w:val="0"/>
          <w:color w:val="auto"/>
          <w:kern w:val="0"/>
          <w:sz w:val="24"/>
          <w:szCs w:val="24"/>
          <w:highlight w:val="none"/>
        </w:rPr>
        <w:t>资格性检查。依据法律法规和竞争性磋商文件的规定，对响应文件中的资格证明进行审查，以确定供应商是否具备磋商资格。资格性检查资料表如下：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67"/>
        <w:gridCol w:w="2934"/>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序号</w:t>
            </w:r>
          </w:p>
        </w:tc>
        <w:tc>
          <w:tcPr>
            <w:tcW w:w="3901" w:type="dxa"/>
            <w:gridSpan w:val="2"/>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检查因素</w:t>
            </w:r>
          </w:p>
        </w:tc>
        <w:tc>
          <w:tcPr>
            <w:tcW w:w="5051" w:type="dxa"/>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1</w:t>
            </w:r>
          </w:p>
        </w:tc>
        <w:tc>
          <w:tcPr>
            <w:tcW w:w="967" w:type="dxa"/>
            <w:vMerge w:val="restart"/>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rPr>
              <w:t>供应商</w:t>
            </w:r>
            <w:r>
              <w:rPr>
                <w:rFonts w:hint="eastAsia" w:ascii="方正仿宋_GBK" w:hAnsi="方正仿宋_GBK" w:eastAsia="方正仿宋_GBK" w:cs="方正仿宋_GBK"/>
                <w:b w:val="0"/>
                <w:bCs w:val="0"/>
                <w:color w:val="auto"/>
                <w:sz w:val="22"/>
                <w:szCs w:val="22"/>
                <w:highlight w:val="none"/>
                <w:lang w:val="zh-CN"/>
              </w:rPr>
              <w:t>应符合的基本资格条件</w:t>
            </w: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（1）具有独立承担民事责任的能力</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法人营业执照（副本）或事业单位法人证书（副本）或个体工商户营业执照或有效的自然人身份证明、组织机构代码证复印件（注</w:t>
            </w:r>
            <w:r>
              <w:rPr>
                <w:rFonts w:hint="eastAsia" w:ascii="方正仿宋_GBK" w:hAnsi="方正仿宋_GBK" w:eastAsia="方正仿宋_GBK" w:cs="方正仿宋_GBK"/>
                <w:b w:val="0"/>
                <w:bCs w:val="0"/>
                <w:color w:val="auto"/>
                <w:kern w:val="0"/>
                <w:sz w:val="16"/>
                <w:szCs w:val="16"/>
                <w:highlight w:val="none"/>
              </w:rPr>
              <w:fldChar w:fldCharType="begin"/>
            </w:r>
            <w:r>
              <w:rPr>
                <w:rFonts w:hint="eastAsia" w:ascii="方正仿宋_GBK" w:hAnsi="方正仿宋_GBK" w:eastAsia="方正仿宋_GBK" w:cs="方正仿宋_GBK"/>
                <w:b w:val="0"/>
                <w:bCs w:val="0"/>
                <w:color w:val="auto"/>
                <w:kern w:val="0"/>
                <w:sz w:val="16"/>
                <w:szCs w:val="16"/>
                <w:highlight w:val="none"/>
              </w:rPr>
              <w:instrText xml:space="preserve"> eq \o\ac(</w:instrText>
            </w:r>
            <w:r>
              <w:rPr>
                <w:rFonts w:hint="eastAsia" w:ascii="方正仿宋_GBK" w:hAnsi="方正仿宋_GBK" w:eastAsia="方正仿宋_GBK" w:cs="方正仿宋_GBK"/>
                <w:b w:val="0"/>
                <w:bCs w:val="0"/>
                <w:color w:val="auto"/>
                <w:kern w:val="0"/>
                <w:position w:val="-3"/>
                <w:sz w:val="24"/>
                <w:szCs w:val="16"/>
                <w:highlight w:val="none"/>
              </w:rPr>
              <w:instrText xml:space="preserve">○</w:instrText>
            </w:r>
            <w:r>
              <w:rPr>
                <w:rFonts w:hint="eastAsia" w:ascii="方正仿宋_GBK" w:hAnsi="方正仿宋_GBK" w:eastAsia="方正仿宋_GBK" w:cs="方正仿宋_GBK"/>
                <w:b w:val="0"/>
                <w:bCs w:val="0"/>
                <w:color w:val="auto"/>
                <w:kern w:val="0"/>
                <w:position w:val="0"/>
                <w:sz w:val="16"/>
                <w:szCs w:val="16"/>
                <w:highlight w:val="none"/>
              </w:rPr>
              <w:instrText xml:space="preserve">,1)</w:instrText>
            </w:r>
            <w:r>
              <w:rPr>
                <w:rFonts w:hint="eastAsia" w:ascii="方正仿宋_GBK" w:hAnsi="方正仿宋_GBK" w:eastAsia="方正仿宋_GBK" w:cs="方正仿宋_GBK"/>
                <w:b w:val="0"/>
                <w:bCs w:val="0"/>
                <w:color w:val="auto"/>
                <w:kern w:val="0"/>
                <w:sz w:val="16"/>
                <w:szCs w:val="16"/>
                <w:highlight w:val="none"/>
              </w:rPr>
              <w:fldChar w:fldCharType="end"/>
            </w:r>
            <w:r>
              <w:rPr>
                <w:rFonts w:hint="eastAsia" w:ascii="方正仿宋_GBK" w:hAnsi="方正仿宋_GBK" w:eastAsia="方正仿宋_GBK" w:cs="方正仿宋_GBK"/>
                <w:b w:val="0"/>
                <w:bCs w:val="0"/>
                <w:color w:val="auto"/>
                <w:sz w:val="22"/>
                <w:szCs w:val="22"/>
                <w:highlight w:val="none"/>
              </w:rPr>
              <w:t xml:space="preserve">）； </w:t>
            </w:r>
          </w:p>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法定代表人</w:t>
            </w:r>
            <w:r>
              <w:rPr>
                <w:rFonts w:hint="eastAsia" w:ascii="方正仿宋_GBK" w:hAnsi="方正仿宋_GBK" w:eastAsia="方正仿宋_GBK" w:cs="方正仿宋_GBK"/>
                <w:b w:val="0"/>
                <w:bCs w:val="0"/>
                <w:color w:val="auto"/>
                <w:sz w:val="22"/>
                <w:szCs w:val="22"/>
                <w:highlight w:val="none"/>
                <w:lang w:eastAsia="zh-CN"/>
              </w:rPr>
              <w:t>（或分支机构负责人）</w:t>
            </w:r>
            <w:r>
              <w:rPr>
                <w:rFonts w:hint="eastAsia" w:ascii="方正仿宋_GBK" w:hAnsi="方正仿宋_GBK" w:eastAsia="方正仿宋_GBK" w:cs="方正仿宋_GBK"/>
                <w:b w:val="0"/>
                <w:bCs w:val="0"/>
                <w:color w:val="auto"/>
                <w:sz w:val="22"/>
                <w:szCs w:val="22"/>
                <w:highlight w:val="none"/>
              </w:rPr>
              <w:t>身份证明和法定代表人</w:t>
            </w:r>
            <w:r>
              <w:rPr>
                <w:rFonts w:hint="eastAsia" w:ascii="方正仿宋_GBK" w:hAnsi="方正仿宋_GBK" w:eastAsia="方正仿宋_GBK" w:cs="方正仿宋_GBK"/>
                <w:b w:val="0"/>
                <w:bCs w:val="0"/>
                <w:color w:val="auto"/>
                <w:sz w:val="22"/>
                <w:szCs w:val="22"/>
                <w:highlight w:val="none"/>
                <w:lang w:eastAsia="zh-CN"/>
              </w:rPr>
              <w:t>（或分支机构负责人）</w:t>
            </w:r>
            <w:r>
              <w:rPr>
                <w:rFonts w:hint="eastAsia" w:ascii="方正仿宋_GBK" w:hAnsi="方正仿宋_GBK" w:eastAsia="方正仿宋_GBK" w:cs="方正仿宋_GBK"/>
                <w:b w:val="0"/>
                <w:bCs w:val="0"/>
                <w:color w:val="auto"/>
                <w:sz w:val="22"/>
                <w:szCs w:val="22"/>
                <w:highlight w:val="none"/>
              </w:rPr>
              <w:t>授权代表委托书。</w:t>
            </w:r>
          </w:p>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分公司、办事处等分支机构</w:t>
            </w:r>
            <w:r>
              <w:rPr>
                <w:rFonts w:hint="eastAsia" w:ascii="方正仿宋_GBK" w:hAnsi="方正仿宋_GBK" w:eastAsia="方正仿宋_GBK" w:cs="方正仿宋_GBK"/>
                <w:b w:val="0"/>
                <w:bCs w:val="0"/>
                <w:color w:val="auto"/>
                <w:sz w:val="22"/>
                <w:szCs w:val="22"/>
                <w:highlight w:val="none"/>
                <w:lang w:eastAsia="zh-CN"/>
              </w:rPr>
              <w:t>参加磋商的，须提供总公司授权</w:t>
            </w:r>
            <w:r>
              <w:rPr>
                <w:rFonts w:hint="eastAsia" w:ascii="方正仿宋_GBK" w:hAnsi="方正仿宋_GBK" w:eastAsia="方正仿宋_GBK" w:cs="方正仿宋_GBK"/>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lang w:eastAsia="zh-CN"/>
              </w:rPr>
            </w:pPr>
            <w:r>
              <w:rPr>
                <w:rFonts w:hint="eastAsia" w:ascii="方正仿宋_GBK" w:hAnsi="方正仿宋_GBK" w:eastAsia="方正仿宋_GBK" w:cs="方正仿宋_GBK"/>
                <w:b w:val="0"/>
                <w:bCs w:val="0"/>
                <w:color w:val="auto"/>
                <w:sz w:val="22"/>
                <w:szCs w:val="22"/>
                <w:highlight w:val="none"/>
                <w:lang w:eastAsia="zh-CN"/>
              </w:rPr>
              <w:t xml:space="preserve"> </w:t>
            </w:r>
          </w:p>
        </w:tc>
        <w:tc>
          <w:tcPr>
            <w:tcW w:w="967"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lang w:val="zh-CN"/>
              </w:rPr>
              <w:t>（2）</w:t>
            </w:r>
            <w:r>
              <w:rPr>
                <w:rFonts w:hint="eastAsia" w:ascii="方正仿宋_GBK" w:hAnsi="方正仿宋_GBK" w:eastAsia="方正仿宋_GBK" w:cs="方正仿宋_GBK"/>
                <w:b w:val="0"/>
                <w:bCs w:val="0"/>
                <w:color w:val="auto"/>
                <w:sz w:val="22"/>
                <w:szCs w:val="22"/>
                <w:highlight w:val="none"/>
              </w:rPr>
              <w:t>具有良好的商业信誉和健全的财务会计制度</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676"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rPr>
            </w:pPr>
          </w:p>
        </w:tc>
        <w:tc>
          <w:tcPr>
            <w:tcW w:w="967"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lang w:val="zh-CN"/>
              </w:rPr>
              <w:t>（3）具有履行合同所必需的设备和专业技术能力</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rPr>
            </w:pPr>
          </w:p>
        </w:tc>
        <w:tc>
          <w:tcPr>
            <w:tcW w:w="967"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lang w:val="zh-CN"/>
              </w:rPr>
              <w:t>（4）有依法缴纳税收和社会保障金的良好记录</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rPr>
            </w:pPr>
          </w:p>
        </w:tc>
        <w:tc>
          <w:tcPr>
            <w:tcW w:w="967"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rPr>
              <w:t>（5）参加政府采购活动前三年内，在经营活动中没有重大违法记录</w:t>
            </w:r>
            <w:r>
              <w:rPr>
                <w:rFonts w:hint="eastAsia" w:ascii="方正仿宋_GBK" w:hAnsi="方正仿宋_GBK" w:eastAsia="方正仿宋_GBK" w:cs="方正仿宋_GBK"/>
                <w:b w:val="0"/>
                <w:bCs w:val="0"/>
                <w:color w:val="auto"/>
                <w:sz w:val="20"/>
                <w:szCs w:val="20"/>
                <w:highlight w:val="none"/>
              </w:rPr>
              <w:t>（注</w:t>
            </w:r>
            <w:r>
              <w:rPr>
                <w:rFonts w:hint="eastAsia" w:ascii="方正仿宋_GBK" w:hAnsi="方正仿宋_GBK" w:eastAsia="方正仿宋_GBK" w:cs="方正仿宋_GBK"/>
                <w:b w:val="0"/>
                <w:bCs w:val="0"/>
                <w:color w:val="auto"/>
                <w:kern w:val="0"/>
                <w:sz w:val="16"/>
                <w:szCs w:val="16"/>
                <w:highlight w:val="none"/>
              </w:rPr>
              <w:fldChar w:fldCharType="begin"/>
            </w:r>
            <w:r>
              <w:rPr>
                <w:rFonts w:hint="eastAsia" w:ascii="方正仿宋_GBK" w:hAnsi="方正仿宋_GBK" w:eastAsia="方正仿宋_GBK" w:cs="方正仿宋_GBK"/>
                <w:b w:val="0"/>
                <w:bCs w:val="0"/>
                <w:color w:val="auto"/>
                <w:kern w:val="0"/>
                <w:sz w:val="16"/>
                <w:szCs w:val="16"/>
                <w:highlight w:val="none"/>
              </w:rPr>
              <w:instrText xml:space="preserve"> eq \o\ac(</w:instrText>
            </w:r>
            <w:r>
              <w:rPr>
                <w:rFonts w:hint="eastAsia" w:ascii="方正仿宋_GBK" w:hAnsi="方正仿宋_GBK" w:eastAsia="方正仿宋_GBK" w:cs="方正仿宋_GBK"/>
                <w:b w:val="0"/>
                <w:bCs w:val="0"/>
                <w:color w:val="auto"/>
                <w:kern w:val="0"/>
                <w:position w:val="-3"/>
                <w:sz w:val="24"/>
                <w:szCs w:val="16"/>
                <w:highlight w:val="none"/>
              </w:rPr>
              <w:instrText xml:space="preserve">○</w:instrText>
            </w:r>
            <w:r>
              <w:rPr>
                <w:rFonts w:hint="eastAsia" w:ascii="方正仿宋_GBK" w:hAnsi="方正仿宋_GBK" w:eastAsia="方正仿宋_GBK" w:cs="方正仿宋_GBK"/>
                <w:b w:val="0"/>
                <w:bCs w:val="0"/>
                <w:color w:val="auto"/>
                <w:kern w:val="0"/>
                <w:position w:val="0"/>
                <w:sz w:val="16"/>
                <w:szCs w:val="16"/>
                <w:highlight w:val="none"/>
              </w:rPr>
              <w:instrText xml:space="preserve">,2)</w:instrText>
            </w:r>
            <w:r>
              <w:rPr>
                <w:rFonts w:hint="eastAsia" w:ascii="方正仿宋_GBK" w:hAnsi="方正仿宋_GBK" w:eastAsia="方正仿宋_GBK" w:cs="方正仿宋_GBK"/>
                <w:b w:val="0"/>
                <w:bCs w:val="0"/>
                <w:color w:val="auto"/>
                <w:kern w:val="0"/>
                <w:sz w:val="16"/>
                <w:szCs w:val="16"/>
                <w:highlight w:val="none"/>
              </w:rPr>
              <w:fldChar w:fldCharType="end"/>
            </w:r>
            <w:r>
              <w:rPr>
                <w:rFonts w:hint="eastAsia" w:ascii="方正仿宋_GBK" w:hAnsi="方正仿宋_GBK" w:eastAsia="方正仿宋_GBK" w:cs="方正仿宋_GBK"/>
                <w:b w:val="0"/>
                <w:bCs w:val="0"/>
                <w:color w:val="auto"/>
                <w:sz w:val="20"/>
                <w:szCs w:val="20"/>
                <w:highlight w:val="none"/>
              </w:rPr>
              <w:t>）</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1.</w:t>
            </w: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提供书面声明（见格式文件）；</w:t>
            </w:r>
          </w:p>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2.采购人或采购代理机构将通过 “信用中国”网站(www.creditchina.gov.cn)、"中国政府采购网"(www.ccgp.gov.cn)等渠道查询</w:t>
            </w: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信用记录，对列入失信被执行人、重大税收违法案件当事人名单、政府采购严重违法失信行为记录名单的</w:t>
            </w:r>
            <w:r>
              <w:rPr>
                <w:rFonts w:hint="eastAsia" w:ascii="方正仿宋_GBK" w:hAnsi="方正仿宋_GBK" w:eastAsia="方正仿宋_GBK" w:cs="方正仿宋_GBK"/>
                <w:b w:val="0"/>
                <w:bCs w:val="0"/>
                <w:color w:val="auto"/>
                <w:sz w:val="22"/>
                <w:szCs w:val="22"/>
                <w:highlight w:val="none"/>
                <w:lang w:eastAsia="zh-CN"/>
              </w:rPr>
              <w:t>供应商</w:t>
            </w:r>
            <w:r>
              <w:rPr>
                <w:rFonts w:hint="eastAsia" w:ascii="方正仿宋_GBK" w:hAnsi="方正仿宋_GBK" w:eastAsia="方正仿宋_GBK" w:cs="方正仿宋_GBK"/>
                <w:b w:val="0"/>
                <w:bCs w:val="0"/>
                <w:color w:val="auto"/>
                <w:sz w:val="22"/>
                <w:szCs w:val="22"/>
                <w:highlight w:val="none"/>
              </w:rPr>
              <w:t>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sz w:val="22"/>
                <w:szCs w:val="22"/>
                <w:highlight w:val="none"/>
              </w:rPr>
            </w:pPr>
          </w:p>
        </w:tc>
        <w:tc>
          <w:tcPr>
            <w:tcW w:w="967"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934"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（6）法律、行政法规规定的其他条件</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en-US" w:eastAsia="zh-CN"/>
              </w:rPr>
            </w:pPr>
            <w:r>
              <w:rPr>
                <w:rFonts w:hint="eastAsia" w:ascii="方正仿宋_GBK" w:hAnsi="方正仿宋_GBK" w:eastAsia="方正仿宋_GBK" w:cs="方正仿宋_GBK"/>
                <w:b w:val="0"/>
                <w:bCs w:val="0"/>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2</w:t>
            </w:r>
          </w:p>
        </w:tc>
        <w:tc>
          <w:tcPr>
            <w:tcW w:w="3901" w:type="dxa"/>
            <w:gridSpan w:val="2"/>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特定资格条件</w:t>
            </w:r>
          </w:p>
        </w:tc>
        <w:tc>
          <w:tcPr>
            <w:tcW w:w="505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按第一篇“（二）特定资格条件”的要求提交</w:t>
            </w:r>
          </w:p>
        </w:tc>
      </w:tr>
    </w:tbl>
    <w:p>
      <w:pPr>
        <w:snapToGrid w:val="0"/>
        <w:spacing w:line="360" w:lineRule="auto"/>
        <w:ind w:firstLine="480" w:firstLineChars="200"/>
        <w:outlineLvl w:val="9"/>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注：</w:t>
      </w:r>
    </w:p>
    <w:p>
      <w:pPr>
        <w:snapToGrid w:val="0"/>
        <w:spacing w:line="360" w:lineRule="auto"/>
        <w:ind w:firstLine="360" w:firstLineChars="200"/>
        <w:outlineLvl w:val="9"/>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18"/>
          <w:szCs w:val="18"/>
          <w:highlight w:val="none"/>
        </w:rPr>
        <w:fldChar w:fldCharType="begin"/>
      </w:r>
      <w:r>
        <w:rPr>
          <w:rFonts w:hint="eastAsia" w:ascii="方正仿宋_GBK" w:hAnsi="方正仿宋_GBK" w:eastAsia="方正仿宋_GBK" w:cs="方正仿宋_GBK"/>
          <w:b w:val="0"/>
          <w:bCs w:val="0"/>
          <w:color w:val="auto"/>
          <w:kern w:val="0"/>
          <w:sz w:val="18"/>
          <w:szCs w:val="18"/>
          <w:highlight w:val="none"/>
        </w:rPr>
        <w:instrText xml:space="preserve"> eq \o\ac(</w:instrText>
      </w:r>
      <w:r>
        <w:rPr>
          <w:rFonts w:hint="eastAsia" w:ascii="方正仿宋_GBK" w:hAnsi="方正仿宋_GBK" w:eastAsia="方正仿宋_GBK" w:cs="方正仿宋_GBK"/>
          <w:b w:val="0"/>
          <w:bCs w:val="0"/>
          <w:color w:val="auto"/>
          <w:kern w:val="0"/>
          <w:position w:val="-3"/>
          <w:sz w:val="27"/>
          <w:szCs w:val="18"/>
          <w:highlight w:val="none"/>
        </w:rPr>
        <w:instrText xml:space="preserve">○</w:instrText>
      </w:r>
      <w:r>
        <w:rPr>
          <w:rFonts w:hint="eastAsia" w:ascii="方正仿宋_GBK" w:hAnsi="方正仿宋_GBK" w:eastAsia="方正仿宋_GBK" w:cs="方正仿宋_GBK"/>
          <w:b w:val="0"/>
          <w:bCs w:val="0"/>
          <w:color w:val="auto"/>
          <w:kern w:val="0"/>
          <w:position w:val="0"/>
          <w:sz w:val="18"/>
          <w:szCs w:val="18"/>
          <w:highlight w:val="none"/>
        </w:rPr>
        <w:instrText xml:space="preserve">,1)</w:instrText>
      </w:r>
      <w:r>
        <w:rPr>
          <w:rFonts w:hint="eastAsia" w:ascii="方正仿宋_GBK" w:hAnsi="方正仿宋_GBK" w:eastAsia="方正仿宋_GBK" w:cs="方正仿宋_GBK"/>
          <w:b w:val="0"/>
          <w:bCs w:val="0"/>
          <w:color w:val="auto"/>
          <w:kern w:val="0"/>
          <w:sz w:val="18"/>
          <w:szCs w:val="18"/>
          <w:highlight w:val="none"/>
        </w:rPr>
        <w:fldChar w:fldCharType="end"/>
      </w:r>
      <w:r>
        <w:rPr>
          <w:rFonts w:hint="eastAsia" w:ascii="方正仿宋_GBK" w:hAnsi="方正仿宋_GBK" w:eastAsia="方正仿宋_GBK" w:cs="方正仿宋_GBK"/>
          <w:b w:val="0"/>
          <w:bCs w:val="0"/>
          <w:color w:val="auto"/>
          <w:kern w:val="0"/>
          <w:sz w:val="24"/>
          <w:szCs w:val="24"/>
          <w:highlight w:val="none"/>
        </w:rPr>
        <w:t>供应商按“多证合一”登记制度办理营业执照的，组织机构代码证</w:t>
      </w:r>
      <w:r>
        <w:rPr>
          <w:rFonts w:hint="eastAsia" w:ascii="方正仿宋_GBK" w:hAnsi="方正仿宋_GBK" w:eastAsia="方正仿宋_GBK" w:cs="方正仿宋_GBK"/>
          <w:b w:val="0"/>
          <w:bCs w:val="0"/>
          <w:color w:val="auto"/>
          <w:kern w:val="0"/>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社会保险登记证</w:t>
      </w:r>
      <w:r>
        <w:rPr>
          <w:rFonts w:hint="eastAsia" w:ascii="方正仿宋_GBK" w:hAnsi="方正仿宋_GBK" w:eastAsia="方正仿宋_GBK" w:cs="方正仿宋_GBK"/>
          <w:b w:val="0"/>
          <w:bCs w:val="0"/>
          <w:color w:val="auto"/>
          <w:kern w:val="0"/>
          <w:sz w:val="24"/>
          <w:szCs w:val="24"/>
          <w:highlight w:val="none"/>
        </w:rPr>
        <w:t>和税务登记证（副本）以供应商所提供的营业执照（副本）复印件为准。</w:t>
      </w:r>
    </w:p>
    <w:p>
      <w:pPr>
        <w:snapToGrid w:val="0"/>
        <w:spacing w:line="360" w:lineRule="auto"/>
        <w:ind w:firstLine="360" w:firstLineChars="200"/>
        <w:outlineLvl w:val="9"/>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18"/>
          <w:szCs w:val="18"/>
          <w:highlight w:val="none"/>
        </w:rPr>
        <w:fldChar w:fldCharType="begin"/>
      </w:r>
      <w:r>
        <w:rPr>
          <w:rFonts w:hint="eastAsia" w:ascii="方正仿宋_GBK" w:hAnsi="方正仿宋_GBK" w:eastAsia="方正仿宋_GBK" w:cs="方正仿宋_GBK"/>
          <w:b w:val="0"/>
          <w:bCs w:val="0"/>
          <w:color w:val="auto"/>
          <w:kern w:val="0"/>
          <w:sz w:val="18"/>
          <w:szCs w:val="18"/>
          <w:highlight w:val="none"/>
        </w:rPr>
        <w:instrText xml:space="preserve"> eq \o\ac(</w:instrText>
      </w:r>
      <w:r>
        <w:rPr>
          <w:rFonts w:hint="eastAsia" w:ascii="方正仿宋_GBK" w:hAnsi="方正仿宋_GBK" w:eastAsia="方正仿宋_GBK" w:cs="方正仿宋_GBK"/>
          <w:b w:val="0"/>
          <w:bCs w:val="0"/>
          <w:color w:val="auto"/>
          <w:kern w:val="0"/>
          <w:position w:val="-3"/>
          <w:sz w:val="27"/>
          <w:szCs w:val="18"/>
          <w:highlight w:val="none"/>
        </w:rPr>
        <w:instrText xml:space="preserve">○</w:instrText>
      </w:r>
      <w:r>
        <w:rPr>
          <w:rFonts w:hint="eastAsia" w:ascii="方正仿宋_GBK" w:hAnsi="方正仿宋_GBK" w:eastAsia="方正仿宋_GBK" w:cs="方正仿宋_GBK"/>
          <w:b w:val="0"/>
          <w:bCs w:val="0"/>
          <w:color w:val="auto"/>
          <w:kern w:val="0"/>
          <w:position w:val="0"/>
          <w:sz w:val="18"/>
          <w:szCs w:val="18"/>
          <w:highlight w:val="none"/>
        </w:rPr>
        <w:instrText xml:space="preserve">,2)</w:instrText>
      </w:r>
      <w:r>
        <w:rPr>
          <w:rFonts w:hint="eastAsia" w:ascii="方正仿宋_GBK" w:hAnsi="方正仿宋_GBK" w:eastAsia="方正仿宋_GBK" w:cs="方正仿宋_GBK"/>
          <w:b w:val="0"/>
          <w:bCs w:val="0"/>
          <w:color w:val="auto"/>
          <w:kern w:val="0"/>
          <w:sz w:val="18"/>
          <w:szCs w:val="18"/>
          <w:highlight w:val="none"/>
        </w:rPr>
        <w:fldChar w:fldCharType="end"/>
      </w:r>
      <w:r>
        <w:rPr>
          <w:rFonts w:hint="eastAsia" w:ascii="方正仿宋_GBK" w:hAnsi="方正仿宋_GBK" w:eastAsia="方正仿宋_GBK" w:cs="方正仿宋_GBK"/>
          <w:b w:val="0"/>
          <w:bCs w:val="0"/>
          <w:color w:val="auto"/>
          <w:kern w:val="0"/>
          <w:sz w:val="24"/>
          <w:szCs w:val="24"/>
          <w:highlight w:val="none"/>
        </w:rPr>
        <w:t>“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0" w:firstLineChars="200"/>
        <w:outlineLvl w:val="9"/>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222"/>
        <w:gridCol w:w="5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序号</w:t>
            </w:r>
          </w:p>
        </w:tc>
        <w:tc>
          <w:tcPr>
            <w:tcW w:w="3782" w:type="dxa"/>
            <w:gridSpan w:val="2"/>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评审因素</w:t>
            </w:r>
          </w:p>
        </w:tc>
        <w:tc>
          <w:tcPr>
            <w:tcW w:w="5171" w:type="dxa"/>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1</w:t>
            </w:r>
          </w:p>
        </w:tc>
        <w:tc>
          <w:tcPr>
            <w:tcW w:w="1560" w:type="dxa"/>
            <w:vMerge w:val="restart"/>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有效性审查</w:t>
            </w: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sz w:val="22"/>
                <w:szCs w:val="22"/>
                <w:highlight w:val="none"/>
              </w:rPr>
              <w:t>响应文件签署</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sz w:val="22"/>
                <w:szCs w:val="22"/>
                <w:highlight w:val="none"/>
              </w:rPr>
              <w:t>响应文件上法定代表人（或分支机构负责人）或其授权代表人的签字齐全。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法定代表人（或分支机构负责人）身份证明及授权委托书</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rPr>
            </w:pPr>
            <w:r>
              <w:rPr>
                <w:rFonts w:hint="eastAsia" w:ascii="方正仿宋_GBK" w:hAnsi="方正仿宋_GBK" w:eastAsia="方正仿宋_GBK" w:cs="方正仿宋_GBK"/>
                <w:b w:val="0"/>
                <w:bCs w:val="0"/>
                <w:color w:val="auto"/>
                <w:sz w:val="22"/>
                <w:szCs w:val="22"/>
                <w:highlight w:val="none"/>
              </w:rPr>
              <w:t>法定代表人（或分支机构负责人）身份证明及授权委托书有效，符合竞争性磋商文件规定的格式，签字或盖章齐全。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rPr>
              <w:t>响应</w:t>
            </w:r>
            <w:r>
              <w:rPr>
                <w:rFonts w:hint="eastAsia" w:ascii="方正仿宋_GBK" w:hAnsi="方正仿宋_GBK" w:eastAsia="方正仿宋_GBK" w:cs="方正仿宋_GBK"/>
                <w:b w:val="0"/>
                <w:bCs w:val="0"/>
                <w:color w:val="auto"/>
                <w:sz w:val="22"/>
                <w:szCs w:val="22"/>
                <w:highlight w:val="none"/>
                <w:lang w:val="zh-CN"/>
              </w:rPr>
              <w:t>方案</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sz w:val="22"/>
                <w:szCs w:val="22"/>
                <w:highlight w:val="none"/>
                <w:lang w:val="zh-CN"/>
              </w:rPr>
              <w:t>只能有一个</w:t>
            </w:r>
            <w:r>
              <w:rPr>
                <w:rFonts w:hint="eastAsia" w:ascii="方正仿宋_GBK" w:hAnsi="方正仿宋_GBK" w:eastAsia="方正仿宋_GBK" w:cs="方正仿宋_GBK"/>
                <w:b w:val="0"/>
                <w:bCs w:val="0"/>
                <w:color w:val="auto"/>
                <w:sz w:val="22"/>
                <w:szCs w:val="22"/>
                <w:highlight w:val="none"/>
              </w:rPr>
              <w:t>响应</w:t>
            </w:r>
            <w:r>
              <w:rPr>
                <w:rFonts w:hint="eastAsia" w:ascii="方正仿宋_GBK" w:hAnsi="方正仿宋_GBK" w:eastAsia="方正仿宋_GBK" w:cs="方正仿宋_GBK"/>
                <w:b w:val="0"/>
                <w:bCs w:val="0"/>
                <w:color w:val="auto"/>
                <w:sz w:val="22"/>
                <w:szCs w:val="22"/>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rPr>
              <w:t>报价唯一</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sz w:val="22"/>
                <w:szCs w:val="22"/>
                <w:highlight w:val="none"/>
                <w:lang w:val="zh-CN"/>
              </w:rPr>
              <w:t>只能在最高限价范围内报价，且</w:t>
            </w:r>
            <w:r>
              <w:rPr>
                <w:rFonts w:hint="eastAsia" w:ascii="方正仿宋_GBK" w:hAnsi="方正仿宋_GBK" w:eastAsia="方正仿宋_GBK" w:cs="方正仿宋_GBK"/>
                <w:b w:val="0"/>
                <w:bCs w:val="0"/>
                <w:color w:val="auto"/>
                <w:sz w:val="22"/>
                <w:szCs w:val="22"/>
                <w:highlight w:val="none"/>
                <w:lang w:val="zh-CN" w:eastAsia="zh-CN"/>
              </w:rPr>
              <w:t>总报价不得超过总价最高限价的95%，</w:t>
            </w:r>
            <w:r>
              <w:rPr>
                <w:rFonts w:hint="eastAsia" w:ascii="方正仿宋_GBK" w:hAnsi="方正仿宋_GBK" w:eastAsia="方正仿宋_GBK" w:cs="方正仿宋_GBK"/>
                <w:b w:val="0"/>
                <w:bCs w:val="0"/>
                <w:color w:val="auto"/>
                <w:sz w:val="22"/>
                <w:szCs w:val="22"/>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2</w:t>
            </w:r>
          </w:p>
        </w:tc>
        <w:tc>
          <w:tcPr>
            <w:tcW w:w="1560"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完整性审查</w:t>
            </w: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sz w:val="22"/>
                <w:szCs w:val="22"/>
                <w:highlight w:val="none"/>
              </w:rPr>
              <w:t>响应</w:t>
            </w:r>
            <w:r>
              <w:rPr>
                <w:rFonts w:hint="eastAsia" w:ascii="方正仿宋_GBK" w:hAnsi="方正仿宋_GBK" w:eastAsia="方正仿宋_GBK" w:cs="方正仿宋_GBK"/>
                <w:b w:val="0"/>
                <w:bCs w:val="0"/>
                <w:color w:val="auto"/>
                <w:sz w:val="22"/>
                <w:szCs w:val="22"/>
                <w:highlight w:val="none"/>
                <w:lang w:val="zh-CN"/>
              </w:rPr>
              <w:t>文件份数</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sz w:val="22"/>
                <w:szCs w:val="22"/>
                <w:highlight w:val="none"/>
                <w:lang w:val="zh-CN"/>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5" w:type="dxa"/>
            <w:vMerge w:val="restart"/>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3</w:t>
            </w:r>
          </w:p>
        </w:tc>
        <w:tc>
          <w:tcPr>
            <w:tcW w:w="1560" w:type="dxa"/>
            <w:vMerge w:val="restart"/>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r>
              <w:rPr>
                <w:rFonts w:hint="eastAsia" w:ascii="方正仿宋_GBK" w:hAnsi="方正仿宋_GBK" w:eastAsia="方正仿宋_GBK" w:cs="方正仿宋_GBK"/>
                <w:b w:val="0"/>
                <w:bCs w:val="0"/>
                <w:color w:val="auto"/>
                <w:kern w:val="0"/>
                <w:sz w:val="22"/>
                <w:szCs w:val="22"/>
                <w:highlight w:val="none"/>
              </w:rPr>
              <w:t>竞争性磋商文件的响应程度审查</w:t>
            </w: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响应文件内容</w:t>
            </w:r>
          </w:p>
        </w:tc>
        <w:tc>
          <w:tcPr>
            <w:tcW w:w="5171" w:type="dxa"/>
            <w:noWrap w:val="0"/>
            <w:vAlign w:val="center"/>
          </w:tcPr>
          <w:p>
            <w:pPr>
              <w:pStyle w:val="32"/>
              <w:spacing w:line="360" w:lineRule="auto"/>
              <w:outlineLvl w:val="9"/>
              <w:rPr>
                <w:rFonts w:hint="eastAsia" w:ascii="方正仿宋_GBK" w:hAnsi="方正仿宋_GBK" w:eastAsia="方正仿宋_GBK" w:cs="方正仿宋_GBK"/>
                <w:b w:val="0"/>
                <w:bCs w:val="0"/>
                <w:color w:val="auto"/>
                <w:kern w:val="0"/>
                <w:sz w:val="22"/>
                <w:szCs w:val="22"/>
                <w:highlight w:val="none"/>
                <w:lang w:val="en-US" w:eastAsia="zh-CN"/>
              </w:rPr>
            </w:pPr>
            <w:r>
              <w:rPr>
                <w:rFonts w:hint="eastAsia" w:ascii="方正仿宋_GBK" w:hAnsi="方正仿宋_GBK" w:eastAsia="方正仿宋_GBK" w:cs="方正仿宋_GBK"/>
                <w:b w:val="0"/>
                <w:bCs w:val="0"/>
                <w:color w:val="auto"/>
                <w:kern w:val="0"/>
                <w:sz w:val="22"/>
                <w:szCs w:val="22"/>
                <w:highlight w:val="none"/>
                <w:lang w:val="en-US" w:eastAsia="zh-CN"/>
              </w:rPr>
              <w:t>对竞争性磋商文件第二篇全部和第三篇</w:t>
            </w:r>
            <w:r>
              <w:rPr>
                <w:rFonts w:hint="eastAsia" w:ascii="方正仿宋_GBK" w:hAnsi="方正仿宋_GBK" w:eastAsia="方正仿宋_GBK" w:cs="方正仿宋_GBK"/>
                <w:b w:val="0"/>
                <w:bCs w:val="0"/>
                <w:color w:val="auto"/>
                <w:sz w:val="24"/>
                <w:szCs w:val="22"/>
                <w:highlight w:val="none"/>
              </w:rPr>
              <w:t>★</w:t>
            </w:r>
            <w:r>
              <w:rPr>
                <w:rFonts w:hint="eastAsia" w:ascii="方正仿宋_GBK" w:hAnsi="方正仿宋_GBK" w:eastAsia="方正仿宋_GBK" w:cs="方正仿宋_GBK"/>
                <w:b w:val="0"/>
                <w:bCs w:val="0"/>
                <w:color w:val="auto"/>
                <w:kern w:val="0"/>
                <w:sz w:val="22"/>
                <w:szCs w:val="22"/>
                <w:highlight w:val="none"/>
                <w:lang w:val="en-US" w:eastAsia="zh-CN"/>
              </w:rPr>
              <w:t>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spacing w:line="360" w:lineRule="auto"/>
              <w:jc w:val="center"/>
              <w:outlineLvl w:val="9"/>
              <w:rPr>
                <w:rFonts w:hint="eastAsia" w:ascii="方正仿宋_GBK" w:hAnsi="方正仿宋_GBK" w:eastAsia="方正仿宋_GBK" w:cs="方正仿宋_GBK"/>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方正仿宋_GBK" w:hAnsi="方正仿宋_GBK" w:eastAsia="方正仿宋_GBK" w:cs="方正仿宋_GBK"/>
                <w:b w:val="0"/>
                <w:bCs w:val="0"/>
                <w:color w:val="auto"/>
                <w:sz w:val="22"/>
                <w:szCs w:val="22"/>
                <w:highlight w:val="none"/>
                <w:lang w:val="zh-CN"/>
              </w:rPr>
            </w:pPr>
          </w:p>
        </w:tc>
        <w:tc>
          <w:tcPr>
            <w:tcW w:w="2222"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磋商有效期</w:t>
            </w:r>
          </w:p>
        </w:tc>
        <w:tc>
          <w:tcPr>
            <w:tcW w:w="5171" w:type="dxa"/>
            <w:noWrap w:val="0"/>
            <w:vAlign w:val="center"/>
          </w:tcPr>
          <w:p>
            <w:pPr>
              <w:spacing w:line="360" w:lineRule="auto"/>
              <w:outlineLvl w:val="9"/>
              <w:rPr>
                <w:rFonts w:hint="eastAsia" w:ascii="方正仿宋_GBK" w:hAnsi="方正仿宋_GBK" w:eastAsia="方正仿宋_GBK" w:cs="方正仿宋_GBK"/>
                <w:b w:val="0"/>
                <w:bCs w:val="0"/>
                <w:color w:val="auto"/>
                <w:kern w:val="0"/>
                <w:sz w:val="22"/>
                <w:szCs w:val="22"/>
                <w:highlight w:val="none"/>
              </w:rPr>
            </w:pPr>
            <w:r>
              <w:rPr>
                <w:rFonts w:hint="eastAsia" w:ascii="方正仿宋_GBK" w:hAnsi="方正仿宋_GBK" w:eastAsia="方正仿宋_GBK" w:cs="方正仿宋_GBK"/>
                <w:b w:val="0"/>
                <w:bCs w:val="0"/>
                <w:color w:val="auto"/>
                <w:kern w:val="0"/>
                <w:sz w:val="22"/>
                <w:szCs w:val="22"/>
                <w:highlight w:val="none"/>
              </w:rPr>
              <w:t>满足磋商文件</w:t>
            </w:r>
            <w:r>
              <w:rPr>
                <w:rFonts w:hint="eastAsia" w:ascii="方正仿宋_GBK" w:hAnsi="方正仿宋_GBK" w:eastAsia="方正仿宋_GBK" w:cs="方正仿宋_GBK"/>
                <w:b w:val="0"/>
                <w:bCs w:val="0"/>
                <w:color w:val="auto"/>
                <w:sz w:val="22"/>
                <w:szCs w:val="22"/>
                <w:highlight w:val="none"/>
                <w:lang w:val="zh-CN"/>
              </w:rPr>
              <w:t>规定。</w:t>
            </w:r>
          </w:p>
        </w:tc>
      </w:tr>
    </w:tbl>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四）磋商小组要求供应商澄清、说明或者更正响应文件应当以书面形式作出。供应商的澄清、说明或者更正应当由法定代表人（或分支机构负责人）或其授权代表签字或者加盖公章。由授权代表签字的，应当附法定代表人（或分支机构负责人）授权书。</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（五）在磋商过程中磋商的任何一方不得向他人透露与磋商有关的技术资料、价格或其他信息。</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（七）供应商在磋商时作出的所有书面承诺须由法定代表人（或分支机构负责人）或其授权代表签字。</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yellow"/>
        </w:rPr>
      </w:pPr>
      <w:r>
        <w:rPr>
          <w:rFonts w:hint="eastAsia" w:ascii="方正仿宋_GBK" w:hAnsi="方正仿宋_GBK" w:eastAsia="方正仿宋_GBK" w:cs="方正仿宋_GBK"/>
          <w:b w:val="0"/>
          <w:bCs w:val="0"/>
          <w:color w:val="auto"/>
          <w:sz w:val="24"/>
          <w:szCs w:val="24"/>
          <w:highlight w:val="none"/>
        </w:rPr>
        <w:t>（八）经磋商确定最终采购需求且磋商结束后，供应商应当按照竞争性磋商文件的变动情况和磋商小组的要求重新提交响应文件或重新做出相关的书面承诺</w:t>
      </w:r>
      <w:r>
        <w:rPr>
          <w:rFonts w:hint="eastAsia" w:ascii="方正仿宋_GBK" w:hAnsi="方正仿宋_GBK" w:eastAsia="方正仿宋_GBK" w:cs="方正仿宋_GBK"/>
          <w:b w:val="0"/>
          <w:bCs w:val="0"/>
          <w:color w:val="auto"/>
          <w:sz w:val="24"/>
          <w:szCs w:val="24"/>
          <w:highlight w:val="none"/>
          <w:lang w:eastAsia="zh-CN"/>
        </w:rPr>
        <w:t>（如有）</w:t>
      </w:r>
      <w:r>
        <w:rPr>
          <w:rFonts w:hint="eastAsia" w:ascii="方正仿宋_GBK" w:hAnsi="方正仿宋_GBK" w:eastAsia="方正仿宋_GBK" w:cs="方正仿宋_GBK"/>
          <w:b w:val="0"/>
          <w:bCs w:val="0"/>
          <w:color w:val="auto"/>
          <w:sz w:val="24"/>
          <w:szCs w:val="24"/>
          <w:highlight w:val="none"/>
        </w:rPr>
        <w:t>。</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（九）磋商小组采用综合评分法对供应商的响应文件和</w:t>
      </w:r>
      <w:r>
        <w:rPr>
          <w:rFonts w:hint="eastAsia" w:ascii="方正仿宋_GBK" w:hAnsi="方正仿宋_GBK" w:eastAsia="方正仿宋_GBK" w:cs="方正仿宋_GBK"/>
          <w:b w:val="0"/>
          <w:bCs w:val="0"/>
          <w:color w:val="auto"/>
          <w:sz w:val="24"/>
          <w:szCs w:val="24"/>
          <w:highlight w:val="none"/>
          <w:lang w:eastAsia="zh-CN"/>
        </w:rPr>
        <w:t>总</w:t>
      </w:r>
      <w:r>
        <w:rPr>
          <w:rFonts w:hint="eastAsia" w:ascii="方正仿宋_GBK" w:hAnsi="方正仿宋_GBK" w:eastAsia="方正仿宋_GBK" w:cs="方正仿宋_GBK"/>
          <w:b w:val="0"/>
          <w:bCs w:val="0"/>
          <w:color w:val="auto"/>
          <w:sz w:val="24"/>
          <w:szCs w:val="24"/>
          <w:highlight w:val="none"/>
        </w:rPr>
        <w:t>报价（含有效书面承诺）进行综合评分。</w:t>
      </w:r>
      <w:r>
        <w:rPr>
          <w:rFonts w:hint="eastAsia" w:ascii="方正仿宋_GBK" w:hAnsi="方正仿宋_GBK" w:eastAsia="方正仿宋_GBK" w:cs="方正仿宋_GBK"/>
          <w:b w:val="0"/>
          <w:bCs w:val="0"/>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w:t>
      </w:r>
      <w:r>
        <w:rPr>
          <w:rFonts w:hint="eastAsia" w:ascii="方正仿宋_GBK" w:hAnsi="方正仿宋_GBK" w:eastAsia="方正仿宋_GBK" w:cs="方正仿宋_GBK"/>
          <w:b w:val="0"/>
          <w:bCs w:val="0"/>
          <w:color w:val="auto"/>
          <w:kern w:val="0"/>
          <w:sz w:val="24"/>
          <w:szCs w:val="24"/>
          <w:highlight w:val="none"/>
          <w:lang w:eastAsia="zh-CN"/>
        </w:rPr>
        <w:t>技术</w:t>
      </w:r>
      <w:r>
        <w:rPr>
          <w:rFonts w:hint="eastAsia" w:ascii="方正仿宋_GBK" w:hAnsi="方正仿宋_GBK" w:eastAsia="方正仿宋_GBK" w:cs="方正仿宋_GBK"/>
          <w:b w:val="0"/>
          <w:bCs w:val="0"/>
          <w:color w:val="auto"/>
          <w:kern w:val="0"/>
          <w:sz w:val="24"/>
          <w:szCs w:val="24"/>
          <w:highlight w:val="none"/>
        </w:rPr>
        <w:t>、</w:t>
      </w:r>
      <w:r>
        <w:rPr>
          <w:rFonts w:hint="eastAsia" w:ascii="方正仿宋_GBK" w:hAnsi="方正仿宋_GBK" w:eastAsia="方正仿宋_GBK" w:cs="方正仿宋_GBK"/>
          <w:b w:val="0"/>
          <w:bCs w:val="0"/>
          <w:color w:val="auto"/>
          <w:kern w:val="0"/>
          <w:sz w:val="24"/>
          <w:szCs w:val="24"/>
          <w:highlight w:val="none"/>
          <w:lang w:eastAsia="zh-CN"/>
        </w:rPr>
        <w:t>商务</w:t>
      </w:r>
      <w:r>
        <w:rPr>
          <w:rFonts w:hint="eastAsia" w:ascii="方正仿宋_GBK" w:hAnsi="方正仿宋_GBK" w:eastAsia="方正仿宋_GBK" w:cs="方正仿宋_GBK"/>
          <w:b w:val="0"/>
          <w:bCs w:val="0"/>
          <w:color w:val="auto"/>
          <w:kern w:val="0"/>
          <w:sz w:val="24"/>
          <w:szCs w:val="24"/>
          <w:highlight w:val="none"/>
        </w:rPr>
        <w:t>等评定因素分别按照相应权重值计算分项得分后相加，满分为100分</w:t>
      </w:r>
      <w:r>
        <w:rPr>
          <w:rFonts w:hint="eastAsia" w:ascii="方正仿宋_GBK" w:hAnsi="方正仿宋_GBK" w:eastAsia="方正仿宋_GBK" w:cs="方正仿宋_GBK"/>
          <w:b w:val="0"/>
          <w:bCs w:val="0"/>
          <w:color w:val="auto"/>
          <w:sz w:val="24"/>
          <w:szCs w:val="24"/>
          <w:highlight w:val="none"/>
        </w:rPr>
        <w:t>。（详见评审标准）。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（十）磋商小组各成员独立对每个</w:t>
      </w:r>
      <w:r>
        <w:rPr>
          <w:rFonts w:hint="eastAsia" w:ascii="方正仿宋_GBK" w:hAnsi="方正仿宋_GBK" w:eastAsia="方正仿宋_GBK" w:cs="方正仿宋_GBK"/>
          <w:b w:val="0"/>
          <w:bCs w:val="0"/>
          <w:color w:val="auto"/>
          <w:kern w:val="0"/>
          <w:sz w:val="24"/>
          <w:szCs w:val="24"/>
          <w:highlight w:val="none"/>
        </w:rPr>
        <w:t>实质性响应</w:t>
      </w:r>
      <w:r>
        <w:rPr>
          <w:rFonts w:hint="eastAsia" w:ascii="方正仿宋_GBK" w:hAnsi="方正仿宋_GBK" w:eastAsia="方正仿宋_GBK" w:cs="方正仿宋_GBK"/>
          <w:b w:val="0"/>
          <w:bCs w:val="0"/>
          <w:color w:val="auto"/>
          <w:sz w:val="24"/>
          <w:szCs w:val="24"/>
          <w:highlight w:val="none"/>
        </w:rPr>
        <w:t>文件进行评价、打分，然后汇总每个供应商每项评分因素的得分，并根据综合评分情况按照评审得分由高到低顺序推荐</w:t>
      </w:r>
      <w:r>
        <w:rPr>
          <w:rFonts w:hint="eastAsia" w:ascii="方正仿宋_GBK" w:hAnsi="方正仿宋_GBK" w:eastAsia="方正仿宋_GBK" w:cs="方正仿宋_GBK"/>
          <w:b w:val="0"/>
          <w:bCs w:val="0"/>
          <w:color w:val="auto"/>
          <w:sz w:val="24"/>
          <w:szCs w:val="24"/>
          <w:highlight w:val="none"/>
          <w:lang w:val="en-US" w:eastAsia="zh-CN"/>
        </w:rPr>
        <w:t>1~</w:t>
      </w:r>
      <w:r>
        <w:rPr>
          <w:rFonts w:hint="eastAsia" w:ascii="方正仿宋_GBK" w:hAnsi="方正仿宋_GBK" w:eastAsia="方正仿宋_GBK" w:cs="方正仿宋_GBK"/>
          <w:b w:val="0"/>
          <w:bCs w:val="0"/>
          <w:color w:val="auto"/>
          <w:sz w:val="24"/>
          <w:szCs w:val="24"/>
          <w:highlight w:val="none"/>
        </w:rPr>
        <w:t>3名成交候选供应商，并编写评审报告。若供应商的评审得分相同的，按照</w:t>
      </w:r>
      <w:r>
        <w:rPr>
          <w:rFonts w:hint="eastAsia" w:ascii="方正仿宋_GBK" w:hAnsi="方正仿宋_GBK" w:eastAsia="方正仿宋_GBK" w:cs="方正仿宋_GBK"/>
          <w:b w:val="0"/>
          <w:bCs w:val="0"/>
          <w:color w:val="auto"/>
          <w:sz w:val="24"/>
          <w:szCs w:val="24"/>
          <w:highlight w:val="none"/>
          <w:lang w:eastAsia="zh-CN"/>
        </w:rPr>
        <w:t>总</w:t>
      </w:r>
      <w:r>
        <w:rPr>
          <w:rFonts w:hint="eastAsia" w:ascii="方正仿宋_GBK" w:hAnsi="方正仿宋_GBK" w:eastAsia="方正仿宋_GBK" w:cs="方正仿宋_GBK"/>
          <w:b w:val="0"/>
          <w:bCs w:val="0"/>
          <w:color w:val="auto"/>
          <w:sz w:val="24"/>
          <w:szCs w:val="24"/>
          <w:highlight w:val="none"/>
        </w:rPr>
        <w:t>报价由低到高的顺序排列推荐。评审得分且</w:t>
      </w:r>
      <w:r>
        <w:rPr>
          <w:rFonts w:hint="eastAsia" w:ascii="方正仿宋_GBK" w:hAnsi="方正仿宋_GBK" w:eastAsia="方正仿宋_GBK" w:cs="方正仿宋_GBK"/>
          <w:b w:val="0"/>
          <w:bCs w:val="0"/>
          <w:color w:val="auto"/>
          <w:sz w:val="24"/>
          <w:szCs w:val="24"/>
          <w:highlight w:val="none"/>
          <w:lang w:eastAsia="zh-CN"/>
        </w:rPr>
        <w:t>总</w:t>
      </w:r>
      <w:r>
        <w:rPr>
          <w:rFonts w:hint="eastAsia" w:ascii="方正仿宋_GBK" w:hAnsi="方正仿宋_GBK" w:eastAsia="方正仿宋_GBK" w:cs="方正仿宋_GBK"/>
          <w:b w:val="0"/>
          <w:bCs w:val="0"/>
          <w:color w:val="auto"/>
          <w:sz w:val="24"/>
          <w:szCs w:val="24"/>
          <w:highlight w:val="none"/>
        </w:rPr>
        <w:t>报价相同的，按照</w:t>
      </w:r>
      <w:r>
        <w:rPr>
          <w:rFonts w:hint="eastAsia" w:ascii="方正仿宋_GBK" w:hAnsi="方正仿宋_GBK" w:eastAsia="方正仿宋_GBK" w:cs="方正仿宋_GBK"/>
          <w:b w:val="0"/>
          <w:bCs w:val="0"/>
          <w:color w:val="auto"/>
          <w:sz w:val="24"/>
          <w:szCs w:val="24"/>
          <w:highlight w:val="none"/>
          <w:lang w:eastAsia="zh-CN"/>
        </w:rPr>
        <w:t>施工方案</w:t>
      </w:r>
      <w:r>
        <w:rPr>
          <w:rFonts w:hint="eastAsia" w:ascii="方正仿宋_GBK" w:hAnsi="方正仿宋_GBK" w:eastAsia="方正仿宋_GBK" w:cs="方正仿宋_GBK"/>
          <w:b w:val="0"/>
          <w:bCs w:val="0"/>
          <w:color w:val="auto"/>
          <w:sz w:val="24"/>
          <w:szCs w:val="24"/>
          <w:highlight w:val="none"/>
        </w:rPr>
        <w:t>优劣顺序排列推荐。</w:t>
      </w:r>
    </w:p>
    <w:p>
      <w:pPr>
        <w:keepNext/>
        <w:keepLines/>
        <w:widowControl w:val="0"/>
        <w:spacing w:before="0" w:beforeLines="0" w:beforeAutospacing="0" w:after="0" w:afterLines="0" w:afterAutospacing="0" w:line="360" w:lineRule="auto"/>
        <w:jc w:val="both"/>
        <w:outlineLvl w:val="0"/>
        <w:rPr>
          <w:rFonts w:hint="eastAsia" w:ascii="方正仿宋_GBK" w:hAnsi="方正仿宋_GBK" w:eastAsia="方正仿宋_GBK" w:cs="方正仿宋_GBK"/>
          <w:b w:val="0"/>
          <w:bCs w:val="0"/>
          <w:color w:val="auto"/>
          <w:kern w:val="2"/>
          <w:sz w:val="24"/>
          <w:szCs w:val="24"/>
          <w:highlight w:val="none"/>
          <w:lang w:val="en-US" w:eastAsia="zh-CN" w:bidi="ar-SA"/>
        </w:rPr>
      </w:pPr>
      <w:bookmarkStart w:id="56" w:name="_Toc8921"/>
      <w:r>
        <w:rPr>
          <w:rFonts w:hint="eastAsia" w:ascii="方正仿宋_GBK" w:hAnsi="方正仿宋_GBK" w:eastAsia="方正仿宋_GBK" w:cs="方正仿宋_GBK"/>
          <w:b w:val="0"/>
          <w:bCs w:val="0"/>
          <w:color w:val="auto"/>
          <w:kern w:val="2"/>
          <w:sz w:val="24"/>
          <w:szCs w:val="24"/>
          <w:highlight w:val="none"/>
          <w:lang w:val="en-US" w:eastAsia="zh-CN" w:bidi="ar-SA"/>
        </w:rPr>
        <w:t>二、</w:t>
      </w:r>
      <w:bookmarkStart w:id="57" w:name="_Toc102227320"/>
      <w:bookmarkStart w:id="58" w:name="_Toc342913394"/>
      <w:r>
        <w:rPr>
          <w:rFonts w:hint="eastAsia" w:ascii="方正仿宋_GBK" w:hAnsi="方正仿宋_GBK" w:eastAsia="方正仿宋_GBK" w:cs="方正仿宋_GBK"/>
          <w:b w:val="0"/>
          <w:bCs w:val="0"/>
          <w:color w:val="auto"/>
          <w:kern w:val="2"/>
          <w:sz w:val="24"/>
          <w:szCs w:val="24"/>
          <w:highlight w:val="none"/>
          <w:lang w:val="en-US" w:eastAsia="zh-CN" w:bidi="ar-SA"/>
        </w:rPr>
        <w:t>评审标准</w:t>
      </w:r>
      <w:bookmarkEnd w:id="56"/>
    </w:p>
    <w:tbl>
      <w:tblPr>
        <w:tblStyle w:val="5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72"/>
        <w:gridCol w:w="1089"/>
        <w:gridCol w:w="1061"/>
        <w:gridCol w:w="4903"/>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303" w:type="pct"/>
            <w:noWrap w:val="0"/>
            <w:vAlign w:val="center"/>
          </w:tcPr>
          <w:p>
            <w:pPr>
              <w:spacing w:line="200" w:lineRule="atLeast"/>
              <w:ind w:firstLine="28"/>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序号</w:t>
            </w:r>
          </w:p>
        </w:tc>
        <w:tc>
          <w:tcPr>
            <w:tcW w:w="577" w:type="pct"/>
            <w:noWrap w:val="0"/>
            <w:vAlign w:val="center"/>
          </w:tcPr>
          <w:p>
            <w:pPr>
              <w:spacing w:line="200" w:lineRule="atLeast"/>
              <w:ind w:firstLine="28"/>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评分因素及权值</w:t>
            </w:r>
          </w:p>
        </w:tc>
        <w:tc>
          <w:tcPr>
            <w:tcW w:w="562" w:type="pct"/>
            <w:noWrap w:val="0"/>
            <w:vAlign w:val="center"/>
          </w:tcPr>
          <w:p>
            <w:pPr>
              <w:spacing w:line="200" w:lineRule="atLeast"/>
              <w:ind w:firstLine="28"/>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分值</w:t>
            </w:r>
          </w:p>
        </w:tc>
        <w:tc>
          <w:tcPr>
            <w:tcW w:w="2598" w:type="pct"/>
            <w:noWrap w:val="0"/>
            <w:vAlign w:val="center"/>
          </w:tcPr>
          <w:p>
            <w:pPr>
              <w:spacing w:line="200" w:lineRule="atLeast"/>
              <w:ind w:firstLine="28"/>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内  容</w:t>
            </w:r>
          </w:p>
        </w:tc>
        <w:tc>
          <w:tcPr>
            <w:tcW w:w="958" w:type="pct"/>
            <w:noWrap w:val="0"/>
            <w:vAlign w:val="center"/>
          </w:tcPr>
          <w:p>
            <w:pPr>
              <w:spacing w:line="200" w:lineRule="atLeast"/>
              <w:ind w:firstLine="28"/>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9" w:hRule="atLeast"/>
          <w:jc w:val="center"/>
        </w:trPr>
        <w:tc>
          <w:tcPr>
            <w:tcW w:w="303" w:type="pct"/>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highlight w:val="none"/>
              </w:rPr>
              <w:t>1</w:t>
            </w:r>
          </w:p>
        </w:tc>
        <w:tc>
          <w:tcPr>
            <w:tcW w:w="577"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lang w:eastAsia="zh-CN"/>
              </w:rPr>
            </w:pPr>
            <w:r>
              <w:rPr>
                <w:rFonts w:hint="eastAsia" w:ascii="方正仿宋_GBK" w:hAnsi="方正仿宋_GBK" w:eastAsia="方正仿宋_GBK" w:cs="方正仿宋_GBK"/>
                <w:b w:val="0"/>
                <w:bCs w:val="0"/>
                <w:color w:val="auto"/>
                <w:kern w:val="0"/>
                <w:sz w:val="21"/>
                <w:szCs w:val="21"/>
                <w:highlight w:val="none"/>
                <w:lang w:eastAsia="zh-CN"/>
              </w:rPr>
              <w:t>磋商</w:t>
            </w:r>
          </w:p>
          <w:p>
            <w:pPr>
              <w:widowControl/>
              <w:jc w:val="center"/>
              <w:outlineLvl w:val="9"/>
              <w:rPr>
                <w:rFonts w:hint="eastAsia" w:ascii="方正仿宋_GBK" w:hAnsi="方正仿宋_GBK" w:eastAsia="方正仿宋_GBK" w:cs="方正仿宋_GBK"/>
                <w:b w:val="0"/>
                <w:bCs w:val="0"/>
                <w:color w:val="auto"/>
                <w:kern w:val="0"/>
                <w:sz w:val="21"/>
                <w:szCs w:val="21"/>
                <w:highlight w:val="none"/>
                <w:lang w:eastAsia="zh-CN"/>
              </w:rPr>
            </w:pPr>
            <w:r>
              <w:rPr>
                <w:rFonts w:hint="eastAsia" w:ascii="方正仿宋_GBK" w:hAnsi="方正仿宋_GBK" w:eastAsia="方正仿宋_GBK" w:cs="方正仿宋_GBK"/>
                <w:b w:val="0"/>
                <w:bCs w:val="0"/>
                <w:color w:val="auto"/>
                <w:kern w:val="0"/>
                <w:sz w:val="21"/>
                <w:szCs w:val="21"/>
                <w:highlight w:val="none"/>
              </w:rPr>
              <w:t>报价</w:t>
            </w:r>
          </w:p>
          <w:p>
            <w:pPr>
              <w:widowControl/>
              <w:jc w:val="center"/>
              <w:outlineLvl w:val="9"/>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b w:val="0"/>
                <w:bCs w:val="0"/>
                <w:color w:val="auto"/>
                <w:kern w:val="0"/>
                <w:sz w:val="21"/>
                <w:szCs w:val="21"/>
                <w:highlight w:val="none"/>
              </w:rPr>
              <w:t>（</w:t>
            </w:r>
            <w:r>
              <w:rPr>
                <w:rFonts w:hint="eastAsia" w:ascii="方正仿宋_GBK" w:hAnsi="方正仿宋_GBK" w:eastAsia="方正仿宋_GBK" w:cs="方正仿宋_GBK"/>
                <w:b w:val="0"/>
                <w:bCs w:val="0"/>
                <w:color w:val="auto"/>
                <w:kern w:val="0"/>
                <w:sz w:val="21"/>
                <w:szCs w:val="21"/>
                <w:highlight w:val="none"/>
                <w:lang w:val="en-US" w:eastAsia="zh-CN"/>
              </w:rPr>
              <w:t>4</w:t>
            </w:r>
            <w:r>
              <w:rPr>
                <w:rFonts w:hint="eastAsia" w:ascii="方正仿宋_GBK" w:hAnsi="方正仿宋_GBK" w:eastAsia="方正仿宋_GBK" w:cs="方正仿宋_GBK"/>
                <w:b w:val="0"/>
                <w:bCs w:val="0"/>
                <w:color w:val="auto"/>
                <w:kern w:val="0"/>
                <w:sz w:val="21"/>
                <w:szCs w:val="21"/>
                <w:highlight w:val="none"/>
              </w:rPr>
              <w:t>0%）</w:t>
            </w:r>
          </w:p>
        </w:tc>
        <w:tc>
          <w:tcPr>
            <w:tcW w:w="562"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b w:val="0"/>
                <w:bCs w:val="0"/>
                <w:color w:val="auto"/>
                <w:kern w:val="0"/>
                <w:sz w:val="21"/>
                <w:szCs w:val="21"/>
                <w:highlight w:val="none"/>
                <w:lang w:val="en-US" w:eastAsia="zh-CN"/>
              </w:rPr>
              <w:t>4</w:t>
            </w:r>
            <w:r>
              <w:rPr>
                <w:rFonts w:hint="eastAsia" w:ascii="方正仿宋_GBK" w:hAnsi="方正仿宋_GBK" w:eastAsia="方正仿宋_GBK" w:cs="方正仿宋_GBK"/>
                <w:b w:val="0"/>
                <w:bCs w:val="0"/>
                <w:color w:val="auto"/>
                <w:kern w:val="0"/>
                <w:sz w:val="21"/>
                <w:szCs w:val="21"/>
                <w:highlight w:val="none"/>
              </w:rPr>
              <w:t>0分</w:t>
            </w:r>
          </w:p>
        </w:tc>
        <w:tc>
          <w:tcPr>
            <w:tcW w:w="2598" w:type="pct"/>
            <w:noWrap w:val="0"/>
            <w:vAlign w:val="center"/>
          </w:tcPr>
          <w:p>
            <w:pPr>
              <w:widowControl/>
              <w:outlineLvl w:val="9"/>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b w:val="0"/>
                <w:bCs w:val="0"/>
                <w:color w:val="auto"/>
                <w:kern w:val="0"/>
                <w:sz w:val="21"/>
                <w:szCs w:val="21"/>
                <w:highlight w:val="none"/>
              </w:rPr>
              <w:t xml:space="preserve"> </w:t>
            </w:r>
            <w:r>
              <w:rPr>
                <w:rFonts w:hint="eastAsia" w:ascii="方正仿宋_GBK" w:hAnsi="方正仿宋_GBK" w:eastAsia="方正仿宋_GBK" w:cs="方正仿宋_GBK"/>
                <w:b w:val="0"/>
                <w:bCs w:val="0"/>
                <w:color w:val="auto"/>
                <w:kern w:val="0"/>
                <w:sz w:val="21"/>
                <w:szCs w:val="21"/>
                <w:highlight w:val="none"/>
                <w:lang w:val="en-US" w:eastAsia="zh-CN"/>
              </w:rPr>
              <w:t xml:space="preserve">   </w:t>
            </w:r>
            <w:r>
              <w:rPr>
                <w:rFonts w:hint="eastAsia" w:ascii="方正仿宋_GBK" w:hAnsi="方正仿宋_GBK" w:eastAsia="方正仿宋_GBK" w:cs="方正仿宋_GBK"/>
                <w:b w:val="0"/>
                <w:bCs w:val="0"/>
                <w:color w:val="auto"/>
                <w:kern w:val="0"/>
                <w:sz w:val="21"/>
                <w:szCs w:val="21"/>
                <w:highlight w:val="none"/>
                <w:lang w:eastAsia="zh-CN"/>
              </w:rPr>
              <w:t>磋商报价</w:t>
            </w:r>
            <w:r>
              <w:rPr>
                <w:rFonts w:hint="eastAsia" w:ascii="方正仿宋_GBK" w:hAnsi="方正仿宋_GBK" w:eastAsia="方正仿宋_GBK" w:cs="方正仿宋_GBK"/>
                <w:b w:val="0"/>
                <w:bCs w:val="0"/>
                <w:color w:val="auto"/>
                <w:kern w:val="0"/>
                <w:sz w:val="21"/>
                <w:szCs w:val="21"/>
                <w:highlight w:val="none"/>
              </w:rPr>
              <w:t>基础分为40分，对满足资格</w:t>
            </w:r>
            <w:r>
              <w:rPr>
                <w:rFonts w:hint="eastAsia" w:ascii="方正仿宋_GBK" w:hAnsi="方正仿宋_GBK" w:eastAsia="方正仿宋_GBK" w:cs="方正仿宋_GBK"/>
                <w:b w:val="0"/>
                <w:bCs w:val="0"/>
                <w:color w:val="auto"/>
                <w:kern w:val="0"/>
                <w:sz w:val="21"/>
                <w:szCs w:val="21"/>
                <w:highlight w:val="none"/>
                <w:lang w:eastAsia="zh-CN"/>
              </w:rPr>
              <w:t>及</w:t>
            </w:r>
            <w:r>
              <w:rPr>
                <w:rFonts w:hint="eastAsia" w:ascii="方正仿宋_GBK" w:hAnsi="方正仿宋_GBK" w:eastAsia="方正仿宋_GBK" w:cs="方正仿宋_GBK"/>
                <w:b w:val="0"/>
                <w:bCs w:val="0"/>
                <w:color w:val="auto"/>
                <w:kern w:val="0"/>
                <w:sz w:val="21"/>
                <w:szCs w:val="21"/>
                <w:highlight w:val="none"/>
              </w:rPr>
              <w:t>符合性的要求的</w:t>
            </w:r>
            <w:r>
              <w:rPr>
                <w:rFonts w:hint="eastAsia" w:ascii="方正仿宋_GBK" w:hAnsi="方正仿宋_GBK" w:eastAsia="方正仿宋_GBK" w:cs="方正仿宋_GBK"/>
                <w:b w:val="0"/>
                <w:bCs w:val="0"/>
                <w:color w:val="auto"/>
                <w:kern w:val="0"/>
                <w:sz w:val="21"/>
                <w:szCs w:val="21"/>
                <w:highlight w:val="none"/>
                <w:lang w:eastAsia="zh-CN"/>
              </w:rPr>
              <w:t>供应商</w:t>
            </w:r>
            <w:r>
              <w:rPr>
                <w:rFonts w:hint="eastAsia" w:ascii="方正仿宋_GBK" w:hAnsi="方正仿宋_GBK" w:eastAsia="方正仿宋_GBK" w:cs="方正仿宋_GBK"/>
                <w:b w:val="0"/>
                <w:bCs w:val="0"/>
                <w:color w:val="auto"/>
                <w:kern w:val="0"/>
                <w:sz w:val="21"/>
                <w:szCs w:val="21"/>
                <w:highlight w:val="none"/>
              </w:rPr>
              <w:t>的</w:t>
            </w:r>
            <w:r>
              <w:rPr>
                <w:rFonts w:hint="eastAsia" w:ascii="方正仿宋_GBK" w:hAnsi="方正仿宋_GBK" w:eastAsia="方正仿宋_GBK" w:cs="方正仿宋_GBK"/>
                <w:b w:val="0"/>
                <w:bCs w:val="0"/>
                <w:color w:val="auto"/>
                <w:kern w:val="0"/>
                <w:sz w:val="21"/>
                <w:szCs w:val="21"/>
                <w:highlight w:val="none"/>
                <w:lang w:eastAsia="zh-CN"/>
              </w:rPr>
              <w:t>总</w:t>
            </w:r>
            <w:r>
              <w:rPr>
                <w:rFonts w:hint="eastAsia" w:ascii="方正仿宋_GBK" w:hAnsi="方正仿宋_GBK" w:eastAsia="方正仿宋_GBK" w:cs="方正仿宋_GBK"/>
                <w:b w:val="0"/>
                <w:bCs w:val="0"/>
                <w:color w:val="auto"/>
                <w:kern w:val="0"/>
                <w:sz w:val="21"/>
                <w:szCs w:val="21"/>
                <w:highlight w:val="none"/>
              </w:rPr>
              <w:t>报价与评选基准价相比，每增加1%扣1分，每减少1%扣0.</w:t>
            </w:r>
            <w:r>
              <w:rPr>
                <w:rFonts w:hint="eastAsia" w:ascii="方正仿宋_GBK" w:hAnsi="方正仿宋_GBK" w:eastAsia="方正仿宋_GBK" w:cs="方正仿宋_GBK"/>
                <w:b w:val="0"/>
                <w:bCs w:val="0"/>
                <w:color w:val="auto"/>
                <w:kern w:val="0"/>
                <w:sz w:val="21"/>
                <w:szCs w:val="21"/>
                <w:highlight w:val="none"/>
                <w:lang w:val="en-US" w:eastAsia="zh-CN"/>
              </w:rPr>
              <w:t>5</w:t>
            </w:r>
            <w:r>
              <w:rPr>
                <w:rFonts w:hint="eastAsia" w:ascii="方正仿宋_GBK" w:hAnsi="方正仿宋_GBK" w:eastAsia="方正仿宋_GBK" w:cs="方正仿宋_GBK"/>
                <w:b w:val="0"/>
                <w:bCs w:val="0"/>
                <w:color w:val="auto"/>
                <w:kern w:val="0"/>
                <w:sz w:val="21"/>
                <w:szCs w:val="21"/>
                <w:highlight w:val="none"/>
              </w:rPr>
              <w:t>分。具体分值采用插入法计算，保留小数点后两位，第三位四舍五入。</w:t>
            </w:r>
          </w:p>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b w:val="0"/>
                <w:bCs w:val="0"/>
                <w:color w:val="auto"/>
                <w:kern w:val="0"/>
                <w:sz w:val="21"/>
                <w:szCs w:val="21"/>
                <w:highlight w:val="none"/>
                <w:lang w:eastAsia="zh-CN"/>
              </w:rPr>
              <w:t>磋商</w:t>
            </w:r>
            <w:r>
              <w:rPr>
                <w:rFonts w:hint="eastAsia" w:ascii="方正仿宋_GBK" w:hAnsi="方正仿宋_GBK" w:eastAsia="方正仿宋_GBK" w:cs="方正仿宋_GBK"/>
                <w:b w:val="0"/>
                <w:bCs w:val="0"/>
                <w:color w:val="auto"/>
                <w:kern w:val="0"/>
                <w:sz w:val="21"/>
                <w:szCs w:val="21"/>
                <w:highlight w:val="none"/>
              </w:rPr>
              <w:t>基准价：通过资格及符合性审查的</w:t>
            </w:r>
            <w:r>
              <w:rPr>
                <w:rFonts w:hint="eastAsia" w:ascii="方正仿宋_GBK" w:hAnsi="方正仿宋_GBK" w:eastAsia="方正仿宋_GBK" w:cs="方正仿宋_GBK"/>
                <w:b w:val="0"/>
                <w:bCs w:val="0"/>
                <w:color w:val="auto"/>
                <w:kern w:val="0"/>
                <w:sz w:val="21"/>
                <w:szCs w:val="21"/>
                <w:highlight w:val="none"/>
                <w:lang w:eastAsia="zh-CN"/>
              </w:rPr>
              <w:t>总</w:t>
            </w:r>
            <w:r>
              <w:rPr>
                <w:rFonts w:hint="eastAsia" w:ascii="方正仿宋_GBK" w:hAnsi="方正仿宋_GBK" w:eastAsia="方正仿宋_GBK" w:cs="方正仿宋_GBK"/>
                <w:b w:val="0"/>
                <w:bCs w:val="0"/>
                <w:color w:val="auto"/>
                <w:kern w:val="0"/>
                <w:sz w:val="21"/>
                <w:szCs w:val="21"/>
                <w:highlight w:val="none"/>
              </w:rPr>
              <w:t>报价中去掉六分之一（不能整除的按小数前整数取整，不足六家报价则不去掉）的最低价和相同家数的最高价后的算术平均值即为</w:t>
            </w:r>
            <w:r>
              <w:rPr>
                <w:rFonts w:hint="eastAsia" w:ascii="方正仿宋_GBK" w:hAnsi="方正仿宋_GBK" w:eastAsia="方正仿宋_GBK" w:cs="方正仿宋_GBK"/>
                <w:b w:val="0"/>
                <w:bCs w:val="0"/>
                <w:color w:val="auto"/>
                <w:kern w:val="0"/>
                <w:sz w:val="21"/>
                <w:szCs w:val="21"/>
                <w:highlight w:val="none"/>
                <w:lang w:eastAsia="zh-CN"/>
              </w:rPr>
              <w:t>磋商</w:t>
            </w:r>
            <w:r>
              <w:rPr>
                <w:rFonts w:hint="eastAsia" w:ascii="方正仿宋_GBK" w:hAnsi="方正仿宋_GBK" w:eastAsia="方正仿宋_GBK" w:cs="方正仿宋_GBK"/>
                <w:b w:val="0"/>
                <w:bCs w:val="0"/>
                <w:color w:val="auto"/>
                <w:kern w:val="0"/>
                <w:sz w:val="21"/>
                <w:szCs w:val="21"/>
                <w:highlight w:val="none"/>
              </w:rPr>
              <w:t>基准价。</w:t>
            </w:r>
          </w:p>
        </w:tc>
        <w:tc>
          <w:tcPr>
            <w:tcW w:w="958" w:type="pct"/>
            <w:noWrap w:val="0"/>
            <w:vAlign w:val="center"/>
          </w:tcPr>
          <w:p>
            <w:pPr>
              <w:widowControl/>
              <w:outlineLvl w:val="9"/>
              <w:rPr>
                <w:rFonts w:hint="eastAsia" w:ascii="方正仿宋_GBK" w:hAnsi="方正仿宋_GBK" w:eastAsia="方正仿宋_GBK" w:cs="方正仿宋_GBK"/>
                <w:b w:val="0"/>
                <w:bCs w:val="0"/>
                <w:color w:val="auto"/>
                <w:sz w:val="21"/>
                <w:szCs w:val="21"/>
                <w:highlight w:val="none"/>
                <w:lang w:eastAsia="zh-CN"/>
              </w:rPr>
            </w:pPr>
            <w:r>
              <w:rPr>
                <w:rFonts w:hint="eastAsia" w:ascii="方正仿宋_GBK" w:hAnsi="方正仿宋_GBK" w:eastAsia="方正仿宋_GBK" w:cs="方正仿宋_GBK"/>
                <w:b w:val="0"/>
                <w:bCs w:val="0"/>
                <w:color w:val="auto"/>
                <w:kern w:val="0"/>
                <w:sz w:val="21"/>
                <w:szCs w:val="21"/>
                <w:highlight w:val="none"/>
                <w:lang w:eastAsia="zh-CN"/>
              </w:rPr>
              <w:t>计算结果</w:t>
            </w:r>
            <w:r>
              <w:rPr>
                <w:rFonts w:hint="eastAsia" w:ascii="方正仿宋_GBK" w:hAnsi="方正仿宋_GBK" w:eastAsia="方正仿宋_GBK" w:cs="方正仿宋_GBK"/>
                <w:b w:val="0"/>
                <w:bCs w:val="0"/>
                <w:color w:val="auto"/>
                <w:kern w:val="0"/>
                <w:sz w:val="21"/>
                <w:szCs w:val="21"/>
                <w:highlight w:val="none"/>
              </w:rPr>
              <w:t>按四舍五入法保留两位小数</w:t>
            </w:r>
            <w:r>
              <w:rPr>
                <w:rFonts w:hint="eastAsia" w:ascii="方正仿宋_GBK" w:hAnsi="方正仿宋_GBK" w:eastAsia="方正仿宋_GBK" w:cs="方正仿宋_GBK"/>
                <w:b w:val="0"/>
                <w:bCs w:val="0"/>
                <w:color w:val="auto"/>
                <w:kern w:val="0"/>
                <w:sz w:val="21"/>
                <w:szCs w:val="21"/>
                <w:highlight w:val="none"/>
                <w:lang w:eastAsia="zh-CN"/>
              </w:rPr>
              <w:t>，第三位四舍五入。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303" w:type="pct"/>
            <w:vMerge w:val="restart"/>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b w:val="0"/>
                <w:bCs w:val="0"/>
                <w:color w:val="auto"/>
                <w:sz w:val="21"/>
                <w:szCs w:val="21"/>
              </w:rPr>
              <w:t>2</w:t>
            </w:r>
          </w:p>
        </w:tc>
        <w:tc>
          <w:tcPr>
            <w:tcW w:w="577" w:type="pct"/>
            <w:vMerge w:val="restart"/>
            <w:noWrap w:val="0"/>
            <w:vAlign w:val="center"/>
          </w:tcPr>
          <w:p>
            <w:pPr>
              <w:spacing w:line="240" w:lineRule="atLeast"/>
              <w:ind w:firstLine="28"/>
              <w:jc w:val="center"/>
              <w:outlineLvl w:val="9"/>
              <w:rPr>
                <w:rFonts w:hint="eastAsia" w:ascii="方正仿宋_GBK" w:hAnsi="方正仿宋_GBK" w:eastAsia="方正仿宋_GBK" w:cs="方正仿宋_GBK"/>
                <w:b w:val="0"/>
                <w:bCs w:val="0"/>
                <w:color w:val="auto"/>
                <w:sz w:val="21"/>
                <w:szCs w:val="21"/>
                <w:lang w:eastAsia="zh-CN"/>
              </w:rPr>
            </w:pPr>
            <w:r>
              <w:rPr>
                <w:rFonts w:hint="eastAsia" w:ascii="方正仿宋_GBK" w:hAnsi="方正仿宋_GBK" w:eastAsia="方正仿宋_GBK" w:cs="方正仿宋_GBK"/>
                <w:b w:val="0"/>
                <w:bCs w:val="0"/>
                <w:color w:val="auto"/>
                <w:sz w:val="21"/>
                <w:szCs w:val="21"/>
                <w:lang w:eastAsia="zh-CN"/>
              </w:rPr>
              <w:t>技术</w:t>
            </w:r>
          </w:p>
          <w:p>
            <w:pPr>
              <w:spacing w:line="240" w:lineRule="atLeast"/>
              <w:ind w:firstLine="28"/>
              <w:jc w:val="center"/>
              <w:outlineLvl w:val="9"/>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部分</w:t>
            </w:r>
          </w:p>
          <w:p>
            <w:pPr>
              <w:widowControl/>
              <w:jc w:val="center"/>
              <w:outlineLvl w:val="9"/>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b w:val="0"/>
                <w:bCs w:val="0"/>
                <w:color w:val="auto"/>
                <w:sz w:val="21"/>
                <w:szCs w:val="21"/>
              </w:rPr>
              <w:t>（</w:t>
            </w:r>
            <w:r>
              <w:rPr>
                <w:rFonts w:hint="eastAsia" w:ascii="方正仿宋_GBK" w:hAnsi="方正仿宋_GBK" w:eastAsia="方正仿宋_GBK" w:cs="方正仿宋_GBK"/>
                <w:b w:val="0"/>
                <w:bCs w:val="0"/>
                <w:color w:val="auto"/>
                <w:sz w:val="21"/>
                <w:szCs w:val="21"/>
                <w:lang w:val="en-US" w:eastAsia="zh-CN"/>
              </w:rPr>
              <w:t>20</w:t>
            </w:r>
            <w:r>
              <w:rPr>
                <w:rFonts w:hint="eastAsia" w:ascii="方正仿宋_GBK" w:hAnsi="方正仿宋_GBK" w:eastAsia="方正仿宋_GBK" w:cs="方正仿宋_GBK"/>
                <w:b w:val="0"/>
                <w:bCs w:val="0"/>
                <w:color w:val="auto"/>
                <w:sz w:val="21"/>
                <w:szCs w:val="21"/>
              </w:rPr>
              <w:t>%）</w:t>
            </w:r>
          </w:p>
        </w:tc>
        <w:tc>
          <w:tcPr>
            <w:tcW w:w="562"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5分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内容完整性和编制水平：</w:t>
            </w:r>
          </w:p>
          <w:p>
            <w:pPr>
              <w:widowControl/>
              <w:ind w:firstLine="420" w:firstLineChars="200"/>
              <w:outlineLvl w:val="9"/>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施工方案能从整体上体现供应商对本项目施工内容的理解。理解深刻、内容全面、编制水平高的得5　分 ；理解一般、内容一般全面、编制水平一般的得3分；理解较差、内容较差、编制水平较差的得1分。</w:t>
            </w:r>
          </w:p>
        </w:tc>
        <w:tc>
          <w:tcPr>
            <w:tcW w:w="958" w:type="pct"/>
            <w:vMerge w:val="restart"/>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kern w:val="2"/>
                <w:sz w:val="21"/>
                <w:szCs w:val="21"/>
                <w:lang w:val="en-US" w:eastAsia="zh-CN" w:bidi="ar-SA"/>
              </w:rPr>
              <w:t>磋商小组对各供应商提供的施工方案进行独立评分。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rPr>
            </w:pPr>
          </w:p>
        </w:tc>
        <w:tc>
          <w:tcPr>
            <w:tcW w:w="577" w:type="pct"/>
            <w:vMerge w:val="continue"/>
            <w:noWrap w:val="0"/>
            <w:vAlign w:val="center"/>
          </w:tcPr>
          <w:p>
            <w:pPr>
              <w:widowControl/>
              <w:jc w:val="center"/>
              <w:outlineLvl w:val="9"/>
              <w:rPr>
                <w:rFonts w:hint="eastAsia" w:ascii="方正仿宋_GBK" w:hAnsi="方正仿宋_GBK" w:eastAsia="方正仿宋_GBK" w:cs="方正仿宋_GBK"/>
                <w:b w:val="0"/>
                <w:bCs w:val="0"/>
                <w:color w:val="auto"/>
                <w:sz w:val="21"/>
                <w:szCs w:val="21"/>
              </w:rPr>
            </w:pPr>
          </w:p>
        </w:tc>
        <w:tc>
          <w:tcPr>
            <w:tcW w:w="562"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5分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施工方案与技术措施：</w:t>
            </w:r>
          </w:p>
          <w:p>
            <w:pPr>
              <w:widowControl/>
              <w:ind w:firstLine="420" w:firstLineChars="200"/>
              <w:outlineLvl w:val="9"/>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 xml:space="preserve">施工方案完善、技术措施到位的得5分；施工方案一般、技术措施一般的得3分；施工方案不完善、技术措施较差的得1分。未提供不得分。  </w:t>
            </w:r>
          </w:p>
        </w:tc>
        <w:tc>
          <w:tcPr>
            <w:tcW w:w="958" w:type="pct"/>
            <w:vMerge w:val="continue"/>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p>
        </w:tc>
        <w:tc>
          <w:tcPr>
            <w:tcW w:w="577" w:type="pct"/>
            <w:vMerge w:val="continue"/>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rPr>
            </w:pPr>
          </w:p>
        </w:tc>
        <w:tc>
          <w:tcPr>
            <w:tcW w:w="562"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5分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项目进度计划与措施：</w:t>
            </w:r>
          </w:p>
          <w:p>
            <w:pPr>
              <w:widowControl/>
              <w:ind w:firstLine="420" w:firstLineChars="200"/>
              <w:outlineLvl w:val="9"/>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项目进度计划精细到位、措施完善符合项目要求的得5分； 项目进度计划一般到位、措施完善较为符合项目要求的得3分；项目进度计划不到位、措施完善不符合项目要求的得1分。未提供不得分。</w:t>
            </w:r>
          </w:p>
        </w:tc>
        <w:tc>
          <w:tcPr>
            <w:tcW w:w="958" w:type="pct"/>
            <w:vMerge w:val="continue"/>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3"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p>
        </w:tc>
        <w:tc>
          <w:tcPr>
            <w:tcW w:w="577" w:type="pct"/>
            <w:vMerge w:val="continue"/>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rPr>
            </w:pPr>
          </w:p>
        </w:tc>
        <w:tc>
          <w:tcPr>
            <w:tcW w:w="562" w:type="pct"/>
            <w:noWrap w:val="0"/>
            <w:vAlign w:val="center"/>
          </w:tcPr>
          <w:p>
            <w:pPr>
              <w:widowControl/>
              <w:jc w:val="center"/>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5分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资源配备计划与先进性：</w:t>
            </w:r>
          </w:p>
          <w:p>
            <w:pPr>
              <w:widowControl/>
              <w:ind w:firstLine="420" w:firstLineChars="200"/>
              <w:outlineLvl w:val="9"/>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资源配备计划精细到位、具有先进性的得5分；配备计划一般、先进性一般的得3分；配备计划差、先进性的得1分。未提供不得分。</w:t>
            </w:r>
          </w:p>
        </w:tc>
        <w:tc>
          <w:tcPr>
            <w:tcW w:w="958" w:type="pct"/>
            <w:vMerge w:val="continue"/>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jc w:val="center"/>
        </w:trPr>
        <w:tc>
          <w:tcPr>
            <w:tcW w:w="303" w:type="pct"/>
            <w:vMerge w:val="restart"/>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lang w:val="en-US" w:eastAsia="zh-CN"/>
              </w:rPr>
            </w:pPr>
            <w:r>
              <w:rPr>
                <w:rFonts w:hint="eastAsia" w:ascii="方正仿宋_GBK" w:hAnsi="方正仿宋_GBK" w:eastAsia="方正仿宋_GBK" w:cs="方正仿宋_GBK"/>
                <w:b w:val="0"/>
                <w:bCs w:val="0"/>
                <w:color w:val="auto"/>
                <w:sz w:val="21"/>
                <w:szCs w:val="21"/>
                <w:highlight w:val="none"/>
                <w:lang w:val="en-US" w:eastAsia="zh-CN"/>
              </w:rPr>
              <w:t>3</w:t>
            </w:r>
          </w:p>
        </w:tc>
        <w:tc>
          <w:tcPr>
            <w:tcW w:w="577" w:type="pct"/>
            <w:vMerge w:val="restart"/>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rPr>
            </w:pPr>
          </w:p>
          <w:p>
            <w:pPr>
              <w:spacing w:line="240" w:lineRule="atLeast"/>
              <w:ind w:left="0" w:leftChars="0" w:firstLine="0" w:firstLineChars="0"/>
              <w:jc w:val="center"/>
              <w:outlineLvl w:val="9"/>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商务</w:t>
            </w:r>
          </w:p>
          <w:p>
            <w:pPr>
              <w:spacing w:line="240" w:lineRule="atLeast"/>
              <w:ind w:left="0" w:leftChars="0" w:firstLine="0" w:firstLineChars="0"/>
              <w:jc w:val="center"/>
              <w:outlineLvl w:val="9"/>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部分</w:t>
            </w:r>
          </w:p>
          <w:p>
            <w:pPr>
              <w:spacing w:line="240" w:lineRule="atLeast"/>
              <w:ind w:left="0" w:leftChars="0" w:firstLine="0" w:firstLineChars="0"/>
              <w:jc w:val="center"/>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sz w:val="21"/>
                <w:szCs w:val="21"/>
              </w:rPr>
              <w:t>（</w:t>
            </w:r>
            <w:r>
              <w:rPr>
                <w:rFonts w:hint="eastAsia" w:ascii="方正仿宋_GBK" w:hAnsi="方正仿宋_GBK" w:eastAsia="方正仿宋_GBK" w:cs="方正仿宋_GBK"/>
                <w:b w:val="0"/>
                <w:bCs w:val="0"/>
                <w:color w:val="auto"/>
                <w:sz w:val="21"/>
                <w:szCs w:val="21"/>
                <w:lang w:val="en-US" w:eastAsia="zh-CN"/>
              </w:rPr>
              <w:t>40</w:t>
            </w:r>
            <w:r>
              <w:rPr>
                <w:rFonts w:hint="eastAsia" w:ascii="方正仿宋_GBK" w:hAnsi="方正仿宋_GBK" w:eastAsia="方正仿宋_GBK" w:cs="方正仿宋_GBK"/>
                <w:b w:val="0"/>
                <w:bCs w:val="0"/>
                <w:color w:val="auto"/>
                <w:sz w:val="21"/>
                <w:szCs w:val="21"/>
              </w:rPr>
              <w:t>%）</w:t>
            </w:r>
          </w:p>
        </w:tc>
        <w:tc>
          <w:tcPr>
            <w:tcW w:w="562" w:type="pct"/>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kern w:val="2"/>
                <w:sz w:val="21"/>
                <w:szCs w:val="21"/>
                <w:highlight w:val="none"/>
                <w:lang w:val="en-US" w:eastAsia="zh-CN" w:bidi="ar-SA"/>
              </w:rPr>
            </w:pPr>
            <w:r>
              <w:rPr>
                <w:rFonts w:hint="eastAsia" w:ascii="方正仿宋_GBK" w:hAnsi="方正仿宋_GBK" w:eastAsia="方正仿宋_GBK" w:cs="方正仿宋_GBK"/>
                <w:b w:val="0"/>
                <w:bCs w:val="0"/>
                <w:color w:val="auto"/>
                <w:kern w:val="2"/>
                <w:sz w:val="21"/>
                <w:szCs w:val="21"/>
                <w:highlight w:val="none"/>
                <w:lang w:val="en-US" w:eastAsia="zh-CN" w:bidi="ar-SA"/>
              </w:rPr>
              <w:t>16分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2020年1月1日至今（以施工合同签订时间为准），具有业绩加分如下：</w:t>
            </w:r>
          </w:p>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1.具有与本磋商项目同等电压等级及以上类似工程得基础分8分；</w:t>
            </w:r>
          </w:p>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2.在1的基础上，每增加一个与本磋商项目同等电压等级及以上类似工程或输变电工程施工业绩（合同金额不限），加4分。</w:t>
            </w:r>
          </w:p>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本项最多得16分。</w:t>
            </w:r>
          </w:p>
        </w:tc>
        <w:tc>
          <w:tcPr>
            <w:tcW w:w="958" w:type="pct"/>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kern w:val="0"/>
                <w:sz w:val="21"/>
                <w:szCs w:val="21"/>
                <w:highlight w:val="none"/>
                <w:lang w:val="en-US" w:eastAsia="zh-CN"/>
              </w:rPr>
              <w:t>提供施工合同复印件加盖供应商公章，原件备查。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2"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lang w:val="en-US" w:eastAsia="zh-CN"/>
              </w:rPr>
            </w:pPr>
          </w:p>
        </w:tc>
        <w:tc>
          <w:tcPr>
            <w:tcW w:w="577" w:type="pct"/>
            <w:vMerge w:val="continue"/>
            <w:noWrap w:val="0"/>
            <w:vAlign w:val="center"/>
          </w:tcPr>
          <w:p>
            <w:pPr>
              <w:spacing w:line="240" w:lineRule="atLeast"/>
              <w:ind w:left="0" w:leftChars="0" w:firstLine="0" w:firstLineChars="0"/>
              <w:jc w:val="both"/>
              <w:outlineLvl w:val="9"/>
              <w:rPr>
                <w:rFonts w:hint="eastAsia" w:ascii="方正仿宋_GBK" w:hAnsi="方正仿宋_GBK" w:eastAsia="方正仿宋_GBK" w:cs="方正仿宋_GBK"/>
                <w:b w:val="0"/>
                <w:bCs w:val="0"/>
                <w:color w:val="auto"/>
                <w:sz w:val="21"/>
                <w:szCs w:val="21"/>
              </w:rPr>
            </w:pPr>
          </w:p>
        </w:tc>
        <w:tc>
          <w:tcPr>
            <w:tcW w:w="562" w:type="pct"/>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kern w:val="2"/>
                <w:sz w:val="21"/>
                <w:szCs w:val="21"/>
                <w:highlight w:val="none"/>
                <w:lang w:val="en-US" w:eastAsia="zh-CN" w:bidi="ar-SA"/>
              </w:rPr>
            </w:pPr>
            <w:r>
              <w:rPr>
                <w:rFonts w:hint="eastAsia" w:ascii="方正仿宋_GBK" w:hAnsi="方正仿宋_GBK" w:eastAsia="方正仿宋_GBK" w:cs="方正仿宋_GBK"/>
                <w:b w:val="0"/>
                <w:bCs w:val="0"/>
                <w:color w:val="auto"/>
                <w:kern w:val="2"/>
                <w:sz w:val="21"/>
                <w:szCs w:val="21"/>
                <w:highlight w:val="none"/>
                <w:lang w:val="en-US" w:eastAsia="zh-CN" w:bidi="ar-SA"/>
              </w:rPr>
              <w:t>8分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电缆作业人员具备国家电网或省级及以上监督管理部门颁发的特种作业操作合格证书的得8分。</w:t>
            </w:r>
          </w:p>
        </w:tc>
        <w:tc>
          <w:tcPr>
            <w:tcW w:w="958" w:type="pct"/>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kern w:val="2"/>
                <w:sz w:val="21"/>
                <w:szCs w:val="21"/>
                <w:lang w:val="en-US" w:eastAsia="zh-CN" w:bidi="ar-SA"/>
              </w:rPr>
              <w:t>提供证明材料复印件并加盖供应商公章，原件备查。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5"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p>
        </w:tc>
        <w:tc>
          <w:tcPr>
            <w:tcW w:w="577" w:type="pct"/>
            <w:vMerge w:val="continue"/>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sz w:val="21"/>
                <w:szCs w:val="21"/>
              </w:rPr>
            </w:pPr>
          </w:p>
        </w:tc>
        <w:tc>
          <w:tcPr>
            <w:tcW w:w="562" w:type="pct"/>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sz w:val="21"/>
                <w:szCs w:val="21"/>
                <w:highlight w:val="none"/>
                <w:lang w:val="en-US" w:eastAsia="zh-CN"/>
              </w:rPr>
            </w:pPr>
            <w:r>
              <w:rPr>
                <w:rFonts w:hint="eastAsia" w:ascii="方正仿宋_GBK" w:hAnsi="方正仿宋_GBK" w:eastAsia="方正仿宋_GBK" w:cs="方正仿宋_GBK"/>
                <w:b w:val="0"/>
                <w:bCs w:val="0"/>
                <w:color w:val="auto"/>
                <w:sz w:val="21"/>
                <w:szCs w:val="21"/>
                <w:highlight w:val="none"/>
                <w:lang w:val="en-US" w:eastAsia="zh-CN"/>
              </w:rPr>
              <w:t>6分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供应商具有ISO质量、环境、职业健康三大体系认证证书的得6分。</w:t>
            </w:r>
          </w:p>
        </w:tc>
        <w:tc>
          <w:tcPr>
            <w:tcW w:w="958" w:type="pct"/>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kern w:val="2"/>
                <w:sz w:val="21"/>
                <w:szCs w:val="21"/>
                <w:lang w:val="en-US" w:eastAsia="zh-CN" w:bidi="ar-SA"/>
              </w:rPr>
              <w:t>提供证明材料复印件并加盖供应商公章，原件备查。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303" w:type="pct"/>
            <w:vMerge w:val="continue"/>
            <w:noWrap w:val="0"/>
            <w:vAlign w:val="center"/>
          </w:tcPr>
          <w:p>
            <w:pPr>
              <w:spacing w:line="240" w:lineRule="atLeast"/>
              <w:jc w:val="center"/>
              <w:outlineLvl w:val="9"/>
              <w:rPr>
                <w:rFonts w:hint="eastAsia" w:ascii="方正仿宋_GBK" w:hAnsi="方正仿宋_GBK" w:eastAsia="方正仿宋_GBK" w:cs="方正仿宋_GBK"/>
                <w:b w:val="0"/>
                <w:bCs w:val="0"/>
                <w:color w:val="auto"/>
                <w:sz w:val="21"/>
                <w:szCs w:val="21"/>
                <w:highlight w:val="none"/>
              </w:rPr>
            </w:pPr>
          </w:p>
        </w:tc>
        <w:tc>
          <w:tcPr>
            <w:tcW w:w="577" w:type="pct"/>
            <w:vMerge w:val="continue"/>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sz w:val="21"/>
                <w:szCs w:val="21"/>
              </w:rPr>
            </w:pPr>
          </w:p>
        </w:tc>
        <w:tc>
          <w:tcPr>
            <w:tcW w:w="562" w:type="pct"/>
            <w:noWrap w:val="0"/>
            <w:vAlign w:val="center"/>
          </w:tcPr>
          <w:p>
            <w:pPr>
              <w:spacing w:line="240" w:lineRule="atLeast"/>
              <w:ind w:firstLine="28" w:firstLineChars="0"/>
              <w:jc w:val="center"/>
              <w:outlineLvl w:val="9"/>
              <w:rPr>
                <w:rFonts w:hint="eastAsia" w:ascii="方正仿宋_GBK" w:hAnsi="方正仿宋_GBK" w:eastAsia="方正仿宋_GBK" w:cs="方正仿宋_GBK"/>
                <w:b w:val="0"/>
                <w:bCs w:val="0"/>
                <w:color w:val="auto"/>
                <w:sz w:val="21"/>
                <w:szCs w:val="21"/>
                <w:highlight w:val="none"/>
                <w:lang w:val="en-US" w:eastAsia="zh-CN"/>
              </w:rPr>
            </w:pPr>
            <w:r>
              <w:rPr>
                <w:rFonts w:hint="eastAsia" w:ascii="方正仿宋_GBK" w:hAnsi="方正仿宋_GBK" w:eastAsia="方正仿宋_GBK" w:cs="方正仿宋_GBK"/>
                <w:b w:val="0"/>
                <w:bCs w:val="0"/>
                <w:color w:val="auto"/>
                <w:sz w:val="21"/>
                <w:szCs w:val="21"/>
                <w:highlight w:val="none"/>
                <w:lang w:val="en-US" w:eastAsia="zh-CN"/>
              </w:rPr>
              <w:t>10分</w:t>
            </w:r>
          </w:p>
        </w:tc>
        <w:tc>
          <w:tcPr>
            <w:tcW w:w="2598" w:type="pct"/>
            <w:noWrap w:val="0"/>
            <w:vAlign w:val="center"/>
          </w:tcPr>
          <w:p>
            <w:pPr>
              <w:widowControl/>
              <w:ind w:firstLine="420" w:firstLineChars="200"/>
              <w:outlineLvl w:val="9"/>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供应商在项目所在地的行政管辖区域内设有办公场所驻地，能确保抢修人员在30分钟内到达项目现场的得10分（提供办公场所的国土房产证或场地租赁合同复印件并加盖供应商公章，抢修响应时间由供应商自行提供承诺，格式自拟）。</w:t>
            </w:r>
          </w:p>
        </w:tc>
        <w:tc>
          <w:tcPr>
            <w:tcW w:w="958" w:type="pct"/>
            <w:noWrap w:val="0"/>
            <w:vAlign w:val="center"/>
          </w:tcPr>
          <w:p>
            <w:pPr>
              <w:spacing w:line="240" w:lineRule="atLeast"/>
              <w:outlineLvl w:val="9"/>
              <w:rPr>
                <w:rFonts w:hint="eastAsia" w:ascii="方正仿宋_GBK" w:hAnsi="方正仿宋_GBK" w:eastAsia="方正仿宋_GBK" w:cs="方正仿宋_GBK"/>
                <w:b w:val="0"/>
                <w:bCs w:val="0"/>
                <w:color w:val="auto"/>
                <w:kern w:val="2"/>
                <w:sz w:val="21"/>
                <w:szCs w:val="21"/>
                <w:lang w:val="en-US" w:eastAsia="zh-CN" w:bidi="ar-SA"/>
              </w:rPr>
            </w:pPr>
            <w:r>
              <w:rPr>
                <w:rFonts w:hint="eastAsia" w:ascii="方正仿宋_GBK" w:hAnsi="方正仿宋_GBK" w:eastAsia="方正仿宋_GBK" w:cs="方正仿宋_GBK"/>
                <w:b w:val="0"/>
                <w:bCs w:val="0"/>
                <w:color w:val="auto"/>
                <w:kern w:val="2"/>
                <w:sz w:val="21"/>
                <w:szCs w:val="21"/>
                <w:lang w:val="en-US" w:eastAsia="zh-CN" w:bidi="ar-SA"/>
              </w:rPr>
              <w:t>提供证明材料复印件并加盖供应商公章，原件备查。</w:t>
            </w:r>
          </w:p>
        </w:tc>
      </w:tr>
    </w:tbl>
    <w:p>
      <w:pPr>
        <w:outlineLvl w:val="9"/>
        <w:rPr>
          <w:rFonts w:hint="eastAsia" w:ascii="方正仿宋_GBK" w:hAnsi="方正仿宋_GBK" w:eastAsia="方正仿宋_GBK" w:cs="方正仿宋_GBK"/>
          <w:b w:val="0"/>
          <w:bCs w:val="0"/>
          <w:color w:val="auto"/>
          <w:sz w:val="24"/>
          <w:szCs w:val="24"/>
          <w:highlight w:val="none"/>
        </w:rPr>
      </w:pPr>
    </w:p>
    <w:p>
      <w:pPr>
        <w:keepNext/>
        <w:keepLines/>
        <w:widowControl w:val="0"/>
        <w:spacing w:before="0" w:beforeLines="0" w:beforeAutospacing="0" w:after="0" w:afterLines="0" w:afterAutospacing="0" w:line="360" w:lineRule="auto"/>
        <w:jc w:val="both"/>
        <w:outlineLvl w:val="1"/>
        <w:rPr>
          <w:rFonts w:hint="eastAsia" w:ascii="方正仿宋_GBK" w:hAnsi="方正仿宋_GBK" w:eastAsia="方正仿宋_GBK" w:cs="方正仿宋_GBK"/>
          <w:b w:val="0"/>
          <w:bCs w:val="0"/>
          <w:color w:val="auto"/>
          <w:kern w:val="2"/>
          <w:sz w:val="24"/>
          <w:szCs w:val="24"/>
          <w:highlight w:val="none"/>
          <w:lang w:val="en-US" w:eastAsia="zh-CN" w:bidi="ar-SA"/>
        </w:rPr>
      </w:pPr>
      <w:bookmarkStart w:id="59" w:name="_Toc10832"/>
      <w:r>
        <w:rPr>
          <w:rFonts w:hint="eastAsia" w:ascii="方正仿宋_GBK" w:hAnsi="方正仿宋_GBK" w:eastAsia="方正仿宋_GBK" w:cs="方正仿宋_GBK"/>
          <w:b w:val="0"/>
          <w:bCs w:val="0"/>
          <w:color w:val="auto"/>
          <w:kern w:val="2"/>
          <w:sz w:val="24"/>
          <w:szCs w:val="24"/>
          <w:highlight w:val="none"/>
          <w:lang w:val="en-US" w:eastAsia="zh-CN" w:bidi="ar-SA"/>
        </w:rPr>
        <w:t>三、无效响应</w:t>
      </w:r>
      <w:bookmarkEnd w:id="59"/>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供应商发生以下条款情况之一者，视为无效响应，其响应文件将被拒绝：</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（一）供应商不符合规定的基本资格条件或特定资格条件的；</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（二）供应商的法定代表人（或分支机构负责人）或其授权代表未参加磋商；</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三</w:t>
      </w:r>
      <w:r>
        <w:rPr>
          <w:rFonts w:hint="eastAsia" w:ascii="方正仿宋_GBK" w:hAnsi="方正仿宋_GBK" w:eastAsia="方正仿宋_GBK" w:cs="方正仿宋_GBK"/>
          <w:b w:val="0"/>
          <w:bCs w:val="0"/>
          <w:color w:val="auto"/>
          <w:sz w:val="24"/>
          <w:szCs w:val="24"/>
          <w:highlight w:val="none"/>
        </w:rPr>
        <w:t>）供应商所提交的响应文件不按第六篇“响应文件编制要求”规定签字、盖章；</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四</w:t>
      </w:r>
      <w:r>
        <w:rPr>
          <w:rFonts w:hint="eastAsia" w:ascii="方正仿宋_GBK" w:hAnsi="方正仿宋_GBK" w:eastAsia="方正仿宋_GBK" w:cs="方正仿宋_GBK"/>
          <w:b w:val="0"/>
          <w:bCs w:val="0"/>
          <w:color w:val="auto"/>
          <w:sz w:val="24"/>
          <w:szCs w:val="24"/>
          <w:highlight w:val="none"/>
        </w:rPr>
        <w:t>）供应商的</w:t>
      </w:r>
      <w:r>
        <w:rPr>
          <w:rFonts w:hint="eastAsia" w:ascii="方正仿宋_GBK" w:hAnsi="方正仿宋_GBK" w:eastAsia="方正仿宋_GBK" w:cs="方正仿宋_GBK"/>
          <w:b w:val="0"/>
          <w:bCs w:val="0"/>
          <w:color w:val="auto"/>
          <w:sz w:val="24"/>
          <w:szCs w:val="24"/>
          <w:highlight w:val="none"/>
          <w:lang w:eastAsia="zh-CN"/>
        </w:rPr>
        <w:t>总</w:t>
      </w:r>
      <w:r>
        <w:rPr>
          <w:rFonts w:hint="eastAsia" w:ascii="方正仿宋_GBK" w:hAnsi="方正仿宋_GBK" w:eastAsia="方正仿宋_GBK" w:cs="方正仿宋_GBK"/>
          <w:b w:val="0"/>
          <w:bCs w:val="0"/>
          <w:color w:val="auto"/>
          <w:sz w:val="24"/>
          <w:szCs w:val="24"/>
          <w:highlight w:val="none"/>
        </w:rPr>
        <w:t>报价</w:t>
      </w:r>
      <w:r>
        <w:rPr>
          <w:rFonts w:hint="eastAsia" w:ascii="方正仿宋_GBK" w:hAnsi="方正仿宋_GBK" w:eastAsia="方正仿宋_GBK" w:cs="方正仿宋_GBK"/>
          <w:b w:val="0"/>
          <w:bCs w:val="0"/>
          <w:color w:val="auto"/>
          <w:sz w:val="24"/>
          <w:szCs w:val="24"/>
          <w:highlight w:val="none"/>
          <w:lang w:eastAsia="zh-CN"/>
        </w:rPr>
        <w:t>超过最高限价的</w:t>
      </w:r>
      <w:r>
        <w:rPr>
          <w:rFonts w:hint="eastAsia" w:ascii="方正仿宋_GBK" w:hAnsi="方正仿宋_GBK" w:eastAsia="方正仿宋_GBK" w:cs="方正仿宋_GBK"/>
          <w:b w:val="0"/>
          <w:bCs w:val="0"/>
          <w:color w:val="auto"/>
          <w:sz w:val="24"/>
          <w:szCs w:val="24"/>
          <w:highlight w:val="none"/>
        </w:rPr>
        <w:t>；</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五</w:t>
      </w:r>
      <w:r>
        <w:rPr>
          <w:rFonts w:hint="eastAsia" w:ascii="方正仿宋_GBK" w:hAnsi="方正仿宋_GBK" w:eastAsia="方正仿宋_GBK" w:cs="方正仿宋_GBK"/>
          <w:b w:val="0"/>
          <w:bCs w:val="0"/>
          <w:color w:val="auto"/>
          <w:sz w:val="24"/>
          <w:szCs w:val="24"/>
          <w:highlight w:val="none"/>
        </w:rPr>
        <w:t>）法定代表人为同一个人的两个及两个以上法人，母公司、全资子公司及其控股公司，在同一分包采购中同时参与磋商；</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六</w:t>
      </w:r>
      <w:r>
        <w:rPr>
          <w:rFonts w:hint="eastAsia" w:ascii="方正仿宋_GBK" w:hAnsi="方正仿宋_GBK" w:eastAsia="方正仿宋_GBK" w:cs="方正仿宋_GBK"/>
          <w:b w:val="0"/>
          <w:bCs w:val="0"/>
          <w:color w:val="auto"/>
          <w:sz w:val="24"/>
          <w:szCs w:val="24"/>
          <w:highlight w:val="none"/>
        </w:rPr>
        <w:t>）单位负责人为同一人或者存在直接控股、管理关系的不同供应商，参加同一合同项下的采购活动的；</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七</w:t>
      </w:r>
      <w:r>
        <w:rPr>
          <w:rFonts w:hint="eastAsia" w:ascii="方正仿宋_GBK" w:hAnsi="方正仿宋_GBK" w:eastAsia="方正仿宋_GBK" w:cs="方正仿宋_GBK"/>
          <w:b w:val="0"/>
          <w:bCs w:val="0"/>
          <w:color w:val="auto"/>
          <w:sz w:val="24"/>
          <w:szCs w:val="24"/>
          <w:highlight w:val="none"/>
        </w:rPr>
        <w:t>）为采购项目提供整体设计、规范编制或者项目管理、监理、检测等服务的供应商，再参加该采购项目的其他采购活动；</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八</w:t>
      </w:r>
      <w:r>
        <w:rPr>
          <w:rFonts w:hint="eastAsia" w:ascii="方正仿宋_GBK" w:hAnsi="方正仿宋_GBK" w:eastAsia="方正仿宋_GBK" w:cs="方正仿宋_GBK"/>
          <w:b w:val="0"/>
          <w:bCs w:val="0"/>
          <w:color w:val="auto"/>
          <w:sz w:val="24"/>
          <w:szCs w:val="24"/>
          <w:highlight w:val="none"/>
        </w:rPr>
        <w:t>）供应商的服务期、质量保证期及磋商有效期不满足竞争性磋商文件要求的；</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九</w:t>
      </w:r>
      <w:r>
        <w:rPr>
          <w:rFonts w:hint="eastAsia" w:ascii="方正仿宋_GBK" w:hAnsi="方正仿宋_GBK" w:eastAsia="方正仿宋_GBK" w:cs="方正仿宋_GBK"/>
          <w:b w:val="0"/>
          <w:bCs w:val="0"/>
          <w:color w:val="auto"/>
          <w:sz w:val="24"/>
          <w:szCs w:val="24"/>
          <w:highlight w:val="none"/>
        </w:rPr>
        <w:t>）供应商响应文件内容有与国家现行法律法规相违背的内容，或附有采购人无法接受的条件。</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（十）供应商被列入失信被执行人、重大税收违法案件当事人名单、政府采购严重违法失信行为记录名单的。</w:t>
      </w:r>
    </w:p>
    <w:p>
      <w:pPr>
        <w:keepNext/>
        <w:keepLines/>
        <w:widowControl w:val="0"/>
        <w:spacing w:before="0" w:beforeLines="0" w:beforeAutospacing="0" w:after="0" w:afterLines="0" w:afterAutospacing="0" w:line="360" w:lineRule="auto"/>
        <w:jc w:val="both"/>
        <w:outlineLvl w:val="9"/>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四、</w:t>
      </w:r>
      <w:bookmarkEnd w:id="57"/>
      <w:bookmarkEnd w:id="58"/>
      <w:r>
        <w:rPr>
          <w:rFonts w:hint="eastAsia" w:ascii="方正仿宋_GBK" w:hAnsi="方正仿宋_GBK" w:eastAsia="方正仿宋_GBK" w:cs="方正仿宋_GBK"/>
          <w:b w:val="0"/>
          <w:bCs w:val="0"/>
          <w:color w:val="auto"/>
          <w:kern w:val="2"/>
          <w:sz w:val="24"/>
          <w:szCs w:val="24"/>
          <w:highlight w:val="none"/>
          <w:lang w:val="en-US" w:eastAsia="zh-CN" w:bidi="ar-SA"/>
        </w:rPr>
        <w:t>采购终止</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出现下列情形之一的，采购人或者采购代理机构应当终止竞争性磋商采购活动，发布项目终止公告并说明原因，重新开展采购活动：</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（一）因情况变化，不再符合规定的竞争性磋商</w:t>
      </w:r>
      <w:r>
        <w:rPr>
          <w:rFonts w:hint="eastAsia" w:ascii="方正仿宋_GBK" w:hAnsi="方正仿宋_GBK" w:eastAsia="方正仿宋_GBK" w:cs="方正仿宋_GBK"/>
          <w:b w:val="0"/>
          <w:bCs w:val="0"/>
          <w:color w:val="auto"/>
          <w:sz w:val="24"/>
          <w:szCs w:val="24"/>
          <w:highlight w:val="none"/>
          <w:lang w:eastAsia="zh-CN"/>
        </w:rPr>
        <w:t>采购人</w:t>
      </w:r>
      <w:r>
        <w:rPr>
          <w:rFonts w:hint="eastAsia" w:ascii="方正仿宋_GBK" w:hAnsi="方正仿宋_GBK" w:eastAsia="方正仿宋_GBK" w:cs="方正仿宋_GBK"/>
          <w:b w:val="0"/>
          <w:bCs w:val="0"/>
          <w:color w:val="auto"/>
          <w:sz w:val="24"/>
          <w:szCs w:val="24"/>
          <w:highlight w:val="none"/>
        </w:rPr>
        <w:t>式适用情形的；</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（二）出现影响采购公正的违法、违规行为的；</w:t>
      </w:r>
    </w:p>
    <w:p>
      <w:pPr>
        <w:snapToGrid w:val="0"/>
        <w:spacing w:line="360" w:lineRule="auto"/>
        <w:ind w:firstLine="465"/>
        <w:outlineLvl w:val="9"/>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rPr>
        <w:t>（三）在采购过程中符合要求的供应商或者报价</w:t>
      </w:r>
      <w:r>
        <w:rPr>
          <w:rFonts w:hint="eastAsia" w:ascii="方正仿宋_GBK" w:hAnsi="方正仿宋_GBK" w:eastAsia="方正仿宋_GBK" w:cs="方正仿宋_GBK"/>
          <w:b w:val="0"/>
          <w:bCs w:val="0"/>
          <w:color w:val="auto"/>
          <w:sz w:val="24"/>
          <w:szCs w:val="24"/>
          <w:highlight w:val="none"/>
          <w:lang w:eastAsia="zh-CN"/>
        </w:rPr>
        <w:t>符合要求</w:t>
      </w:r>
      <w:r>
        <w:rPr>
          <w:rFonts w:hint="eastAsia" w:ascii="方正仿宋_GBK" w:hAnsi="方正仿宋_GBK" w:eastAsia="方正仿宋_GBK" w:cs="方正仿宋_GBK"/>
          <w:b w:val="0"/>
          <w:bCs w:val="0"/>
          <w:color w:val="auto"/>
          <w:sz w:val="24"/>
          <w:szCs w:val="24"/>
          <w:highlight w:val="none"/>
        </w:rPr>
        <w:t>的供应商不足</w:t>
      </w: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rPr>
        <w:t>家的</w:t>
      </w:r>
      <w:r>
        <w:rPr>
          <w:rFonts w:hint="eastAsia" w:ascii="方正仿宋_GBK" w:hAnsi="方正仿宋_GBK" w:eastAsia="方正仿宋_GBK" w:cs="方正仿宋_GBK"/>
          <w:b w:val="0"/>
          <w:bCs w:val="0"/>
          <w:color w:val="auto"/>
          <w:sz w:val="24"/>
          <w:szCs w:val="24"/>
          <w:highlight w:val="none"/>
          <w:lang w:eastAsia="zh-CN"/>
        </w:rPr>
        <w:t>。</w:t>
      </w:r>
    </w:p>
    <w:p>
      <w:pPr>
        <w:spacing w:line="360" w:lineRule="auto"/>
        <w:ind w:firstLine="482" w:firstLineChars="200"/>
        <w:outlineLvl w:val="9"/>
        <w:rPr>
          <w:rFonts w:hint="eastAsia" w:ascii="方正仿宋_GBK" w:hAnsi="方正仿宋_GBK" w:eastAsia="方正仿宋_GBK" w:cs="方正仿宋_GBK"/>
          <w:b/>
          <w:bCs/>
          <w:color w:val="auto"/>
          <w:sz w:val="24"/>
          <w:szCs w:val="24"/>
          <w:highlight w:val="none"/>
        </w:rPr>
        <w:sectPr>
          <w:footerReference r:id="rId9" w:type="default"/>
          <w:pgSz w:w="11907" w:h="16840"/>
          <w:pgMar w:top="1134" w:right="1191" w:bottom="1134" w:left="1304" w:header="964" w:footer="992" w:gutter="0"/>
          <w:pgNumType w:fmt="decimal"/>
          <w:cols w:space="720" w:num="1"/>
          <w:docGrid w:linePitch="312" w:charSpace="0"/>
        </w:sectPr>
      </w:pPr>
    </w:p>
    <w:p>
      <w:pPr>
        <w:spacing w:line="360" w:lineRule="auto"/>
        <w:jc w:val="center"/>
        <w:outlineLvl w:val="0"/>
        <w:rPr>
          <w:rFonts w:hint="eastAsia" w:ascii="方正仿宋_GBK" w:hAnsi="方正仿宋_GBK" w:eastAsia="方正仿宋_GBK" w:cs="方正仿宋_GBK"/>
          <w:b/>
          <w:bCs/>
          <w:color w:val="auto"/>
          <w:sz w:val="36"/>
          <w:szCs w:val="36"/>
          <w:highlight w:val="none"/>
        </w:rPr>
      </w:pPr>
      <w:bookmarkStart w:id="60" w:name="_Toc12934"/>
      <w:bookmarkStart w:id="61" w:name="_Toc15175"/>
      <w:bookmarkStart w:id="62" w:name="_Toc102227313"/>
      <w:r>
        <w:rPr>
          <w:rFonts w:hint="eastAsia" w:ascii="方正仿宋_GBK" w:hAnsi="方正仿宋_GBK" w:eastAsia="方正仿宋_GBK" w:cs="方正仿宋_GBK"/>
          <w:b/>
          <w:bCs/>
          <w:color w:val="auto"/>
          <w:sz w:val="36"/>
          <w:szCs w:val="36"/>
          <w:highlight w:val="none"/>
        </w:rPr>
        <w:t>第五篇  供应商须知</w:t>
      </w:r>
      <w:bookmarkEnd w:id="60"/>
      <w:bookmarkEnd w:id="61"/>
      <w:bookmarkEnd w:id="62"/>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63" w:name="_Toc437"/>
      <w:bookmarkStart w:id="64" w:name="_Toc31813"/>
      <w:bookmarkStart w:id="65" w:name="_Toc342913389"/>
      <w:bookmarkStart w:id="66" w:name="_Toc11944"/>
      <w:r>
        <w:rPr>
          <w:rFonts w:hint="eastAsia" w:ascii="方正仿宋_GBK" w:hAnsi="方正仿宋_GBK" w:eastAsia="方正仿宋_GBK" w:cs="方正仿宋_GBK"/>
          <w:color w:val="auto"/>
          <w:sz w:val="24"/>
          <w:szCs w:val="24"/>
          <w:highlight w:val="none"/>
        </w:rPr>
        <w:t>一、磋商费用</w:t>
      </w:r>
      <w:bookmarkEnd w:id="63"/>
      <w:bookmarkEnd w:id="64"/>
      <w:bookmarkEnd w:id="65"/>
      <w:bookmarkEnd w:id="66"/>
    </w:p>
    <w:p>
      <w:pPr>
        <w:pStyle w:val="153"/>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tabs>
          <w:tab w:val="left" w:pos="2640"/>
        </w:tabs>
        <w:spacing w:before="0" w:after="0" w:line="360" w:lineRule="auto"/>
        <w:outlineLvl w:val="1"/>
        <w:rPr>
          <w:rFonts w:hint="eastAsia" w:ascii="方正仿宋_GBK" w:hAnsi="方正仿宋_GBK" w:eastAsia="方正仿宋_GBK" w:cs="方正仿宋_GBK"/>
          <w:color w:val="auto"/>
          <w:sz w:val="24"/>
          <w:szCs w:val="24"/>
          <w:highlight w:val="none"/>
        </w:rPr>
      </w:pPr>
      <w:bookmarkStart w:id="67" w:name="_Toc26261"/>
      <w:bookmarkStart w:id="68" w:name="_Toc342913391"/>
      <w:bookmarkStart w:id="69" w:name="_Toc1244"/>
      <w:bookmarkStart w:id="70" w:name="_Toc32081"/>
      <w:r>
        <w:rPr>
          <w:rFonts w:hint="eastAsia" w:ascii="方正仿宋_GBK" w:hAnsi="方正仿宋_GBK" w:eastAsia="方正仿宋_GBK" w:cs="方正仿宋_GBK"/>
          <w:color w:val="auto"/>
          <w:sz w:val="24"/>
          <w:szCs w:val="24"/>
          <w:highlight w:val="none"/>
        </w:rPr>
        <w:t>二、竞争性磋商文件</w:t>
      </w:r>
      <w:bookmarkEnd w:id="67"/>
      <w:bookmarkEnd w:id="68"/>
      <w:bookmarkEnd w:id="69"/>
      <w:bookmarkEnd w:id="70"/>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bookmarkStart w:id="71" w:name="_Toc318159160"/>
      <w:bookmarkStart w:id="72" w:name="_Toc318166429"/>
      <w:bookmarkStart w:id="73" w:name="_Toc318159349"/>
      <w:bookmarkStart w:id="74" w:name="_Toc318159780"/>
      <w:r>
        <w:rPr>
          <w:rFonts w:hint="eastAsia" w:ascii="方正仿宋_GBK" w:hAnsi="方正仿宋_GBK" w:eastAsia="方正仿宋_GBK" w:cs="方正仿宋_GBK"/>
          <w:color w:val="auto"/>
          <w:sz w:val="24"/>
          <w:szCs w:val="24"/>
          <w:highlight w:val="none"/>
        </w:rPr>
        <w:t>（一）竞争性磋商文件由采购邀请书、项目服务需求、供应商须知、项目商务需求、磋商程序及方法、评审标准、无效响应和采购终止、供应商须知</w:t>
      </w:r>
      <w:r>
        <w:rPr>
          <w:rFonts w:hint="eastAsia" w:ascii="方正仿宋_GBK" w:hAnsi="方正仿宋_GBK" w:eastAsia="方正仿宋_GBK" w:cs="方正仿宋_GBK"/>
          <w:b/>
          <w:color w:val="auto"/>
          <w:sz w:val="24"/>
          <w:szCs w:val="24"/>
          <w:highlight w:val="none"/>
        </w:rPr>
        <w:t>、</w:t>
      </w:r>
      <w:r>
        <w:rPr>
          <w:rFonts w:hint="eastAsia" w:ascii="方正仿宋_GBK" w:hAnsi="方正仿宋_GBK" w:eastAsia="方正仿宋_GBK" w:cs="方正仿宋_GBK"/>
          <w:color w:val="auto"/>
          <w:sz w:val="24"/>
          <w:szCs w:val="24"/>
          <w:highlight w:val="none"/>
        </w:rPr>
        <w:t>采购合同</w:t>
      </w:r>
      <w:r>
        <w:rPr>
          <w:rFonts w:hint="eastAsia" w:ascii="方正仿宋_GBK" w:hAnsi="方正仿宋_GBK" w:eastAsia="方正仿宋_GBK" w:cs="方正仿宋_GBK"/>
          <w:b/>
          <w:color w:val="auto"/>
          <w:sz w:val="24"/>
          <w:szCs w:val="24"/>
          <w:highlight w:val="none"/>
        </w:rPr>
        <w:t>、</w:t>
      </w:r>
      <w:r>
        <w:rPr>
          <w:rFonts w:hint="eastAsia" w:ascii="方正仿宋_GBK" w:hAnsi="方正仿宋_GBK" w:eastAsia="方正仿宋_GBK" w:cs="方正仿宋_GBK"/>
          <w:color w:val="auto"/>
          <w:sz w:val="24"/>
          <w:szCs w:val="24"/>
          <w:highlight w:val="none"/>
        </w:rPr>
        <w:t>响应文件编制要求七部分组成。</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（二）采购人（或采购代理机构）所作的一切有效的书面通知、修改及补充，都是竞争性磋商文件不可分割的部分。</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（三）竞争性磋商文件的解释</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（四）本竞争性磋商文件中，磋商小组根据与供应商进行磋商可能实质性变动的内容为竞争性磋商文件第二、三、四篇全部内容。</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1"/>
    <w:bookmarkEnd w:id="72"/>
    <w:bookmarkEnd w:id="73"/>
    <w:bookmarkEnd w:id="74"/>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75" w:name="_Toc15759"/>
      <w:bookmarkStart w:id="76" w:name="_Toc179714297"/>
      <w:bookmarkStart w:id="77" w:name="_Toc102227318"/>
      <w:bookmarkStart w:id="78" w:name="_Toc3845"/>
      <w:bookmarkStart w:id="79" w:name="_Toc7886"/>
      <w:bookmarkStart w:id="80" w:name="_Toc342913392"/>
      <w:r>
        <w:rPr>
          <w:rFonts w:hint="eastAsia" w:ascii="方正仿宋_GBK" w:hAnsi="方正仿宋_GBK" w:eastAsia="方正仿宋_GBK" w:cs="方正仿宋_GBK"/>
          <w:color w:val="auto"/>
          <w:sz w:val="24"/>
          <w:szCs w:val="24"/>
          <w:highlight w:val="none"/>
        </w:rPr>
        <w:t>三、磋商要求</w:t>
      </w:r>
      <w:bookmarkEnd w:id="75"/>
      <w:bookmarkEnd w:id="76"/>
      <w:bookmarkEnd w:id="77"/>
      <w:bookmarkEnd w:id="78"/>
      <w:bookmarkEnd w:id="79"/>
      <w:bookmarkEnd w:id="80"/>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（一）响应文件</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2、响应文件组成</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（二）联合体</w:t>
      </w:r>
    </w:p>
    <w:p>
      <w:pPr>
        <w:spacing w:line="360" w:lineRule="auto"/>
        <w:ind w:firstLine="482" w:firstLineChars="200"/>
        <w:outlineLvl w:val="9"/>
        <w:rPr>
          <w:rFonts w:hint="eastAsia" w:ascii="方正仿宋_GBK" w:hAnsi="宋体" w:eastAsia="方正仿宋_GBK"/>
          <w:b/>
          <w:sz w:val="24"/>
          <w:szCs w:val="24"/>
        </w:rPr>
      </w:pPr>
      <w:r>
        <w:rPr>
          <w:rFonts w:hint="eastAsia" w:ascii="方正仿宋_GBK" w:hAnsi="宋体" w:eastAsia="方正仿宋_GBK"/>
          <w:b/>
          <w:sz w:val="24"/>
          <w:szCs w:val="24"/>
        </w:rPr>
        <w:t>本项目不接受联合体参与报价，否则按无效处理。</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（三）磋商有效期：响应文件及有关承诺文件有效期为提交响应文件截止时间起90天。</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四</w:t>
      </w:r>
      <w:r>
        <w:rPr>
          <w:rFonts w:hint="eastAsia" w:ascii="方正仿宋_GBK" w:hAnsi="方正仿宋_GBK" w:eastAsia="方正仿宋_GBK" w:cs="方正仿宋_GBK"/>
          <w:color w:val="auto"/>
          <w:sz w:val="24"/>
          <w:szCs w:val="24"/>
          <w:highlight w:val="none"/>
        </w:rPr>
        <w:t>）修正错误</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1.若供应商所递交的响应文件或报价中的价格出现大写金额和小写金额不一致的错误，以大写金额修正为准。</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五</w:t>
      </w:r>
      <w:r>
        <w:rPr>
          <w:rFonts w:hint="eastAsia" w:ascii="方正仿宋_GBK" w:hAnsi="方正仿宋_GBK" w:eastAsia="方正仿宋_GBK" w:cs="方正仿宋_GBK"/>
          <w:color w:val="auto"/>
          <w:sz w:val="24"/>
          <w:szCs w:val="24"/>
          <w:highlight w:val="none"/>
        </w:rPr>
        <w:t>）提交响应文件的份数和签署</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1、响应文件一式叁份，其中正本一份，副本二份；副本可为正本的复印件，应与正本一致，如出现不一致情况以正本为准。</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2、在响应文件正本中，竞争性磋商文件第六篇响应文件编制要求中规定签字、盖章的地方必须按其规定签字、盖章。</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rPr>
        <w:t>）响应文件的递交</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 响应文件的密封</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1.1响应文件的正本、副本均应密封送达递交响应文件地点，应在封套上注明项目名称、供应商名称。若正本、副本分别进行密封的，还应在封套上注明“正本”、“副本”字样。</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1.2封套的封口处应加盖供应商公章或由授权代表签字。</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2.如果响应文件通过邮寄递交，供应商应将响应文件用内、外两层封套密封。</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2.1内层封套的封装同 “1、”款规定。</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2.2外层封套装入“1、”款所述全部内封资料，并注明项目编号、项目名称、</w:t>
      </w:r>
      <w:r>
        <w:rPr>
          <w:rFonts w:hint="eastAsia" w:ascii="方正仿宋_GBK" w:hAnsi="方正仿宋_GBK" w:eastAsia="方正仿宋_GBK" w:cs="方正仿宋_GBK"/>
          <w:color w:val="auto"/>
          <w:sz w:val="24"/>
          <w:szCs w:val="24"/>
          <w:highlight w:val="none"/>
          <w:lang w:val="en-US" w:eastAsia="zh-CN"/>
        </w:rPr>
        <w:t>采购人或</w:t>
      </w:r>
      <w:r>
        <w:rPr>
          <w:rFonts w:hint="eastAsia" w:ascii="方正仿宋_GBK" w:hAnsi="方正仿宋_GBK" w:eastAsia="方正仿宋_GBK" w:cs="方正仿宋_GBK"/>
          <w:color w:val="auto"/>
          <w:sz w:val="24"/>
          <w:szCs w:val="24"/>
          <w:highlight w:val="none"/>
        </w:rPr>
        <w:t>采购代理机构名称及地址。同时应写明供应商的名称、地址，以便将迟交的响应文件原封退还。</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3.如果未按上述规定进行密封，</w:t>
      </w:r>
      <w:r>
        <w:rPr>
          <w:rFonts w:hint="eastAsia" w:ascii="方正仿宋_GBK" w:hAnsi="方正仿宋_GBK" w:eastAsia="方正仿宋_GBK" w:cs="方正仿宋_GBK"/>
          <w:color w:val="auto"/>
          <w:sz w:val="24"/>
          <w:szCs w:val="24"/>
          <w:highlight w:val="none"/>
          <w:lang w:val="en-US" w:eastAsia="zh-CN"/>
        </w:rPr>
        <w:t>采购人或</w:t>
      </w:r>
      <w:r>
        <w:rPr>
          <w:rFonts w:hint="eastAsia" w:ascii="方正仿宋_GBK" w:hAnsi="方正仿宋_GBK" w:eastAsia="方正仿宋_GBK" w:cs="方正仿宋_GBK"/>
          <w:color w:val="auto"/>
          <w:sz w:val="24"/>
          <w:szCs w:val="24"/>
          <w:highlight w:val="none"/>
        </w:rPr>
        <w:t>采购代理机构对响应文件误投、丢失或提前拆封不负责任。</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rPr>
        <w:t>）供应商参与人员</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各个供应商应当派1-2名代表参与磋商，至少1人应为法定代表人（或分支机构负责人）或具有授权委托书的授权代表。</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81" w:name="_Toc19539"/>
      <w:bookmarkStart w:id="82" w:name="_Toc19185"/>
      <w:bookmarkStart w:id="83" w:name="_Toc21395"/>
      <w:r>
        <w:rPr>
          <w:rFonts w:hint="eastAsia" w:ascii="方正仿宋_GBK" w:hAnsi="方正仿宋_GBK" w:eastAsia="方正仿宋_GBK" w:cs="方正仿宋_GBK"/>
          <w:color w:val="auto"/>
          <w:sz w:val="24"/>
          <w:szCs w:val="24"/>
          <w:highlight w:val="none"/>
        </w:rPr>
        <w:t>四、成交供应商的确认和变更</w:t>
      </w:r>
      <w:bookmarkEnd w:id="81"/>
      <w:bookmarkEnd w:id="82"/>
      <w:bookmarkEnd w:id="83"/>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（一）成交供应商的确认</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（二）成交供应商的变更</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成交供应商拒绝与采购人签订合同的，采购人可以按照评审报告推荐的成交候选供应商顺序，确定排名下一位的候选人为成交供应商，也可以重新开展采购活动。</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84" w:name="_Toc102227321"/>
      <w:bookmarkStart w:id="85" w:name="_Toc342913395"/>
      <w:bookmarkStart w:id="86" w:name="_Toc25769"/>
      <w:bookmarkStart w:id="87" w:name="_Toc27226"/>
      <w:bookmarkStart w:id="88" w:name="_Toc17031"/>
      <w:r>
        <w:rPr>
          <w:rFonts w:hint="eastAsia" w:ascii="方正仿宋_GBK" w:hAnsi="方正仿宋_GBK" w:eastAsia="方正仿宋_GBK" w:cs="方正仿宋_GBK"/>
          <w:color w:val="auto"/>
          <w:sz w:val="24"/>
          <w:szCs w:val="24"/>
          <w:highlight w:val="none"/>
        </w:rPr>
        <w:t>五、成交通知</w:t>
      </w:r>
      <w:bookmarkEnd w:id="84"/>
      <w:bookmarkEnd w:id="85"/>
      <w:bookmarkEnd w:id="86"/>
      <w:bookmarkEnd w:id="87"/>
      <w:bookmarkEnd w:id="88"/>
    </w:p>
    <w:p>
      <w:pPr>
        <w:spacing w:line="360" w:lineRule="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 xml:space="preserve">    （一）成交供应商确定后，</w:t>
      </w:r>
      <w:r>
        <w:rPr>
          <w:rFonts w:hint="eastAsia" w:ascii="方正仿宋_GBK" w:hAnsi="方正仿宋_GBK" w:eastAsia="方正仿宋_GBK" w:cs="方正仿宋_GBK"/>
          <w:color w:val="auto"/>
          <w:sz w:val="24"/>
          <w:szCs w:val="24"/>
          <w:highlight w:val="none"/>
          <w:lang w:val="en-US" w:eastAsia="zh-CN"/>
        </w:rPr>
        <w:t>采购人或</w:t>
      </w:r>
      <w:r>
        <w:rPr>
          <w:rFonts w:hint="eastAsia" w:ascii="方正仿宋_GBK" w:hAnsi="方正仿宋_GBK" w:eastAsia="方正仿宋_GBK" w:cs="方正仿宋_GBK"/>
          <w:color w:val="auto"/>
          <w:sz w:val="24"/>
          <w:szCs w:val="24"/>
          <w:highlight w:val="none"/>
        </w:rPr>
        <w:t>采购代理机构将在</w:t>
      </w:r>
      <w:r>
        <w:rPr>
          <w:rFonts w:hint="eastAsia" w:ascii="方正仿宋_GBK" w:hAnsi="方正仿宋_GBK" w:eastAsia="方正仿宋_GBK" w:cs="方正仿宋_GBK"/>
          <w:color w:val="auto"/>
          <w:sz w:val="24"/>
          <w:szCs w:val="24"/>
          <w:highlight w:val="none"/>
          <w:lang w:eastAsia="zh-CN"/>
        </w:rPr>
        <w:t>重庆市璧山区人民政府网</w:t>
      </w:r>
      <w:r>
        <w:rPr>
          <w:rFonts w:hint="eastAsia" w:ascii="方正仿宋_GBK" w:hAnsi="方正仿宋_GBK" w:eastAsia="方正仿宋_GBK" w:cs="方正仿宋_GBK"/>
          <w:color w:val="auto"/>
          <w:sz w:val="24"/>
          <w:szCs w:val="24"/>
          <w:highlight w:val="none"/>
        </w:rPr>
        <w:t>上发布成交结果公告。</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（二）结果公告发出同时，</w:t>
      </w:r>
      <w:r>
        <w:rPr>
          <w:rFonts w:hint="eastAsia" w:ascii="方正仿宋_GBK" w:hAnsi="方正仿宋_GBK" w:eastAsia="方正仿宋_GBK" w:cs="方正仿宋_GBK"/>
          <w:color w:val="auto"/>
          <w:sz w:val="24"/>
          <w:szCs w:val="24"/>
          <w:highlight w:val="none"/>
          <w:lang w:val="en-US" w:eastAsia="zh-CN"/>
        </w:rPr>
        <w:t>采购人或</w:t>
      </w:r>
      <w:r>
        <w:rPr>
          <w:rFonts w:hint="eastAsia" w:ascii="方正仿宋_GBK" w:hAnsi="方正仿宋_GBK" w:eastAsia="方正仿宋_GBK" w:cs="方正仿宋_GBK"/>
          <w:color w:val="auto"/>
          <w:sz w:val="24"/>
          <w:szCs w:val="24"/>
          <w:highlight w:val="none"/>
        </w:rPr>
        <w:t>采购代理机构将以书面形式发出《成交通知书》。《成交通知书》一经发出即发生法律效力。</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（三）《成交通知书》将作为签订合同的依据。</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（四）如有供应商对成交结果提出质疑的，在质疑处理完毕后发出成交通知书。</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89" w:name="_Toc18139"/>
      <w:bookmarkStart w:id="90" w:name="_Toc27135"/>
      <w:bookmarkStart w:id="91" w:name="_Toc3111"/>
      <w:r>
        <w:rPr>
          <w:rFonts w:hint="eastAsia" w:ascii="方正仿宋_GBK" w:hAnsi="方正仿宋_GBK" w:eastAsia="方正仿宋_GBK" w:cs="方正仿宋_GBK"/>
          <w:color w:val="auto"/>
          <w:sz w:val="24"/>
          <w:szCs w:val="24"/>
          <w:highlight w:val="none"/>
        </w:rPr>
        <w:t>六、关于质疑和投诉</w:t>
      </w:r>
      <w:bookmarkEnd w:id="89"/>
      <w:bookmarkEnd w:id="90"/>
      <w:bookmarkEnd w:id="91"/>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（一）质疑</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供应商认为采购文件、采购过程和成交结果使自己的权益收到伤害的，可向采购人或采购代理机构以书面形式提出质疑。</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提出质疑的应当是参与所质疑项目采购活动的供应商。 </w:t>
      </w:r>
    </w:p>
    <w:p>
      <w:pPr>
        <w:spacing w:line="360" w:lineRule="auto"/>
        <w:ind w:right="12" w:firstLine="48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1.质疑时限、内容</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对</w:t>
      </w:r>
      <w:r>
        <w:rPr>
          <w:rFonts w:hint="eastAsia" w:ascii="方正仿宋_GBK" w:hAnsi="方正仿宋_GBK" w:eastAsia="方正仿宋_GBK" w:cs="方正仿宋_GBK"/>
          <w:color w:val="auto"/>
          <w:sz w:val="24"/>
          <w:szCs w:val="24"/>
          <w:highlight w:val="none"/>
          <w:lang w:eastAsia="zh-CN"/>
        </w:rPr>
        <w:t>采购文件</w:t>
      </w:r>
      <w:r>
        <w:rPr>
          <w:rFonts w:hint="eastAsia" w:ascii="方正仿宋_GBK" w:hAnsi="方正仿宋_GBK" w:eastAsia="方正仿宋_GBK" w:cs="方正仿宋_GBK"/>
          <w:color w:val="auto"/>
          <w:sz w:val="24"/>
          <w:szCs w:val="24"/>
          <w:highlight w:val="none"/>
        </w:rPr>
        <w:t>提出质疑的，应在</w:t>
      </w:r>
      <w:r>
        <w:rPr>
          <w:rFonts w:hint="eastAsia" w:ascii="方正仿宋_GBK" w:hAnsi="方正仿宋_GBK" w:eastAsia="方正仿宋_GBK" w:cs="方正仿宋_GBK"/>
          <w:color w:val="auto"/>
          <w:sz w:val="24"/>
          <w:szCs w:val="24"/>
          <w:highlight w:val="none"/>
          <w:lang w:eastAsia="zh-CN"/>
        </w:rPr>
        <w:t>采购文件</w:t>
      </w:r>
      <w:r>
        <w:rPr>
          <w:rFonts w:hint="eastAsia" w:ascii="方正仿宋_GBK" w:hAnsi="方正仿宋_GBK" w:eastAsia="方正仿宋_GBK" w:cs="方正仿宋_GBK"/>
          <w:color w:val="auto"/>
          <w:sz w:val="24"/>
          <w:szCs w:val="24"/>
          <w:highlight w:val="none"/>
        </w:rPr>
        <w:t>公告期限届满之日起七个工作日内提出。</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1.2 </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对采购过程提出质疑的，应在各采购程序环节结束之日起七个工作日内提出。</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1.3</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对成交结果提出质疑的，应当在成交结果公告期限届满之日起七个工作日内提出。</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提出质疑应当提交质疑函和必要的证明材料，质疑函应当包括下列内容：</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1.4.1供应商的姓名或者名称、地址、邮编、联系人及联系电话；</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1.4.2质疑项目的名称、项目号以及招标项目编号；</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1.4.3具体、明确的质疑事项和与质疑事项相关的请求；</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1.4.4事实依据；</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1.4.5必要的法律依据；</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1.4.6提出质疑的日期；</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1.4.7营业执照（或事业单位法人证书，或个体工商户营业执照或有效的自然人身份证明、组织机构代码证）复印件；</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1.4.8法定代表人（或分支机构负责人）授权委托书原件、法定代表人（或分支机构负责人）身份证复印件和其授权代表的身份证复印件（供应商为自然人的提供自然人身份证复印件）；</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1.5供应商为自然人的，质疑函应当由本人签字；供应商为法人或者其他组织的，质疑函应当由法定代表人（或分支机构负责人）、主要负责人，或者其授权代表签字或者盖章，并加盖公章。</w:t>
      </w:r>
    </w:p>
    <w:p>
      <w:pPr>
        <w:spacing w:line="360" w:lineRule="auto"/>
        <w:ind w:right="12" w:firstLine="48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2.质疑答复</w:t>
      </w:r>
    </w:p>
    <w:p>
      <w:pPr>
        <w:spacing w:line="360" w:lineRule="auto"/>
        <w:ind w:right="12" w:firstLine="48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采购人、采购代理机构应当在收到供应商的书面质疑后七个工作日内作出答复，并以书面形式通知质疑供应商和其他有关供应商。</w:t>
      </w: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92" w:name="_Toc102227322"/>
      <w:bookmarkStart w:id="93" w:name="_Toc24791"/>
      <w:bookmarkStart w:id="94" w:name="_Toc342913396"/>
      <w:bookmarkStart w:id="95" w:name="_Toc11960"/>
      <w:bookmarkStart w:id="96" w:name="_Toc9286"/>
      <w:bookmarkStart w:id="97" w:name="_Toc12789059"/>
      <w:bookmarkStart w:id="98" w:name="_Toc11641055"/>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rPr>
        <w:t>、签订</w:t>
      </w:r>
      <w:bookmarkEnd w:id="92"/>
      <w:r>
        <w:rPr>
          <w:rFonts w:hint="eastAsia" w:ascii="方正仿宋_GBK" w:hAnsi="方正仿宋_GBK" w:eastAsia="方正仿宋_GBK" w:cs="方正仿宋_GBK"/>
          <w:color w:val="auto"/>
          <w:sz w:val="24"/>
          <w:szCs w:val="24"/>
          <w:highlight w:val="none"/>
        </w:rPr>
        <w:t>合同</w:t>
      </w:r>
      <w:bookmarkEnd w:id="93"/>
      <w:bookmarkEnd w:id="94"/>
      <w:bookmarkEnd w:id="95"/>
      <w:bookmarkEnd w:id="96"/>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（二）竞争性磋商文件、供应商的响应文件及澄清文件等，均为签订采购合同的依据。</w:t>
      </w:r>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（三）合同生效条款由供需双方约定，法律、行政法规规定应当办理批准、登记等手续后生效的合同，依照其规定。</w:t>
      </w:r>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（四）合同原则上应按照《采购合同》签订，相关单位要求适用合同通用格式版本的，应按其要求另行签订其他合同。</w:t>
      </w:r>
    </w:p>
    <w:p>
      <w:pPr>
        <w:spacing w:line="360" w:lineRule="auto"/>
        <w:ind w:firstLine="240" w:firstLineChars="100"/>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（五）采购人要求成交供应商提供履约保证金的，应当在竞争性磋商文件中予以约定。成交供应商履约完毕后，采购人应按磋商文件及合同的约定无息退还其履约保证金。</w:t>
      </w:r>
      <w:r>
        <w:rPr>
          <w:rFonts w:hint="eastAsia" w:ascii="方正仿宋_GBK" w:hAnsi="方正仿宋_GBK" w:eastAsia="方正仿宋_GBK" w:cs="方正仿宋_GBK"/>
          <w:color w:val="auto"/>
          <w:sz w:val="24"/>
          <w:szCs w:val="24"/>
          <w:highlight w:val="none"/>
        </w:rPr>
        <w:br w:type="page"/>
      </w:r>
      <w:bookmarkEnd w:id="97"/>
      <w:bookmarkEnd w:id="98"/>
    </w:p>
    <w:p>
      <w:pPr>
        <w:spacing w:line="360" w:lineRule="auto"/>
        <w:ind w:firstLine="361" w:firstLineChars="100"/>
        <w:jc w:val="center"/>
        <w:outlineLvl w:val="0"/>
        <w:rPr>
          <w:rFonts w:hint="eastAsia" w:ascii="方正仿宋_GBK" w:hAnsi="方正仿宋_GBK" w:eastAsia="方正仿宋_GBK" w:cs="方正仿宋_GBK"/>
          <w:b/>
          <w:color w:val="auto"/>
          <w:sz w:val="36"/>
          <w:szCs w:val="36"/>
          <w:highlight w:val="none"/>
        </w:rPr>
      </w:pPr>
      <w:bookmarkStart w:id="99" w:name="_Toc12075"/>
      <w:r>
        <w:rPr>
          <w:rFonts w:hint="eastAsia" w:ascii="方正仿宋_GBK" w:hAnsi="方正仿宋_GBK" w:eastAsia="方正仿宋_GBK" w:cs="方正仿宋_GBK"/>
          <w:b/>
          <w:bCs/>
          <w:color w:val="auto"/>
          <w:kern w:val="2"/>
          <w:sz w:val="36"/>
          <w:szCs w:val="36"/>
          <w:highlight w:val="none"/>
          <w:lang w:val="en-US" w:eastAsia="zh-CN" w:bidi="ar-SA"/>
        </w:rPr>
        <w:t>第六篇  采购合同</w:t>
      </w:r>
      <w:bookmarkEnd w:id="99"/>
    </w:p>
    <w:p>
      <w:pPr>
        <w:spacing w:line="360" w:lineRule="auto"/>
        <w:ind w:firstLine="600" w:firstLineChars="250"/>
        <w:outlineLvl w:val="9"/>
        <w:rPr>
          <w:rFonts w:hint="eastAsia" w:ascii="方正仿宋_GBK" w:hAnsi="方正仿宋_GBK" w:eastAsia="方正仿宋_GBK" w:cs="方正仿宋_GBK"/>
          <w:color w:val="auto"/>
          <w:sz w:val="24"/>
          <w:szCs w:val="24"/>
          <w:highlight w:val="none"/>
          <w:lang w:eastAsia="zh-CN"/>
        </w:rPr>
      </w:pPr>
    </w:p>
    <w:p>
      <w:pPr>
        <w:spacing w:line="360" w:lineRule="auto"/>
        <w:ind w:firstLine="600" w:firstLineChars="250"/>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本项目采购合同格式</w:t>
      </w:r>
      <w:r>
        <w:rPr>
          <w:rFonts w:hint="eastAsia" w:ascii="方正仿宋_GBK" w:hAnsi="方正仿宋_GBK" w:eastAsia="方正仿宋_GBK" w:cs="方正仿宋_GBK"/>
          <w:color w:val="auto"/>
          <w:sz w:val="24"/>
          <w:szCs w:val="24"/>
          <w:highlight w:val="none"/>
          <w:lang w:val="en-US" w:eastAsia="zh-CN"/>
        </w:rPr>
        <w:t>见附件《</w:t>
      </w:r>
      <w:r>
        <w:rPr>
          <w:rFonts w:hint="eastAsia" w:ascii="方正仿宋_GBK" w:hAnsi="方正仿宋_GBK" w:eastAsia="方正仿宋_GBK" w:cs="方正仿宋_GBK"/>
          <w:color w:val="auto"/>
          <w:sz w:val="24"/>
          <w:szCs w:val="24"/>
          <w:highlight w:val="none"/>
          <w:lang w:eastAsia="zh-CN"/>
        </w:rPr>
        <w:t>微电园标准厂房8号楼新装变压器工程施工合同</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lang w:eastAsia="zh-CN"/>
        </w:rPr>
        <w:t>。</w:t>
      </w: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bookmarkStart w:id="100" w:name="_Hlt41879464"/>
      <w:bookmarkEnd w:id="100"/>
      <w:bookmarkStart w:id="101" w:name="_Toc12789072"/>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pStyle w:val="2"/>
        <w:rPr>
          <w:rFonts w:hint="eastAsia" w:ascii="方正仿宋_GBK" w:hAnsi="方正仿宋_GBK" w:eastAsia="方正仿宋_GBK" w:cs="方正仿宋_GBK"/>
          <w:color w:val="auto"/>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spacing w:before="0" w:after="0" w:line="360" w:lineRule="auto"/>
        <w:jc w:val="center"/>
        <w:outlineLvl w:val="9"/>
        <w:rPr>
          <w:rFonts w:hint="eastAsia" w:ascii="方正仿宋_GBK" w:hAnsi="方正仿宋_GBK" w:eastAsia="方正仿宋_GBK" w:cs="方正仿宋_GBK"/>
          <w:b/>
          <w:color w:val="auto"/>
          <w:sz w:val="36"/>
          <w:szCs w:val="36"/>
          <w:highlight w:val="none"/>
        </w:rPr>
      </w:pPr>
    </w:p>
    <w:p>
      <w:pPr>
        <w:outlineLvl w:val="9"/>
        <w:rPr>
          <w:rFonts w:hint="eastAsia" w:ascii="方正仿宋_GBK" w:hAnsi="方正仿宋_GBK" w:eastAsia="方正仿宋_GBK" w:cs="方正仿宋_GBK"/>
          <w:color w:val="auto"/>
        </w:rPr>
      </w:pPr>
    </w:p>
    <w:p>
      <w:pPr>
        <w:pStyle w:val="2"/>
        <w:rPr>
          <w:rFonts w:hint="eastAsia"/>
        </w:rPr>
      </w:pPr>
    </w:p>
    <w:p>
      <w:pPr>
        <w:spacing w:before="0" w:after="0" w:line="360" w:lineRule="auto"/>
        <w:jc w:val="center"/>
        <w:outlineLvl w:val="0"/>
        <w:rPr>
          <w:rFonts w:hint="eastAsia" w:ascii="方正仿宋_GBK" w:hAnsi="方正仿宋_GBK" w:eastAsia="方正仿宋_GBK" w:cs="方正仿宋_GBK"/>
          <w:b/>
          <w:bCs/>
          <w:color w:val="auto"/>
          <w:sz w:val="36"/>
          <w:szCs w:val="36"/>
          <w:highlight w:val="none"/>
        </w:rPr>
      </w:pPr>
      <w:bookmarkStart w:id="102" w:name="_Toc28990"/>
      <w:bookmarkStart w:id="103" w:name="_Toc6150"/>
      <w:r>
        <w:rPr>
          <w:rFonts w:hint="eastAsia" w:ascii="方正仿宋_GBK" w:hAnsi="方正仿宋_GBK" w:eastAsia="方正仿宋_GBK" w:cs="方正仿宋_GBK"/>
          <w:b/>
          <w:bCs/>
          <w:color w:val="auto"/>
          <w:sz w:val="36"/>
          <w:szCs w:val="36"/>
          <w:highlight w:val="none"/>
        </w:rPr>
        <w:t xml:space="preserve">第七篇  </w:t>
      </w:r>
      <w:bookmarkEnd w:id="101"/>
      <w:r>
        <w:rPr>
          <w:rFonts w:hint="eastAsia" w:ascii="方正仿宋_GBK" w:hAnsi="方正仿宋_GBK" w:eastAsia="方正仿宋_GBK" w:cs="方正仿宋_GBK"/>
          <w:b/>
          <w:bCs/>
          <w:color w:val="auto"/>
          <w:sz w:val="36"/>
          <w:szCs w:val="36"/>
          <w:highlight w:val="none"/>
        </w:rPr>
        <w:t>响应文件编制要求</w:t>
      </w:r>
      <w:bookmarkEnd w:id="102"/>
      <w:bookmarkEnd w:id="103"/>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一、经济部分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（一）竞争性磋商报价函</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（二）</w:t>
      </w:r>
      <w:r>
        <w:rPr>
          <w:rFonts w:hint="eastAsia" w:ascii="方正仿宋_GBK" w:hAnsi="方正仿宋_GBK" w:eastAsia="方正仿宋_GBK" w:cs="方正仿宋_GBK"/>
          <w:b w:val="0"/>
          <w:bCs w:val="0"/>
          <w:color w:val="auto"/>
          <w:sz w:val="24"/>
          <w:szCs w:val="24"/>
          <w:highlight w:val="none"/>
          <w:lang w:eastAsia="zh-CN"/>
        </w:rPr>
        <w:t>已标价工程量清单</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w:t>
      </w:r>
      <w:r>
        <w:rPr>
          <w:rFonts w:hint="eastAsia" w:ascii="方正仿宋_GBK" w:hAnsi="方正仿宋_GBK" w:eastAsia="方正仿宋_GBK" w:cs="方正仿宋_GBK"/>
          <w:b w:val="0"/>
          <w:bCs w:val="0"/>
          <w:color w:val="auto"/>
          <w:sz w:val="24"/>
          <w:szCs w:val="24"/>
          <w:highlight w:val="none"/>
          <w:lang w:eastAsia="zh-CN"/>
        </w:rPr>
        <w:t>技术</w:t>
      </w:r>
      <w:r>
        <w:rPr>
          <w:rFonts w:hint="eastAsia" w:ascii="方正仿宋_GBK" w:hAnsi="方正仿宋_GBK" w:eastAsia="方正仿宋_GBK" w:cs="方正仿宋_GBK"/>
          <w:b w:val="0"/>
          <w:bCs w:val="0"/>
          <w:color w:val="auto"/>
          <w:sz w:val="24"/>
          <w:szCs w:val="24"/>
          <w:highlight w:val="none"/>
        </w:rPr>
        <w:t>部分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一</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技术</w:t>
      </w:r>
      <w:r>
        <w:rPr>
          <w:rFonts w:hint="eastAsia" w:ascii="方正仿宋_GBK" w:hAnsi="方正仿宋_GBK" w:eastAsia="方正仿宋_GBK" w:cs="方正仿宋_GBK"/>
          <w:b w:val="0"/>
          <w:bCs w:val="0"/>
          <w:color w:val="auto"/>
          <w:sz w:val="24"/>
          <w:szCs w:val="24"/>
          <w:highlight w:val="none"/>
        </w:rPr>
        <w:t>响应偏离表</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二</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施工方案编制（格式自拟）</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三、商务部分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一</w:t>
      </w:r>
      <w:r>
        <w:rPr>
          <w:rFonts w:hint="eastAsia" w:ascii="方正仿宋_GBK" w:hAnsi="方正仿宋_GBK" w:eastAsia="方正仿宋_GBK" w:cs="方正仿宋_GBK"/>
          <w:b w:val="0"/>
          <w:bCs w:val="0"/>
          <w:color w:val="auto"/>
          <w:sz w:val="24"/>
          <w:szCs w:val="24"/>
          <w:highlight w:val="none"/>
        </w:rPr>
        <w:t>）商务响应偏离表</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二</w:t>
      </w:r>
      <w:r>
        <w:rPr>
          <w:rFonts w:hint="eastAsia" w:ascii="方正仿宋_GBK" w:hAnsi="方正仿宋_GBK" w:eastAsia="方正仿宋_GBK" w:cs="方正仿宋_GBK"/>
          <w:b w:val="0"/>
          <w:bCs w:val="0"/>
          <w:color w:val="auto"/>
          <w:sz w:val="24"/>
          <w:szCs w:val="24"/>
          <w:highlight w:val="none"/>
        </w:rPr>
        <w:t>）根据第四篇评分标准中商务部分的要求提供相应的应答</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eastAsia="zh-CN"/>
        </w:rPr>
        <w:t>（三）其他商务优惠承诺（如有，自拟。）</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四、资格条件及其他</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（一）营业执照（副本）或事业单位法人证书（副本）复印件</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（二）组织机构代码证复印件</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（三）法定代表人（或分支机构负责人）身份证明书（格式）</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（四）法定代表人（或分支机构负责人）授权委托书（格式）</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五</w:t>
      </w:r>
      <w:r>
        <w:rPr>
          <w:rFonts w:hint="eastAsia" w:ascii="方正仿宋_GBK" w:hAnsi="方正仿宋_GBK" w:eastAsia="方正仿宋_GBK" w:cs="方正仿宋_GBK"/>
          <w:b w:val="0"/>
          <w:bCs w:val="0"/>
          <w:color w:val="auto"/>
          <w:sz w:val="24"/>
          <w:szCs w:val="24"/>
          <w:highlight w:val="none"/>
        </w:rPr>
        <w:t>）基本资格条件承诺函（格式）</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六</w:t>
      </w:r>
      <w:r>
        <w:rPr>
          <w:rFonts w:hint="eastAsia" w:ascii="方正仿宋_GBK" w:hAnsi="方正仿宋_GBK" w:eastAsia="方正仿宋_GBK" w:cs="方正仿宋_GBK"/>
          <w:b w:val="0"/>
          <w:bCs w:val="0"/>
          <w:color w:val="auto"/>
          <w:sz w:val="24"/>
          <w:szCs w:val="24"/>
          <w:highlight w:val="none"/>
          <w:lang w:eastAsia="zh-CN"/>
        </w:rPr>
        <w:t>）施工信誉及人员承诺（格式）</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七</w:t>
      </w:r>
      <w:r>
        <w:rPr>
          <w:rFonts w:hint="eastAsia" w:ascii="方正仿宋_GBK" w:hAnsi="方正仿宋_GBK" w:eastAsia="方正仿宋_GBK" w:cs="方正仿宋_GBK"/>
          <w:b w:val="0"/>
          <w:bCs w:val="0"/>
          <w:color w:val="auto"/>
          <w:sz w:val="24"/>
          <w:szCs w:val="24"/>
          <w:highlight w:val="none"/>
        </w:rPr>
        <w:t>）税务登记证（副本）复印件和社会保险缴纳证明材料</w:t>
      </w:r>
    </w:p>
    <w:p>
      <w:pPr>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八</w:t>
      </w:r>
      <w:r>
        <w:rPr>
          <w:rFonts w:hint="eastAsia" w:ascii="方正仿宋_GBK" w:hAnsi="方正仿宋_GBK" w:eastAsia="方正仿宋_GBK" w:cs="方正仿宋_GBK"/>
          <w:b w:val="0"/>
          <w:bCs w:val="0"/>
          <w:color w:val="auto"/>
          <w:sz w:val="24"/>
          <w:szCs w:val="24"/>
          <w:highlight w:val="none"/>
        </w:rPr>
        <w:t>）特定资格条件</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说明：供应商按“多证合一”登记制度办理营业执照的，组织机构代码证和税务登记证以供应商所提供的法人营业执照（副本）复印件为准</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五、其他应提供的资料</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（一）其他资料</w:t>
      </w:r>
    </w:p>
    <w:p>
      <w:pPr>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1、其他与项目有关的资料</w:t>
      </w:r>
    </w:p>
    <w:p>
      <w:pPr>
        <w:snapToGrid w:val="0"/>
        <w:spacing w:line="360" w:lineRule="auto"/>
        <w:outlineLvl w:val="9"/>
        <w:rPr>
          <w:rFonts w:hint="eastAsia" w:ascii="方正仿宋_GBK" w:hAnsi="方正仿宋_GBK" w:eastAsia="方正仿宋_GBK" w:cs="方正仿宋_GBK"/>
          <w:b/>
          <w:bCs/>
          <w:color w:val="auto"/>
          <w:sz w:val="24"/>
          <w:szCs w:val="24"/>
          <w:highlight w:val="none"/>
          <w:bdr w:val="single" w:color="auto" w:sz="4" w:space="0"/>
        </w:rPr>
        <w:sectPr>
          <w:footerReference r:id="rId10" w:type="default"/>
          <w:pgSz w:w="11907" w:h="16840"/>
          <w:pgMar w:top="1134" w:right="1191" w:bottom="1134" w:left="1304" w:header="851" w:footer="992" w:gutter="0"/>
          <w:pgNumType w:fmt="decimal"/>
          <w:cols w:space="720" w:num="1"/>
          <w:docGrid w:linePitch="380" w:charSpace="-5735"/>
        </w:sect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bookmarkStart w:id="104" w:name="_Toc1726"/>
      <w:bookmarkStart w:id="105" w:name="_Toc30934"/>
      <w:bookmarkStart w:id="106" w:name="_Toc342913419"/>
      <w:bookmarkStart w:id="107" w:name="_Toc24115"/>
      <w:bookmarkStart w:id="108" w:name="_Toc313008356"/>
      <w:bookmarkStart w:id="109" w:name="_Toc313888360"/>
      <w:bookmarkStart w:id="110" w:name="_Toc12789073"/>
      <w:bookmarkStart w:id="111" w:name="_Toc283382454"/>
      <w:r>
        <w:rPr>
          <w:rFonts w:hint="eastAsia" w:ascii="方正仿宋_GBK" w:hAnsi="方正仿宋_GBK" w:eastAsia="方正仿宋_GBK" w:cs="方正仿宋_GBK"/>
          <w:b w:val="0"/>
          <w:bCs w:val="0"/>
          <w:color w:val="auto"/>
          <w:sz w:val="24"/>
          <w:szCs w:val="24"/>
          <w:highlight w:val="none"/>
        </w:rPr>
        <w:t>一、经济部分</w:t>
      </w:r>
      <w:bookmarkEnd w:id="104"/>
      <w:bookmarkEnd w:id="105"/>
      <w:bookmarkEnd w:id="106"/>
      <w:bookmarkEnd w:id="107"/>
      <w:bookmarkEnd w:id="108"/>
      <w:bookmarkEnd w:id="109"/>
    </w:p>
    <w:bookmarkEnd w:id="110"/>
    <w:bookmarkEnd w:id="111"/>
    <w:p>
      <w:pPr>
        <w:tabs>
          <w:tab w:val="left" w:pos="6300"/>
        </w:tabs>
        <w:snapToGrid w:val="0"/>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（一）竞争性磋商报价函</w:t>
      </w:r>
    </w:p>
    <w:p>
      <w:pPr>
        <w:tabs>
          <w:tab w:val="left" w:pos="6300"/>
        </w:tabs>
        <w:snapToGrid w:val="0"/>
        <w:spacing w:line="360" w:lineRule="auto"/>
        <w:jc w:val="center"/>
        <w:outlineLvl w:val="9"/>
        <w:rPr>
          <w:rFonts w:hint="eastAsia" w:ascii="方正仿宋_GBK" w:hAnsi="方正仿宋_GBK" w:eastAsia="方正仿宋_GBK" w:cs="方正仿宋_GBK"/>
          <w:b w:val="0"/>
          <w:bCs w:val="0"/>
          <w:color w:val="auto"/>
          <w:szCs w:val="28"/>
          <w:highlight w:val="none"/>
        </w:rPr>
      </w:pPr>
    </w:p>
    <w:p>
      <w:pPr>
        <w:tabs>
          <w:tab w:val="left" w:pos="6300"/>
        </w:tabs>
        <w:snapToGrid w:val="0"/>
        <w:spacing w:line="360" w:lineRule="auto"/>
        <w:jc w:val="center"/>
        <w:outlineLvl w:val="9"/>
        <w:rPr>
          <w:rFonts w:hint="eastAsia" w:ascii="方正仿宋_GBK" w:hAnsi="方正仿宋_GBK" w:eastAsia="方正仿宋_GBK" w:cs="方正仿宋_GBK"/>
          <w:b w:val="0"/>
          <w:bCs w:val="0"/>
          <w:color w:val="auto"/>
          <w:szCs w:val="28"/>
          <w:highlight w:val="none"/>
        </w:rPr>
      </w:pPr>
      <w:r>
        <w:rPr>
          <w:rFonts w:hint="eastAsia" w:ascii="方正仿宋_GBK" w:hAnsi="方正仿宋_GBK" w:eastAsia="方正仿宋_GBK" w:cs="方正仿宋_GBK"/>
          <w:b w:val="0"/>
          <w:bCs w:val="0"/>
          <w:color w:val="auto"/>
          <w:szCs w:val="28"/>
          <w:highlight w:val="none"/>
        </w:rPr>
        <w:t>竞争性磋商</w:t>
      </w:r>
      <w:r>
        <w:rPr>
          <w:rFonts w:hint="eastAsia" w:ascii="方正仿宋_GBK" w:hAnsi="方正仿宋_GBK" w:eastAsia="方正仿宋_GBK" w:cs="方正仿宋_GBK"/>
          <w:b w:val="0"/>
          <w:bCs w:val="0"/>
          <w:color w:val="auto"/>
          <w:szCs w:val="28"/>
          <w:highlight w:val="none"/>
          <w:lang w:val="en-US" w:eastAsia="zh-CN"/>
        </w:rPr>
        <w:t>一次</w:t>
      </w:r>
      <w:r>
        <w:rPr>
          <w:rFonts w:hint="eastAsia" w:ascii="方正仿宋_GBK" w:hAnsi="方正仿宋_GBK" w:eastAsia="方正仿宋_GBK" w:cs="方正仿宋_GBK"/>
          <w:b w:val="0"/>
          <w:bCs w:val="0"/>
          <w:color w:val="auto"/>
          <w:szCs w:val="28"/>
          <w:highlight w:val="none"/>
        </w:rPr>
        <w:t>报价函</w:t>
      </w:r>
    </w:p>
    <w:p>
      <w:pPr>
        <w:tabs>
          <w:tab w:val="left" w:pos="6300"/>
        </w:tabs>
        <w:snapToGrid w:val="0"/>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（采购</w:t>
      </w:r>
      <w:r>
        <w:rPr>
          <w:rFonts w:hint="eastAsia" w:ascii="方正仿宋_GBK" w:hAnsi="方正仿宋_GBK" w:eastAsia="方正仿宋_GBK" w:cs="方正仿宋_GBK"/>
          <w:color w:val="auto"/>
          <w:sz w:val="24"/>
          <w:szCs w:val="24"/>
          <w:highlight w:val="none"/>
          <w:u w:val="single"/>
          <w:lang w:val="en-US" w:eastAsia="zh-CN"/>
        </w:rPr>
        <w:t>人</w:t>
      </w:r>
      <w:r>
        <w:rPr>
          <w:rFonts w:hint="eastAsia" w:ascii="方正仿宋_GBK" w:hAnsi="方正仿宋_GBK" w:eastAsia="方正仿宋_GBK" w:cs="方正仿宋_GBK"/>
          <w:color w:val="auto"/>
          <w:sz w:val="24"/>
          <w:szCs w:val="24"/>
          <w:highlight w:val="none"/>
          <w:u w:val="single"/>
        </w:rPr>
        <w:t>）</w:t>
      </w:r>
      <w:r>
        <w:rPr>
          <w:rFonts w:hint="eastAsia" w:ascii="方正仿宋_GBK" w:hAnsi="方正仿宋_GBK" w:eastAsia="方正仿宋_GBK" w:cs="方正仿宋_GBK"/>
          <w:color w:val="auto"/>
          <w:sz w:val="24"/>
          <w:szCs w:val="24"/>
          <w:highlight w:val="none"/>
        </w:rPr>
        <w:t>：</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我方收到____________________________（项目名称）及_____________（</w:t>
      </w:r>
      <w:r>
        <w:rPr>
          <w:rFonts w:hint="eastAsia" w:ascii="方正仿宋_GBK" w:hAnsi="方正仿宋_GBK" w:eastAsia="方正仿宋_GBK" w:cs="方正仿宋_GBK"/>
          <w:color w:val="auto"/>
          <w:sz w:val="24"/>
          <w:szCs w:val="24"/>
          <w:highlight w:val="none"/>
          <w:lang w:eastAsia="zh-CN"/>
        </w:rPr>
        <w:t>采购</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编</w:t>
      </w:r>
      <w:r>
        <w:rPr>
          <w:rFonts w:hint="eastAsia" w:ascii="方正仿宋_GBK" w:hAnsi="方正仿宋_GBK" w:eastAsia="方正仿宋_GBK" w:cs="方正仿宋_GBK"/>
          <w:color w:val="auto"/>
          <w:sz w:val="24"/>
          <w:szCs w:val="24"/>
          <w:highlight w:val="none"/>
        </w:rPr>
        <w:t>号）的竞争性磋商文件，经详细研究，决定参加该项目的磋商。</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yellow"/>
        </w:rPr>
      </w:pPr>
      <w:r>
        <w:rPr>
          <w:rFonts w:hint="eastAsia" w:ascii="方正仿宋_GBK" w:hAnsi="方正仿宋_GBK" w:eastAsia="方正仿宋_GBK" w:cs="方正仿宋_GBK"/>
          <w:color w:val="auto"/>
          <w:sz w:val="24"/>
          <w:szCs w:val="24"/>
          <w:highlight w:val="none"/>
        </w:rPr>
        <w:t>1、愿意按照竞争性磋商文件中的一切要求，提供本项目的技术服务，</w:t>
      </w:r>
      <w:r>
        <w:rPr>
          <w:rFonts w:hint="eastAsia" w:ascii="方正仿宋_GBK" w:hAnsi="方正仿宋_GBK" w:eastAsia="方正仿宋_GBK" w:cs="方正仿宋_GBK"/>
          <w:color w:val="auto"/>
          <w:sz w:val="24"/>
          <w:szCs w:val="24"/>
          <w:highlight w:val="none"/>
          <w:lang w:eastAsia="zh-CN"/>
        </w:rPr>
        <w:t>总</w:t>
      </w:r>
      <w:r>
        <w:rPr>
          <w:rFonts w:hint="eastAsia" w:ascii="方正仿宋_GBK" w:hAnsi="方正仿宋_GBK" w:eastAsia="方正仿宋_GBK" w:cs="方正仿宋_GBK"/>
          <w:color w:val="auto"/>
          <w:sz w:val="24"/>
          <w:szCs w:val="24"/>
          <w:highlight w:val="none"/>
        </w:rPr>
        <w:t>报价为人民币大写：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元整；人民币小写：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2、我方现提交的响应文件为：响应文件正本</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份，副本</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份。</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3、我方承诺：本次磋商的有效期为90天。</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4、我方完全理解和接受贵方竞争性磋商文件的一切规定和要求及评审办法。</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5、在整个竞争性磋商过程中，我方若有违规行为，接受按照</w:t>
      </w:r>
      <w:r>
        <w:rPr>
          <w:rFonts w:hint="eastAsia" w:ascii="方正仿宋_GBK" w:hAnsi="方正仿宋_GBK" w:eastAsia="方正仿宋_GBK" w:cs="方正仿宋_GBK"/>
          <w:color w:val="auto"/>
          <w:sz w:val="24"/>
          <w:szCs w:val="24"/>
          <w:highlight w:val="none"/>
          <w:lang w:eastAsia="zh-CN"/>
        </w:rPr>
        <w:t>竞争性磋商文件及相应法律法规</w:t>
      </w:r>
      <w:r>
        <w:rPr>
          <w:rFonts w:hint="eastAsia" w:ascii="方正仿宋_GBK" w:hAnsi="方正仿宋_GBK" w:eastAsia="方正仿宋_GBK" w:cs="方正仿宋_GBK"/>
          <w:color w:val="auto"/>
          <w:sz w:val="24"/>
          <w:szCs w:val="24"/>
          <w:highlight w:val="none"/>
        </w:rPr>
        <w:t>等规定给予惩罚。</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7、我方理解，报价不是成交的唯一条件。</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、我方未为采购项目提供整体设计、规范编制或者项目管理、监理、检测等服务。</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pPr>
        <w:rPr>
          <w:rFonts w:hint="eastAsia" w:ascii="方正仿宋_GBK" w:hAnsi="方正仿宋_GBK" w:eastAsia="方正仿宋_GBK" w:cs="方正仿宋_GBK"/>
        </w:rPr>
      </w:pPr>
      <w:r>
        <w:rPr>
          <w:rFonts w:hint="eastAsia" w:ascii="方正仿宋_GBK" w:hAnsi="方正仿宋_GBK" w:eastAsia="方正仿宋_GBK" w:cs="方正仿宋_GBK"/>
        </w:rPr>
        <w:br w:type="page"/>
      </w:r>
    </w:p>
    <w:p>
      <w:pPr>
        <w:tabs>
          <w:tab w:val="left" w:pos="6300"/>
        </w:tabs>
        <w:snapToGrid w:val="0"/>
        <w:spacing w:line="360" w:lineRule="auto"/>
        <w:jc w:val="both"/>
        <w:outlineLvl w:val="9"/>
        <w:rPr>
          <w:rFonts w:hint="eastAsia" w:ascii="方正仿宋_GBK" w:hAnsi="方正仿宋_GBK" w:eastAsia="方正仿宋_GBK" w:cs="方正仿宋_GBK"/>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rPr>
      </w:pPr>
      <w:r>
        <w:rPr>
          <w:rFonts w:hint="eastAsia" w:ascii="方正仿宋_GBK" w:hAnsi="方正仿宋_GBK" w:eastAsia="方正仿宋_GBK" w:cs="方正仿宋_GBK"/>
          <w:b w:val="0"/>
          <w:bCs w:val="0"/>
          <w:color w:val="auto"/>
          <w:sz w:val="24"/>
          <w:szCs w:val="24"/>
          <w:highlight w:val="none"/>
        </w:rPr>
        <w:t>（一）竞争性磋商</w:t>
      </w:r>
      <w:r>
        <w:rPr>
          <w:rFonts w:hint="eastAsia" w:ascii="方正仿宋_GBK" w:hAnsi="方正仿宋_GBK" w:eastAsia="方正仿宋_GBK" w:cs="方正仿宋_GBK"/>
          <w:b w:val="0"/>
          <w:bCs w:val="0"/>
          <w:color w:val="auto"/>
          <w:sz w:val="24"/>
          <w:szCs w:val="24"/>
          <w:highlight w:val="none"/>
          <w:lang w:val="en-US" w:eastAsia="zh-CN"/>
        </w:rPr>
        <w:t>二次</w:t>
      </w:r>
      <w:r>
        <w:rPr>
          <w:rFonts w:hint="eastAsia" w:ascii="方正仿宋_GBK" w:hAnsi="方正仿宋_GBK" w:eastAsia="方正仿宋_GBK" w:cs="方正仿宋_GBK"/>
          <w:b w:val="0"/>
          <w:bCs w:val="0"/>
          <w:color w:val="auto"/>
          <w:sz w:val="24"/>
          <w:szCs w:val="24"/>
          <w:highlight w:val="none"/>
        </w:rPr>
        <w:t>报价函</w:t>
      </w:r>
    </w:p>
    <w:p>
      <w:pPr>
        <w:tabs>
          <w:tab w:val="left" w:pos="6300"/>
        </w:tabs>
        <w:snapToGrid w:val="0"/>
        <w:spacing w:line="360" w:lineRule="auto"/>
        <w:jc w:val="center"/>
        <w:outlineLvl w:val="9"/>
        <w:rPr>
          <w:rFonts w:hint="eastAsia" w:ascii="方正仿宋_GBK" w:hAnsi="方正仿宋_GBK" w:eastAsia="方正仿宋_GBK" w:cs="方正仿宋_GBK"/>
        </w:rPr>
      </w:pPr>
    </w:p>
    <w:p>
      <w:pPr>
        <w:tabs>
          <w:tab w:val="left" w:pos="6300"/>
        </w:tabs>
        <w:snapToGrid w:val="0"/>
        <w:spacing w:line="360" w:lineRule="auto"/>
        <w:jc w:val="center"/>
        <w:outlineLvl w:val="9"/>
        <w:rPr>
          <w:rFonts w:hint="eastAsia" w:ascii="方正仿宋_GBK" w:hAnsi="方正仿宋_GBK" w:eastAsia="方正仿宋_GBK" w:cs="方正仿宋_GBK"/>
        </w:rPr>
      </w:pPr>
    </w:p>
    <w:p>
      <w:pPr>
        <w:tabs>
          <w:tab w:val="left" w:pos="6300"/>
        </w:tabs>
        <w:snapToGrid w:val="0"/>
        <w:spacing w:line="360" w:lineRule="auto"/>
        <w:jc w:val="center"/>
        <w:outlineLvl w:val="9"/>
        <w:rPr>
          <w:rFonts w:hint="eastAsia" w:ascii="方正仿宋_GBK" w:hAnsi="方正仿宋_GBK" w:eastAsia="方正仿宋_GBK" w:cs="方正仿宋_GBK"/>
        </w:rPr>
      </w:pPr>
    </w:p>
    <w:p>
      <w:pPr>
        <w:tabs>
          <w:tab w:val="left" w:pos="6300"/>
        </w:tabs>
        <w:snapToGrid w:val="0"/>
        <w:spacing w:line="360" w:lineRule="auto"/>
        <w:jc w:val="center"/>
        <w:outlineLvl w:val="9"/>
        <w:rPr>
          <w:rFonts w:hint="eastAsia" w:ascii="方正仿宋_GBK" w:hAnsi="方正仿宋_GBK" w:eastAsia="方正仿宋_GBK" w:cs="方正仿宋_GBK"/>
          <w:b w:val="0"/>
          <w:bCs w:val="0"/>
          <w:color w:val="auto"/>
          <w:szCs w:val="28"/>
          <w:highlight w:val="none"/>
        </w:rPr>
      </w:pPr>
      <w:r>
        <w:rPr>
          <w:rFonts w:hint="eastAsia" w:ascii="方正仿宋_GBK" w:hAnsi="方正仿宋_GBK" w:eastAsia="方正仿宋_GBK" w:cs="方正仿宋_GBK"/>
          <w:b w:val="0"/>
          <w:bCs w:val="0"/>
          <w:color w:val="auto"/>
          <w:szCs w:val="28"/>
          <w:highlight w:val="none"/>
        </w:rPr>
        <w:t>竞争性磋商</w:t>
      </w:r>
      <w:r>
        <w:rPr>
          <w:rFonts w:hint="eastAsia" w:ascii="方正仿宋_GBK" w:hAnsi="方正仿宋_GBK" w:eastAsia="方正仿宋_GBK" w:cs="方正仿宋_GBK"/>
          <w:b w:val="0"/>
          <w:bCs w:val="0"/>
          <w:color w:val="auto"/>
          <w:szCs w:val="28"/>
          <w:highlight w:val="none"/>
          <w:lang w:val="en-US" w:eastAsia="zh-CN"/>
        </w:rPr>
        <w:t>二次</w:t>
      </w:r>
      <w:r>
        <w:rPr>
          <w:rFonts w:hint="eastAsia" w:ascii="方正仿宋_GBK" w:hAnsi="方正仿宋_GBK" w:eastAsia="方正仿宋_GBK" w:cs="方正仿宋_GBK"/>
          <w:b w:val="0"/>
          <w:bCs w:val="0"/>
          <w:color w:val="auto"/>
          <w:szCs w:val="28"/>
          <w:highlight w:val="none"/>
        </w:rPr>
        <w:t>报价函</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1656"/>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vMerge w:val="restart"/>
            <w:vAlign w:val="center"/>
          </w:tcPr>
          <w:p>
            <w:pPr>
              <w:jc w:val="center"/>
              <w:rPr>
                <w:rFonts w:hint="eastAsia" w:ascii="方正仿宋_GBK" w:hAnsi="方正仿宋_GBK" w:eastAsia="方正仿宋_GBK" w:cs="方正仿宋_GBK"/>
                <w:sz w:val="22"/>
                <w:szCs w:val="16"/>
                <w:vertAlign w:val="baseline"/>
                <w:lang w:val="en-US" w:eastAsia="zh-CN"/>
              </w:rPr>
            </w:pPr>
            <w:r>
              <w:rPr>
                <w:rFonts w:hint="eastAsia" w:ascii="方正仿宋_GBK" w:hAnsi="方正仿宋_GBK" w:eastAsia="方正仿宋_GBK" w:cs="方正仿宋_GBK"/>
                <w:sz w:val="22"/>
                <w:szCs w:val="16"/>
                <w:vertAlign w:val="baseline"/>
                <w:lang w:val="en-US" w:eastAsia="zh-CN"/>
              </w:rPr>
              <w:t>工程名称</w:t>
            </w:r>
          </w:p>
        </w:tc>
        <w:tc>
          <w:tcPr>
            <w:tcW w:w="1656" w:type="dxa"/>
            <w:vMerge w:val="restart"/>
            <w:vAlign w:val="center"/>
          </w:tcPr>
          <w:p>
            <w:pPr>
              <w:jc w:val="center"/>
              <w:rPr>
                <w:rFonts w:hint="eastAsia" w:ascii="方正仿宋_GBK" w:hAnsi="方正仿宋_GBK" w:eastAsia="方正仿宋_GBK" w:cs="方正仿宋_GBK"/>
                <w:sz w:val="22"/>
                <w:szCs w:val="16"/>
                <w:vertAlign w:val="baseline"/>
                <w:lang w:val="en-US" w:eastAsia="zh-CN"/>
              </w:rPr>
            </w:pPr>
            <w:r>
              <w:rPr>
                <w:rFonts w:hint="eastAsia" w:ascii="方正仿宋_GBK" w:hAnsi="方正仿宋_GBK" w:eastAsia="方正仿宋_GBK" w:cs="方正仿宋_GBK"/>
                <w:sz w:val="22"/>
                <w:szCs w:val="16"/>
                <w:vertAlign w:val="baseline"/>
                <w:lang w:val="en-US" w:eastAsia="zh-CN"/>
              </w:rPr>
              <w:t>工程期限</w:t>
            </w:r>
          </w:p>
        </w:tc>
        <w:tc>
          <w:tcPr>
            <w:tcW w:w="1926" w:type="dxa"/>
            <w:vMerge w:val="restart"/>
            <w:vAlign w:val="center"/>
          </w:tcPr>
          <w:p>
            <w:pPr>
              <w:jc w:val="center"/>
              <w:rPr>
                <w:rFonts w:hint="eastAsia" w:ascii="方正仿宋_GBK" w:hAnsi="方正仿宋_GBK" w:eastAsia="方正仿宋_GBK" w:cs="方正仿宋_GBK"/>
                <w:sz w:val="22"/>
                <w:szCs w:val="16"/>
                <w:vertAlign w:val="baseline"/>
                <w:lang w:val="en-US" w:eastAsia="zh-CN"/>
              </w:rPr>
            </w:pPr>
            <w:r>
              <w:rPr>
                <w:rFonts w:hint="eastAsia" w:ascii="方正仿宋_GBK" w:hAnsi="方正仿宋_GBK" w:eastAsia="方正仿宋_GBK" w:cs="方正仿宋_GBK"/>
                <w:sz w:val="22"/>
                <w:szCs w:val="16"/>
                <w:vertAlign w:val="baseline"/>
                <w:lang w:val="en-US" w:eastAsia="zh-CN"/>
              </w:rPr>
              <w:t>工程质量</w:t>
            </w:r>
          </w:p>
        </w:tc>
        <w:tc>
          <w:tcPr>
            <w:tcW w:w="1926" w:type="dxa"/>
            <w:vAlign w:val="center"/>
          </w:tcPr>
          <w:p>
            <w:pPr>
              <w:jc w:val="center"/>
              <w:rPr>
                <w:rFonts w:hint="eastAsia" w:ascii="方正仿宋_GBK" w:hAnsi="方正仿宋_GBK" w:eastAsia="方正仿宋_GBK" w:cs="方正仿宋_GBK"/>
                <w:sz w:val="22"/>
                <w:szCs w:val="16"/>
                <w:vertAlign w:val="baseline"/>
                <w:lang w:val="en-US" w:eastAsia="zh-CN"/>
              </w:rPr>
            </w:pPr>
            <w:r>
              <w:rPr>
                <w:rFonts w:hint="eastAsia" w:ascii="方正仿宋_GBK" w:hAnsi="方正仿宋_GBK" w:eastAsia="方正仿宋_GBK" w:cs="方正仿宋_GBK"/>
                <w:sz w:val="22"/>
                <w:szCs w:val="16"/>
                <w:vertAlign w:val="baseline"/>
                <w:lang w:val="en-US" w:eastAsia="zh-CN"/>
              </w:rPr>
              <w:t>磋商总报价</w:t>
            </w:r>
          </w:p>
        </w:tc>
        <w:tc>
          <w:tcPr>
            <w:tcW w:w="1926" w:type="dxa"/>
            <w:vAlign w:val="center"/>
          </w:tcPr>
          <w:p>
            <w:pPr>
              <w:jc w:val="center"/>
              <w:rPr>
                <w:rFonts w:hint="eastAsia" w:ascii="方正仿宋_GBK" w:hAnsi="方正仿宋_GBK" w:eastAsia="方正仿宋_GBK" w:cs="方正仿宋_GBK"/>
                <w:sz w:val="22"/>
                <w:szCs w:val="16"/>
                <w:vertAlign w:val="baseline"/>
              </w:rPr>
            </w:pPr>
            <w:r>
              <w:rPr>
                <w:rFonts w:hint="eastAsia" w:ascii="方正仿宋_GBK" w:hAnsi="方正仿宋_GBK" w:eastAsia="方正仿宋_GBK" w:cs="方正仿宋_GBK"/>
                <w:sz w:val="22"/>
                <w:szCs w:val="16"/>
                <w:vertAlign w:val="baseline"/>
                <w:lang w:val="en-US" w:eastAsia="zh-CN"/>
              </w:rPr>
              <w:t>磋商总报价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194" w:type="dxa"/>
            <w:vMerge w:val="continue"/>
            <w:vAlign w:val="center"/>
          </w:tcPr>
          <w:p>
            <w:pPr>
              <w:jc w:val="center"/>
              <w:rPr>
                <w:rFonts w:hint="eastAsia" w:ascii="方正仿宋_GBK" w:hAnsi="方正仿宋_GBK" w:eastAsia="方正仿宋_GBK" w:cs="方正仿宋_GBK"/>
                <w:sz w:val="22"/>
                <w:szCs w:val="16"/>
                <w:vertAlign w:val="baseline"/>
              </w:rPr>
            </w:pPr>
          </w:p>
        </w:tc>
        <w:tc>
          <w:tcPr>
            <w:tcW w:w="1656" w:type="dxa"/>
            <w:vMerge w:val="continue"/>
            <w:vAlign w:val="center"/>
          </w:tcPr>
          <w:p>
            <w:pPr>
              <w:jc w:val="center"/>
              <w:rPr>
                <w:rFonts w:hint="eastAsia" w:ascii="方正仿宋_GBK" w:hAnsi="方正仿宋_GBK" w:eastAsia="方正仿宋_GBK" w:cs="方正仿宋_GBK"/>
                <w:sz w:val="22"/>
                <w:szCs w:val="16"/>
                <w:vertAlign w:val="baseline"/>
              </w:rPr>
            </w:pPr>
          </w:p>
        </w:tc>
        <w:tc>
          <w:tcPr>
            <w:tcW w:w="1926" w:type="dxa"/>
            <w:vMerge w:val="continue"/>
            <w:vAlign w:val="center"/>
          </w:tcPr>
          <w:p>
            <w:pPr>
              <w:jc w:val="center"/>
              <w:rPr>
                <w:rFonts w:hint="eastAsia" w:ascii="方正仿宋_GBK" w:hAnsi="方正仿宋_GBK" w:eastAsia="方正仿宋_GBK" w:cs="方正仿宋_GBK"/>
                <w:sz w:val="22"/>
                <w:szCs w:val="16"/>
                <w:vertAlign w:val="baseline"/>
              </w:rPr>
            </w:pPr>
          </w:p>
        </w:tc>
        <w:tc>
          <w:tcPr>
            <w:tcW w:w="1926" w:type="dxa"/>
            <w:vAlign w:val="center"/>
          </w:tcPr>
          <w:p>
            <w:pPr>
              <w:jc w:val="center"/>
              <w:rPr>
                <w:rFonts w:hint="eastAsia" w:ascii="方正仿宋_GBK" w:hAnsi="方正仿宋_GBK" w:eastAsia="方正仿宋_GBK" w:cs="方正仿宋_GBK"/>
                <w:sz w:val="22"/>
                <w:szCs w:val="16"/>
                <w:vertAlign w:val="baseline"/>
              </w:rPr>
            </w:pPr>
            <w:r>
              <w:rPr>
                <w:rFonts w:hint="eastAsia" w:ascii="方正仿宋_GBK" w:hAnsi="方正仿宋_GBK" w:eastAsia="方正仿宋_GBK" w:cs="方正仿宋_GBK"/>
                <w:sz w:val="22"/>
                <w:szCs w:val="16"/>
                <w:vertAlign w:val="baseline"/>
                <w:lang w:val="en-US" w:eastAsia="zh-CN"/>
              </w:rPr>
              <w:t>（小写）</w:t>
            </w:r>
          </w:p>
        </w:tc>
        <w:tc>
          <w:tcPr>
            <w:tcW w:w="1926" w:type="dxa"/>
            <w:vAlign w:val="center"/>
          </w:tcPr>
          <w:p>
            <w:pPr>
              <w:jc w:val="center"/>
              <w:rPr>
                <w:rFonts w:hint="eastAsia" w:ascii="方正仿宋_GBK" w:hAnsi="方正仿宋_GBK" w:eastAsia="方正仿宋_GBK" w:cs="方正仿宋_GBK"/>
                <w:sz w:val="22"/>
                <w:szCs w:val="16"/>
                <w:vertAlign w:val="baseline"/>
              </w:rPr>
            </w:pPr>
            <w:r>
              <w:rPr>
                <w:rFonts w:hint="eastAsia" w:ascii="方正仿宋_GBK" w:hAnsi="方正仿宋_GBK" w:eastAsia="方正仿宋_GBK" w:cs="方正仿宋_GBK"/>
                <w:sz w:val="22"/>
                <w:szCs w:val="16"/>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194" w:type="dxa"/>
          </w:tcPr>
          <w:p>
            <w:pPr>
              <w:rPr>
                <w:rFonts w:hint="eastAsia" w:ascii="方正仿宋_GBK" w:hAnsi="方正仿宋_GBK" w:eastAsia="方正仿宋_GBK" w:cs="方正仿宋_GBK"/>
                <w:sz w:val="22"/>
                <w:szCs w:val="16"/>
                <w:vertAlign w:val="baseline"/>
              </w:rPr>
            </w:pPr>
            <w:r>
              <w:rPr>
                <w:rFonts w:hint="eastAsia" w:ascii="方正仿宋_GBK" w:hAnsi="方正仿宋_GBK" w:eastAsia="方正仿宋_GBK" w:cs="方正仿宋_GBK"/>
                <w:sz w:val="28"/>
                <w:szCs w:val="20"/>
                <w:vertAlign w:val="baseline"/>
                <w:lang w:val="en-US" w:eastAsia="zh-CN"/>
              </w:rPr>
              <w:t>微电园标准厂房8号楼新装变压器工程</w:t>
            </w:r>
          </w:p>
        </w:tc>
        <w:tc>
          <w:tcPr>
            <w:tcW w:w="1656" w:type="dxa"/>
          </w:tcPr>
          <w:p>
            <w:pPr>
              <w:rPr>
                <w:rFonts w:hint="eastAsia" w:ascii="方正仿宋_GBK" w:hAnsi="方正仿宋_GBK" w:eastAsia="方正仿宋_GBK" w:cs="方正仿宋_GBK"/>
                <w:sz w:val="22"/>
                <w:szCs w:val="16"/>
                <w:vertAlign w:val="baseline"/>
              </w:rPr>
            </w:pPr>
          </w:p>
        </w:tc>
        <w:tc>
          <w:tcPr>
            <w:tcW w:w="1926" w:type="dxa"/>
          </w:tcPr>
          <w:p>
            <w:pPr>
              <w:rPr>
                <w:rFonts w:hint="eastAsia" w:ascii="方正仿宋_GBK" w:hAnsi="方正仿宋_GBK" w:eastAsia="方正仿宋_GBK" w:cs="方正仿宋_GBK"/>
                <w:sz w:val="22"/>
                <w:szCs w:val="16"/>
                <w:vertAlign w:val="baseline"/>
              </w:rPr>
            </w:pPr>
          </w:p>
        </w:tc>
        <w:tc>
          <w:tcPr>
            <w:tcW w:w="1926" w:type="dxa"/>
          </w:tcPr>
          <w:p>
            <w:pPr>
              <w:rPr>
                <w:rFonts w:hint="eastAsia" w:ascii="方正仿宋_GBK" w:hAnsi="方正仿宋_GBK" w:eastAsia="方正仿宋_GBK" w:cs="方正仿宋_GBK"/>
                <w:sz w:val="22"/>
                <w:szCs w:val="16"/>
                <w:vertAlign w:val="baseline"/>
              </w:rPr>
            </w:pPr>
          </w:p>
        </w:tc>
        <w:tc>
          <w:tcPr>
            <w:tcW w:w="1926" w:type="dxa"/>
          </w:tcPr>
          <w:p>
            <w:pPr>
              <w:rPr>
                <w:rFonts w:hint="eastAsia" w:ascii="方正仿宋_GBK" w:hAnsi="方正仿宋_GBK" w:eastAsia="方正仿宋_GBK" w:cs="方正仿宋_GBK"/>
                <w:sz w:val="22"/>
                <w:szCs w:val="16"/>
                <w:vertAlign w:val="baseline"/>
              </w:rPr>
            </w:pPr>
          </w:p>
        </w:tc>
      </w:tr>
    </w:tbl>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法定代表人或授权代表人（签字或盖章）：</w:t>
      </w:r>
    </w:p>
    <w:p>
      <w:pPr>
        <w:pStyle w:val="2"/>
        <w:rPr>
          <w:rFonts w:hint="eastAsia" w:ascii="方正仿宋_GBK" w:hAnsi="方正仿宋_GBK" w:eastAsia="方正仿宋_GBK" w:cs="方正仿宋_GBK"/>
          <w:lang w:val="en-US" w:eastAsia="zh-CN"/>
        </w:rPr>
      </w:pPr>
    </w:p>
    <w:p>
      <w:pPr>
        <w:rPr>
          <w:rFonts w:hint="eastAsia" w:ascii="方正仿宋_GBK" w:hAnsi="方正仿宋_GBK" w:eastAsia="方正仿宋_GBK" w:cs="方正仿宋_GBK"/>
          <w:lang w:val="en-US" w:eastAsia="zh-CN"/>
        </w:rPr>
        <w:sectPr>
          <w:pgSz w:w="11907" w:h="16840"/>
          <w:pgMar w:top="1134" w:right="1191" w:bottom="1134" w:left="1304" w:header="851" w:footer="992" w:gutter="0"/>
          <w:pgNumType w:fmt="decimal"/>
          <w:cols w:space="720" w:num="1"/>
          <w:docGrid w:linePitch="380" w:charSpace="-5735"/>
        </w:sectPr>
      </w:pPr>
      <w:r>
        <w:rPr>
          <w:rFonts w:hint="eastAsia" w:ascii="方正仿宋_GBK" w:hAnsi="方正仿宋_GBK" w:eastAsia="方正仿宋_GBK" w:cs="方正仿宋_GBK"/>
          <w:lang w:val="en-US" w:eastAsia="zh-CN"/>
        </w:rPr>
        <w:t>日期：</w:t>
      </w:r>
    </w:p>
    <w:p>
      <w:pPr>
        <w:tabs>
          <w:tab w:val="left" w:pos="2895"/>
        </w:tabs>
        <w:spacing w:line="360" w:lineRule="auto"/>
        <w:ind w:firstLine="480" w:firstLineChars="200"/>
        <w:outlineLvl w:val="9"/>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（二）</w:t>
      </w:r>
      <w:r>
        <w:rPr>
          <w:rFonts w:hint="eastAsia" w:ascii="方正仿宋_GBK" w:hAnsi="方正仿宋_GBK" w:eastAsia="方正仿宋_GBK" w:cs="方正仿宋_GBK"/>
          <w:b w:val="0"/>
          <w:bCs w:val="0"/>
          <w:color w:val="auto"/>
          <w:sz w:val="24"/>
          <w:szCs w:val="24"/>
          <w:highlight w:val="none"/>
          <w:lang w:eastAsia="zh-CN"/>
        </w:rPr>
        <w:t>已标价工程量清单</w:t>
      </w:r>
    </w:p>
    <w:p>
      <w:pPr>
        <w:pStyle w:val="37"/>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spacing w:line="360" w:lineRule="auto"/>
        <w:outlineLvl w:val="9"/>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pStyle w:val="2"/>
        <w:rPr>
          <w:rFonts w:hint="eastAsia"/>
        </w:rPr>
      </w:pPr>
    </w:p>
    <w:p>
      <w:pPr>
        <w:spacing w:before="0" w:after="0" w:line="360" w:lineRule="auto"/>
        <w:jc w:val="left"/>
        <w:outlineLvl w:val="1"/>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bookmarkStart w:id="112" w:name="_Toc313888361"/>
      <w:bookmarkStart w:id="113" w:name="_Toc26499"/>
      <w:bookmarkStart w:id="114" w:name="_Toc5653"/>
      <w:bookmarkStart w:id="115" w:name="_Toc342913420"/>
      <w:bookmarkStart w:id="116" w:name="_Toc11127"/>
      <w:bookmarkStart w:id="117" w:name="_Toc313008357"/>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部分</w:t>
      </w:r>
      <w:bookmarkEnd w:id="112"/>
      <w:bookmarkEnd w:id="113"/>
      <w:bookmarkEnd w:id="114"/>
      <w:bookmarkEnd w:id="115"/>
      <w:bookmarkEnd w:id="116"/>
      <w:bookmarkEnd w:id="117"/>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一</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响应偏离表</w:t>
      </w:r>
    </w:p>
    <w:p>
      <w:pPr>
        <w:pStyle w:val="32"/>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采购需求</w:t>
            </w: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响应情况</w:t>
            </w: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bl>
    <w:p>
      <w:pPr>
        <w:spacing w:line="360" w:lineRule="auto"/>
        <w:ind w:firstLine="600" w:firstLineChars="2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法人授权代表：</w:t>
      </w:r>
    </w:p>
    <w:p>
      <w:pPr>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spacing w:line="360" w:lineRule="auto"/>
        <w:ind w:firstLine="720" w:firstLineChars="3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（签字或盖章）</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1、本表即为对本项目“第二篇  采购</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需求”中所列技术要求进行比较和响应；</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2、该表必须按照竞争性磋商要求逐条如实填写，根据响应情况在“差异说明”项填写正偏离或负偏离及原因，完全符合的填写“无差异”；</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4、可附相关技术支撑材料。（格式自定）</w:t>
      </w:r>
    </w:p>
    <w:p>
      <w:pPr>
        <w:spacing w:line="360" w:lineRule="auto"/>
        <w:ind w:firstLine="482"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br w:type="page"/>
      </w:r>
      <w:bookmarkStart w:id="118" w:name="_Toc313008358"/>
      <w:bookmarkStart w:id="119" w:name="_Toc313888362"/>
      <w:bookmarkStart w:id="120" w:name="_Toc342913421"/>
    </w:p>
    <w:p>
      <w:pPr>
        <w:spacing w:before="0" w:after="0" w:line="360" w:lineRule="auto"/>
        <w:outlineLvl w:val="9"/>
        <w:rPr>
          <w:rFonts w:hint="eastAsia" w:ascii="方正仿宋_GBK" w:hAnsi="方正仿宋_GBK" w:eastAsia="方正仿宋_GBK" w:cs="方正仿宋_GBK"/>
          <w:b w:val="0"/>
          <w:color w:val="auto"/>
          <w:kern w:val="2"/>
          <w:sz w:val="24"/>
          <w:szCs w:val="24"/>
          <w:highlight w:val="none"/>
          <w:lang w:val="en-US" w:eastAsia="zh-CN" w:bidi="ar-SA"/>
        </w:rPr>
      </w:pPr>
      <w:bookmarkStart w:id="121" w:name="_Toc856"/>
      <w:bookmarkStart w:id="122" w:name="_Toc15248"/>
      <w:r>
        <w:rPr>
          <w:rFonts w:hint="eastAsia" w:ascii="方正仿宋_GBK" w:hAnsi="方正仿宋_GBK" w:eastAsia="方正仿宋_GBK" w:cs="方正仿宋_GBK"/>
          <w:b w:val="0"/>
          <w:color w:val="auto"/>
          <w:kern w:val="2"/>
          <w:sz w:val="24"/>
          <w:szCs w:val="24"/>
          <w:highlight w:val="none"/>
          <w:lang w:val="en-US" w:eastAsia="zh-CN" w:bidi="ar-SA"/>
        </w:rPr>
        <w:t>（二）</w:t>
      </w:r>
      <w:bookmarkEnd w:id="121"/>
      <w:bookmarkEnd w:id="122"/>
      <w:r>
        <w:rPr>
          <w:rFonts w:hint="eastAsia" w:ascii="方正仿宋_GBK" w:hAnsi="方正仿宋_GBK" w:eastAsia="方正仿宋_GBK" w:cs="方正仿宋_GBK"/>
          <w:b w:val="0"/>
          <w:color w:val="auto"/>
          <w:kern w:val="2"/>
          <w:sz w:val="24"/>
          <w:szCs w:val="24"/>
          <w:highlight w:val="none"/>
          <w:lang w:val="en-US" w:eastAsia="zh-CN" w:bidi="ar-SA"/>
        </w:rPr>
        <w:t>施工方案编制（格式自拟）</w:t>
      </w: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bookmarkStart w:id="123" w:name="_Toc10142"/>
      <w:bookmarkStart w:id="124" w:name="_Toc19097"/>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p>
    <w:p>
      <w:pPr>
        <w:spacing w:before="0" w:after="0" w:line="360" w:lineRule="auto"/>
        <w:outlineLvl w:val="1"/>
        <w:rPr>
          <w:rFonts w:hint="eastAsia" w:ascii="方正仿宋_GBK" w:hAnsi="方正仿宋_GBK" w:eastAsia="方正仿宋_GBK" w:cs="方正仿宋_GBK"/>
          <w:b w:val="0"/>
          <w:bCs w:val="0"/>
          <w:color w:val="auto"/>
          <w:sz w:val="24"/>
          <w:szCs w:val="24"/>
          <w:highlight w:val="none"/>
        </w:rPr>
      </w:pPr>
      <w:bookmarkStart w:id="125" w:name="_Toc15927"/>
      <w:r>
        <w:rPr>
          <w:rFonts w:hint="eastAsia" w:ascii="方正仿宋_GBK" w:hAnsi="方正仿宋_GBK" w:eastAsia="方正仿宋_GBK" w:cs="方正仿宋_GBK"/>
          <w:b w:val="0"/>
          <w:bCs w:val="0"/>
          <w:color w:val="auto"/>
          <w:sz w:val="24"/>
          <w:szCs w:val="24"/>
          <w:highlight w:val="none"/>
        </w:rPr>
        <w:t>三、商务部分</w:t>
      </w:r>
      <w:bookmarkEnd w:id="118"/>
      <w:bookmarkEnd w:id="119"/>
      <w:bookmarkEnd w:id="120"/>
      <w:bookmarkEnd w:id="123"/>
      <w:bookmarkEnd w:id="124"/>
      <w:bookmarkEnd w:id="125"/>
    </w:p>
    <w:p>
      <w:pPr>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一</w:t>
      </w:r>
      <w:r>
        <w:rPr>
          <w:rFonts w:hint="eastAsia" w:ascii="方正仿宋_GBK" w:hAnsi="方正仿宋_GBK" w:eastAsia="方正仿宋_GBK" w:cs="方正仿宋_GBK"/>
          <w:color w:val="auto"/>
          <w:sz w:val="24"/>
          <w:szCs w:val="24"/>
          <w:highlight w:val="none"/>
        </w:rPr>
        <w:t>）</w:t>
      </w:r>
      <w:bookmarkStart w:id="126" w:name="_Toc283382459"/>
      <w:r>
        <w:rPr>
          <w:rFonts w:hint="eastAsia" w:ascii="方正仿宋_GBK" w:hAnsi="方正仿宋_GBK" w:eastAsia="方正仿宋_GBK" w:cs="方正仿宋_GBK"/>
          <w:color w:val="auto"/>
          <w:sz w:val="24"/>
          <w:szCs w:val="24"/>
          <w:highlight w:val="none"/>
        </w:rPr>
        <w:t>商务响应偏离表</w:t>
      </w:r>
    </w:p>
    <w:p>
      <w:pPr>
        <w:snapToGrid w:val="0"/>
        <w:spacing w:line="360" w:lineRule="auto"/>
        <w:jc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商务响应偏离表（本表可自行</w:t>
      </w:r>
      <w:r>
        <w:rPr>
          <w:rFonts w:hint="eastAsia" w:ascii="方正仿宋_GBK" w:hAnsi="方正仿宋_GBK" w:eastAsia="方正仿宋_GBK" w:cs="方正仿宋_GBK"/>
          <w:b/>
          <w:color w:val="auto"/>
          <w:sz w:val="24"/>
          <w:szCs w:val="24"/>
          <w:highlight w:val="none"/>
          <w:lang w:eastAsia="zh-CN"/>
        </w:rPr>
        <w:t>调整</w:t>
      </w:r>
      <w:r>
        <w:rPr>
          <w:rFonts w:hint="eastAsia" w:ascii="方正仿宋_GBK" w:hAnsi="方正仿宋_GBK" w:eastAsia="方正仿宋_GBK" w:cs="方正仿宋_GBK"/>
          <w:b/>
          <w:color w:val="auto"/>
          <w:sz w:val="24"/>
          <w:szCs w:val="24"/>
          <w:highlight w:val="none"/>
        </w:rPr>
        <w:t>格式）</w:t>
      </w:r>
    </w:p>
    <w:p>
      <w:pPr>
        <w:snapToGrid w:val="0"/>
        <w:spacing w:line="360" w:lineRule="auto"/>
        <w:ind w:firstLine="465"/>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对于竞争性磋商文件的商务要求，如有任何偏离请如实填写下表：</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磋商项目需求</w:t>
            </w: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响应情况</w:t>
            </w: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方正仿宋_GBK" w:hAnsi="方正仿宋_GBK" w:eastAsia="方正仿宋_GBK" w:cs="方正仿宋_GBK"/>
                <w:color w:val="auto"/>
                <w:sz w:val="24"/>
                <w:szCs w:val="24"/>
                <w:highlight w:val="none"/>
              </w:rPr>
            </w:pPr>
          </w:p>
        </w:tc>
      </w:tr>
    </w:tbl>
    <w:p>
      <w:pPr>
        <w:snapToGrid w:val="0"/>
        <w:spacing w:line="360" w:lineRule="auto"/>
        <w:ind w:firstLine="465"/>
        <w:outlineLvl w:val="9"/>
        <w:rPr>
          <w:rFonts w:hint="eastAsia" w:ascii="方正仿宋_GBK" w:hAnsi="方正仿宋_GBK" w:eastAsia="方正仿宋_GBK" w:cs="方正仿宋_GBK"/>
          <w:color w:val="auto"/>
          <w:sz w:val="24"/>
          <w:szCs w:val="24"/>
          <w:highlight w:val="none"/>
        </w:rPr>
      </w:pPr>
    </w:p>
    <w:p>
      <w:pPr>
        <w:spacing w:line="360" w:lineRule="auto"/>
        <w:ind w:firstLine="600" w:firstLineChars="2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法人授权代表：</w:t>
      </w:r>
    </w:p>
    <w:p>
      <w:pPr>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spacing w:line="360" w:lineRule="auto"/>
        <w:ind w:firstLine="360" w:firstLineChars="15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（签字或盖章）</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1、本表即为对本项目“第三篇 采购商务需求”中所列服务要求进行比较和响应；</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2、该表必须按照竞争性磋商要求逐条如实填写，根据响应情况在“差异说明”项填写正偏离或负偏离及原因，完全符合的填写“无差异”；</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sectPr>
          <w:headerReference r:id="rId11" w:type="default"/>
          <w:pgSz w:w="11907" w:h="16840"/>
          <w:pgMar w:top="1134" w:right="1191" w:bottom="1134" w:left="1304" w:header="851" w:footer="992" w:gutter="0"/>
          <w:pgNumType w:fmt="decimal"/>
          <w:cols w:space="720" w:num="1"/>
          <w:docGrid w:linePitch="380" w:charSpace="-5735"/>
        </w:sect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（三）根据第四篇评分标准中商务部分的要求提供相应的应答</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其它</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优惠承诺（</w:t>
      </w:r>
      <w:r>
        <w:rPr>
          <w:rFonts w:hint="eastAsia" w:ascii="方正仿宋_GBK" w:hAnsi="方正仿宋_GBK" w:eastAsia="方正仿宋_GBK" w:cs="方正仿宋_GBK"/>
          <w:color w:val="auto"/>
          <w:sz w:val="24"/>
          <w:szCs w:val="24"/>
          <w:highlight w:val="none"/>
          <w:lang w:eastAsia="zh-CN"/>
        </w:rPr>
        <w:t>如有，自拟。</w:t>
      </w:r>
      <w:r>
        <w:rPr>
          <w:rFonts w:hint="eastAsia" w:ascii="方正仿宋_GBK" w:hAnsi="方正仿宋_GBK" w:eastAsia="方正仿宋_GBK" w:cs="方正仿宋_GBK"/>
          <w:color w:val="auto"/>
          <w:sz w:val="24"/>
          <w:szCs w:val="24"/>
          <w:highlight w:val="none"/>
        </w:rPr>
        <w:t>）</w:t>
      </w:r>
    </w:p>
    <w:p>
      <w:pPr>
        <w:spacing w:before="0" w:after="0" w:line="360" w:lineRule="auto"/>
        <w:outlineLvl w:val="1"/>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bookmarkEnd w:id="126"/>
      <w:bookmarkStart w:id="127" w:name="_Toc313008359"/>
      <w:bookmarkStart w:id="128" w:name="_Toc25875"/>
      <w:bookmarkStart w:id="129" w:name="_Toc12671"/>
      <w:bookmarkStart w:id="130" w:name="_Toc342913422"/>
      <w:bookmarkStart w:id="131" w:name="_Toc313888363"/>
      <w:bookmarkStart w:id="132" w:name="_Toc22169"/>
      <w:r>
        <w:rPr>
          <w:rFonts w:hint="eastAsia" w:ascii="方正仿宋_GBK" w:hAnsi="方正仿宋_GBK" w:eastAsia="方正仿宋_GBK" w:cs="方正仿宋_GBK"/>
          <w:color w:val="auto"/>
          <w:sz w:val="24"/>
          <w:szCs w:val="24"/>
          <w:highlight w:val="none"/>
        </w:rPr>
        <w:t>四、资格条件及其他</w:t>
      </w:r>
      <w:bookmarkEnd w:id="127"/>
      <w:bookmarkEnd w:id="128"/>
      <w:bookmarkEnd w:id="129"/>
      <w:bookmarkEnd w:id="130"/>
      <w:bookmarkEnd w:id="131"/>
      <w:bookmarkEnd w:id="132"/>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（一）营业执照（副本）或事业单位法人证书（副本）复印件或个体工商户营业执照</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（二）组织机构代码证复印件</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widowControl/>
        <w:spacing w:line="360" w:lineRule="auto"/>
        <w:ind w:firstLine="480" w:firstLineChars="200"/>
        <w:jc w:val="lef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（三）法定代表人（或分支机构负责人）身份证明书（格式）</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w:t>
      </w:r>
      <w:r>
        <w:rPr>
          <w:rFonts w:hint="eastAsia" w:ascii="方正仿宋_GBK" w:hAnsi="方正仿宋_GBK" w:eastAsia="方正仿宋_GBK" w:cs="方正仿宋_GBK"/>
          <w:color w:val="auto"/>
          <w:sz w:val="24"/>
          <w:szCs w:val="24"/>
          <w:highlight w:val="none"/>
          <w:lang w:val="en-US" w:eastAsia="zh-CN"/>
        </w:rPr>
        <w:t>人</w:t>
      </w:r>
      <w:r>
        <w:rPr>
          <w:rFonts w:hint="eastAsia" w:ascii="方正仿宋_GBK" w:hAnsi="方正仿宋_GBK" w:eastAsia="方正仿宋_GBK" w:cs="方正仿宋_GBK"/>
          <w:color w:val="auto"/>
          <w:sz w:val="24"/>
          <w:szCs w:val="24"/>
          <w:highlight w:val="none"/>
        </w:rPr>
        <w:t>）：</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w:t>
      </w:r>
      <w:r>
        <w:rPr>
          <w:rFonts w:hint="eastAsia" w:ascii="方正仿宋_GBK" w:hAnsi="方正仿宋_GBK" w:eastAsia="方正仿宋_GBK" w:cs="方正仿宋_GBK"/>
          <w:color w:val="auto"/>
          <w:sz w:val="24"/>
          <w:szCs w:val="24"/>
          <w:highlight w:val="none"/>
          <w:lang w:eastAsia="zh-CN"/>
        </w:rPr>
        <w:t>或分支机构负责人</w:t>
      </w:r>
      <w:r>
        <w:rPr>
          <w:rFonts w:hint="eastAsia" w:ascii="方正仿宋_GBK" w:hAnsi="方正仿宋_GBK" w:eastAsia="方正仿宋_GBK" w:cs="方正仿宋_GBK"/>
          <w:color w:val="auto"/>
          <w:sz w:val="24"/>
          <w:szCs w:val="24"/>
          <w:highlight w:val="none"/>
        </w:rPr>
        <w:t>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的法定代表人（或分支机构负责人）。</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（附：法定代表人或分支机构负责人身份证正反面复印件）</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（四）法定代表人（或分支机构负责人）授权委托书（格式）</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w:t>
      </w:r>
      <w:r>
        <w:rPr>
          <w:rFonts w:hint="eastAsia" w:ascii="方正仿宋_GBK" w:hAnsi="方正仿宋_GBK" w:eastAsia="方正仿宋_GBK" w:cs="方正仿宋_GBK"/>
          <w:color w:val="auto"/>
          <w:sz w:val="24"/>
          <w:szCs w:val="24"/>
          <w:highlight w:val="none"/>
          <w:lang w:val="en-US" w:eastAsia="zh-CN"/>
        </w:rPr>
        <w:t>人</w:t>
      </w:r>
      <w:r>
        <w:rPr>
          <w:rFonts w:hint="eastAsia" w:ascii="方正仿宋_GBK" w:hAnsi="方正仿宋_GBK" w:eastAsia="方正仿宋_GBK" w:cs="方正仿宋_GBK"/>
          <w:color w:val="auto"/>
          <w:sz w:val="24"/>
          <w:szCs w:val="24"/>
          <w:highlight w:val="none"/>
        </w:rPr>
        <w:t>）：</w:t>
      </w:r>
    </w:p>
    <w:p>
      <w:pPr>
        <w:tabs>
          <w:tab w:val="left" w:pos="6300"/>
        </w:tabs>
        <w:snapToGrid w:val="0"/>
        <w:spacing w:line="360" w:lineRule="auto"/>
        <w:ind w:firstLine="480" w:firstLineChars="200"/>
        <w:jc w:val="lef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（供应商法定代表人</w:t>
      </w:r>
      <w:r>
        <w:rPr>
          <w:rFonts w:hint="eastAsia" w:ascii="方正仿宋_GBK" w:hAnsi="方正仿宋_GBK" w:eastAsia="方正仿宋_GBK" w:cs="方正仿宋_GBK"/>
          <w:color w:val="auto"/>
          <w:sz w:val="24"/>
          <w:szCs w:val="24"/>
          <w:highlight w:val="none"/>
          <w:lang w:eastAsia="zh-CN"/>
        </w:rPr>
        <w:t>或</w:t>
      </w:r>
      <w:r>
        <w:rPr>
          <w:rFonts w:hint="eastAsia" w:ascii="方正仿宋_GBK" w:hAnsi="方正仿宋_GBK" w:eastAsia="方正仿宋_GBK" w:cs="方正仿宋_GBK"/>
          <w:color w:val="auto"/>
          <w:sz w:val="24"/>
          <w:szCs w:val="24"/>
          <w:highlight w:val="none"/>
        </w:rPr>
        <w:t>分支机构负责人名称）是</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（供应商名称）的法定代表人</w:t>
      </w:r>
      <w:r>
        <w:rPr>
          <w:rFonts w:hint="eastAsia" w:ascii="方正仿宋_GBK" w:hAnsi="方正仿宋_GBK" w:eastAsia="方正仿宋_GBK" w:cs="方正仿宋_GBK"/>
          <w:color w:val="auto"/>
          <w:sz w:val="24"/>
          <w:szCs w:val="24"/>
          <w:highlight w:val="none"/>
          <w:lang w:eastAsia="zh-CN"/>
        </w:rPr>
        <w:t>（或负责人）</w:t>
      </w:r>
      <w:r>
        <w:rPr>
          <w:rFonts w:hint="eastAsia" w:ascii="方正仿宋_GBK" w:hAnsi="方正仿宋_GBK" w:eastAsia="方正仿宋_GBK" w:cs="方正仿宋_GBK"/>
          <w:color w:val="auto"/>
          <w:sz w:val="24"/>
          <w:szCs w:val="24"/>
          <w:highlight w:val="none"/>
        </w:rPr>
        <w:t>，特授权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我单位对被授权人的签字负全部责任。</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法定代表人</w:t>
      </w:r>
      <w:r>
        <w:rPr>
          <w:rFonts w:hint="eastAsia" w:ascii="方正仿宋_GBK" w:hAnsi="方正仿宋_GBK" w:eastAsia="方正仿宋_GBK" w:cs="方正仿宋_GBK"/>
          <w:color w:val="auto"/>
          <w:sz w:val="24"/>
          <w:szCs w:val="24"/>
          <w:highlight w:val="none"/>
          <w:lang w:eastAsia="zh-CN"/>
        </w:rPr>
        <w:t>（或负责人）</w:t>
      </w:r>
      <w:r>
        <w:rPr>
          <w:rFonts w:hint="eastAsia" w:ascii="方正仿宋_GBK" w:hAnsi="方正仿宋_GBK" w:eastAsia="方正仿宋_GBK" w:cs="方正仿宋_GBK"/>
          <w:color w:val="auto"/>
          <w:sz w:val="24"/>
          <w:szCs w:val="24"/>
          <w:highlight w:val="none"/>
        </w:rPr>
        <w:t>：</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（签字或盖章）                                （签字或盖章）</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right="480" w:firstLine="570"/>
        <w:jc w:val="righ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pPr>
        <w:tabs>
          <w:tab w:val="left" w:pos="6300"/>
        </w:tabs>
        <w:snapToGrid w:val="0"/>
        <w:spacing w:line="360" w:lineRule="auto"/>
        <w:ind w:right="480" w:firstLine="570"/>
        <w:jc w:val="righ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pPr>
        <w:tabs>
          <w:tab w:val="left" w:pos="6300"/>
        </w:tabs>
        <w:snapToGrid w:val="0"/>
        <w:spacing w:line="360" w:lineRule="auto"/>
        <w:ind w:right="480" w:firstLine="570"/>
        <w:jc w:val="right"/>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right="480" w:firstLine="570"/>
        <w:jc w:val="right"/>
        <w:outlineLvl w:val="9"/>
        <w:rPr>
          <w:rFonts w:hint="eastAsia" w:ascii="方正仿宋_GBK" w:hAnsi="方正仿宋_GBK" w:eastAsia="方正仿宋_GBK" w:cs="方正仿宋_GBK"/>
          <w:color w:val="auto"/>
          <w:sz w:val="24"/>
          <w:szCs w:val="24"/>
          <w:highlight w:val="none"/>
        </w:rPr>
      </w:pPr>
    </w:p>
    <w:p>
      <w:pPr>
        <w:widowControl/>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z w:val="24"/>
          <w:szCs w:val="24"/>
          <w:highlight w:val="none"/>
          <w:lang w:eastAsia="zh-CN"/>
        </w:rPr>
        <w:t>说明：若供应商法定代表人（或分支机构负责人）亲自参加，则无需授权委托书。</w:t>
      </w: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sz w:val="24"/>
          <w:szCs w:val="24"/>
        </w:rPr>
        <w:t>（五）基本资格条件承诺函（格式）</w:t>
      </w:r>
    </w:p>
    <w:p>
      <w:pPr>
        <w:pStyle w:val="2"/>
        <w:rPr>
          <w:rFonts w:hint="eastAsia" w:ascii="方正仿宋_GBK" w:hAnsi="方正仿宋_GBK" w:eastAsia="方正仿宋_GBK" w:cs="方正仿宋_GBK"/>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rFonts w:hint="eastAsia" w:ascii="方正仿宋_GBK" w:hAnsi="方正仿宋_GBK" w:eastAsia="方正仿宋_GBK" w:cs="方正仿宋_GBK"/>
          <w:sz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p>
    <w:p>
      <w:pPr>
        <w:tabs>
          <w:tab w:val="left" w:pos="6300"/>
        </w:tabs>
        <w:snapToGrid w:val="0"/>
        <w:spacing w:line="500" w:lineRule="exact"/>
        <w:ind w:firstLine="480" w:firstLineChars="2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pPr>
        <w:widowControl/>
        <w:spacing w:line="400" w:lineRule="exact"/>
        <w:ind w:firstLine="7920" w:firstLineChars="33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pPr>
        <w:tabs>
          <w:tab w:val="left" w:pos="6300"/>
        </w:tabs>
        <w:snapToGrid w:val="0"/>
        <w:spacing w:line="360" w:lineRule="auto"/>
        <w:ind w:firstLine="57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jc w:val="center"/>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jc w:val="center"/>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jc w:val="center"/>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jc w:val="center"/>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570"/>
        <w:jc w:val="center"/>
        <w:outlineLvl w:val="9"/>
        <w:rPr>
          <w:rFonts w:hint="eastAsia" w:ascii="方正仿宋_GBK" w:hAnsi="方正仿宋_GBK" w:eastAsia="方正仿宋_GBK" w:cs="方正仿宋_GBK"/>
          <w:color w:val="auto"/>
          <w:sz w:val="24"/>
          <w:szCs w:val="24"/>
          <w:highlight w:val="none"/>
        </w:rPr>
      </w:pPr>
    </w:p>
    <w:p>
      <w:pPr>
        <w:rPr>
          <w:rFonts w:hint="eastAsia"/>
        </w:rPr>
      </w:pPr>
    </w:p>
    <w:p>
      <w:pPr>
        <w:pStyle w:val="2"/>
        <w:rPr>
          <w:rFonts w:hint="eastAsia"/>
        </w:rPr>
      </w:pPr>
    </w:p>
    <w:p>
      <w:pPr>
        <w:tabs>
          <w:tab w:val="left" w:pos="6300"/>
        </w:tabs>
        <w:snapToGrid w:val="0"/>
        <w:spacing w:line="360" w:lineRule="auto"/>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lang w:eastAsia="zh-CN"/>
        </w:rPr>
        <w:t>）施工信誉及人员承诺</w:t>
      </w:r>
    </w:p>
    <w:p>
      <w:pPr>
        <w:spacing w:line="560" w:lineRule="exact"/>
        <w:ind w:firstLine="538"/>
        <w:jc w:val="center"/>
        <w:rPr>
          <w:rFonts w:hint="eastAsia" w:ascii="方正仿宋_GBK" w:hAnsi="方正仿宋_GBK" w:eastAsia="方正仿宋_GBK" w:cs="方正仿宋_GBK"/>
          <w:b/>
          <w:color w:val="auto"/>
          <w:lang w:eastAsia="zh-CN"/>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我单位参加</w:t>
      </w:r>
      <w:r>
        <w:rPr>
          <w:rFonts w:hint="eastAsia" w:ascii="方正仿宋_GBK" w:hAnsi="方正仿宋_GBK" w:eastAsia="方正仿宋_GBK" w:cs="方正仿宋_GBK"/>
          <w:color w:val="auto"/>
          <w:sz w:val="24"/>
          <w:szCs w:val="24"/>
          <w:highlight w:val="none"/>
          <w:u w:val="single"/>
          <w:lang w:eastAsia="zh-CN"/>
        </w:rPr>
        <w:t xml:space="preserve">              （项目名称）          </w:t>
      </w:r>
      <w:r>
        <w:rPr>
          <w:rFonts w:hint="eastAsia" w:ascii="方正仿宋_GBK" w:hAnsi="方正仿宋_GBK" w:eastAsia="方正仿宋_GBK" w:cs="方正仿宋_GBK"/>
          <w:color w:val="auto"/>
          <w:sz w:val="24"/>
          <w:szCs w:val="24"/>
          <w:highlight w:val="none"/>
          <w:lang w:eastAsia="zh-CN"/>
        </w:rPr>
        <w:t xml:space="preserve"> ，对以下内容作出承诺：</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lang w:eastAsia="zh-CN"/>
        </w:rPr>
        <w:t>①我单位未被有关行政部门暂停投标资格或</w:t>
      </w:r>
      <w:r>
        <w:rPr>
          <w:rFonts w:hint="eastAsia" w:ascii="方正仿宋_GBK" w:hAnsi="方正仿宋_GBK" w:eastAsia="方正仿宋_GBK" w:cs="方正仿宋_GBK"/>
          <w:b w:val="0"/>
          <w:bCs w:val="0"/>
          <w:snapToGrid w:val="0"/>
          <w:color w:val="auto"/>
          <w:sz w:val="24"/>
          <w:szCs w:val="24"/>
          <w:highlight w:val="none"/>
          <w:u w:val="none" w:color="auto"/>
        </w:rPr>
        <w:t>被有关行政部门暂停投标资格期限已满</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rPr>
      </w:pPr>
      <w:r>
        <w:rPr>
          <w:rFonts w:hint="eastAsia" w:ascii="方正仿宋_GBK" w:hAnsi="方正仿宋_GBK" w:eastAsia="方正仿宋_GBK" w:cs="方正仿宋_GBK"/>
          <w:b w:val="0"/>
          <w:bCs w:val="0"/>
          <w:snapToGrid w:val="0"/>
          <w:color w:val="auto"/>
          <w:sz w:val="24"/>
          <w:szCs w:val="24"/>
          <w:highlight w:val="none"/>
          <w:u w:val="none" w:color="auto"/>
          <w:lang w:eastAsia="zh-CN"/>
        </w:rPr>
        <w:t>②磋商</w:t>
      </w:r>
      <w:r>
        <w:rPr>
          <w:rFonts w:hint="eastAsia" w:ascii="方正仿宋_GBK" w:hAnsi="方正仿宋_GBK" w:eastAsia="方正仿宋_GBK" w:cs="方正仿宋_GBK"/>
          <w:b w:val="0"/>
          <w:bCs w:val="0"/>
          <w:snapToGrid w:val="0"/>
          <w:color w:val="auto"/>
          <w:sz w:val="24"/>
          <w:szCs w:val="24"/>
          <w:highlight w:val="none"/>
          <w:u w:val="none" w:color="auto"/>
        </w:rPr>
        <w:t>截止前二年内</w:t>
      </w:r>
      <w:r>
        <w:rPr>
          <w:rFonts w:hint="eastAsia" w:ascii="方正仿宋_GBK" w:hAnsi="方正仿宋_GBK" w:eastAsia="方正仿宋_GBK" w:cs="方正仿宋_GBK"/>
          <w:b w:val="0"/>
          <w:bCs w:val="0"/>
          <w:snapToGrid w:val="0"/>
          <w:color w:val="auto"/>
          <w:sz w:val="24"/>
          <w:szCs w:val="24"/>
          <w:highlight w:val="none"/>
          <w:u w:val="none" w:color="auto"/>
          <w:lang w:eastAsia="zh-CN"/>
        </w:rPr>
        <w:t>我</w:t>
      </w:r>
      <w:r>
        <w:rPr>
          <w:rFonts w:hint="eastAsia" w:ascii="方正仿宋_GBK" w:hAnsi="方正仿宋_GBK" w:eastAsia="方正仿宋_GBK" w:cs="方正仿宋_GBK"/>
          <w:b w:val="0"/>
          <w:bCs w:val="0"/>
          <w:snapToGrid w:val="0"/>
          <w:color w:val="auto"/>
          <w:sz w:val="24"/>
          <w:szCs w:val="24"/>
          <w:highlight w:val="none"/>
          <w:u w:val="none" w:color="auto"/>
        </w:rPr>
        <w:t>单位和法定代表人无行贿犯罪记录</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highlight w:val="none"/>
          <w:u w:val="none" w:color="auto"/>
          <w:lang w:eastAsia="zh-CN"/>
        </w:rPr>
      </w:pPr>
      <w:r>
        <w:rPr>
          <w:rFonts w:hint="eastAsia" w:ascii="方正仿宋_GBK" w:hAnsi="方正仿宋_GBK" w:eastAsia="方正仿宋_GBK" w:cs="方正仿宋_GBK"/>
          <w:b w:val="0"/>
          <w:bCs w:val="0"/>
          <w:snapToGrid w:val="0"/>
          <w:color w:val="auto"/>
          <w:sz w:val="24"/>
          <w:szCs w:val="24"/>
          <w:highlight w:val="none"/>
          <w:u w:val="none" w:color="auto"/>
          <w:lang w:eastAsia="zh-CN"/>
        </w:rPr>
        <w:t>③我单位未</w:t>
      </w:r>
      <w:r>
        <w:rPr>
          <w:rFonts w:hint="eastAsia" w:ascii="方正仿宋_GBK" w:hAnsi="方正仿宋_GBK" w:eastAsia="方正仿宋_GBK" w:cs="方正仿宋_GBK"/>
          <w:b w:val="0"/>
          <w:bCs w:val="0"/>
          <w:snapToGrid w:val="0"/>
          <w:color w:val="auto"/>
          <w:sz w:val="24"/>
          <w:szCs w:val="24"/>
          <w:highlight w:val="none"/>
          <w:u w:val="none" w:color="auto"/>
        </w:rPr>
        <w:t>被人民法院列为失信被执行人。“信用中国”网站（www.creditchina.gov.cn）查询被列为失信被执行人情况</w:t>
      </w:r>
      <w:r>
        <w:rPr>
          <w:rFonts w:hint="eastAsia" w:ascii="方正仿宋_GBK" w:hAnsi="方正仿宋_GBK" w:eastAsia="方正仿宋_GBK" w:cs="方正仿宋_GBK"/>
          <w:b w:val="0"/>
          <w:bCs w:val="0"/>
          <w:snapToGrid w:val="0"/>
          <w:color w:val="auto"/>
          <w:sz w:val="24"/>
          <w:szCs w:val="24"/>
          <w:highlight w:val="none"/>
          <w:u w:val="none" w:color="auto"/>
          <w:lang w:eastAsia="zh-CN"/>
        </w:rPr>
        <w:t>相关</w:t>
      </w:r>
      <w:r>
        <w:rPr>
          <w:rFonts w:hint="eastAsia" w:ascii="方正仿宋_GBK" w:hAnsi="方正仿宋_GBK" w:eastAsia="方正仿宋_GBK" w:cs="方正仿宋_GBK"/>
          <w:b w:val="0"/>
          <w:bCs w:val="0"/>
          <w:snapToGrid w:val="0"/>
          <w:color w:val="auto"/>
          <w:sz w:val="24"/>
          <w:szCs w:val="24"/>
          <w:highlight w:val="none"/>
          <w:u w:val="none" w:color="auto"/>
        </w:rPr>
        <w:t>查询截图</w:t>
      </w:r>
      <w:r>
        <w:rPr>
          <w:rFonts w:hint="eastAsia" w:ascii="方正仿宋_GBK" w:hAnsi="方正仿宋_GBK" w:eastAsia="方正仿宋_GBK" w:cs="方正仿宋_GBK"/>
          <w:b w:val="0"/>
          <w:bCs w:val="0"/>
          <w:snapToGrid w:val="0"/>
          <w:color w:val="auto"/>
          <w:sz w:val="24"/>
          <w:szCs w:val="24"/>
          <w:highlight w:val="none"/>
          <w:u w:val="none" w:color="auto"/>
          <w:lang w:eastAsia="zh-CN"/>
        </w:rPr>
        <w:t>附后</w:t>
      </w:r>
      <w:r>
        <w:rPr>
          <w:rFonts w:hint="eastAsia" w:ascii="方正仿宋_GBK" w:hAnsi="方正仿宋_GBK" w:eastAsia="方正仿宋_GBK" w:cs="方正仿宋_GBK"/>
          <w:b w:val="0"/>
          <w:bCs w:val="0"/>
          <w:snapToGrid w:val="0"/>
          <w:color w:val="auto"/>
          <w:sz w:val="24"/>
          <w:szCs w:val="24"/>
          <w:highlight w:val="none"/>
          <w:u w:val="none" w:color="auto"/>
        </w:rPr>
        <w:t>并加盖</w:t>
      </w:r>
      <w:r>
        <w:rPr>
          <w:rFonts w:hint="eastAsia" w:ascii="方正仿宋_GBK" w:hAnsi="方正仿宋_GBK" w:eastAsia="方正仿宋_GBK" w:cs="方正仿宋_GBK"/>
          <w:b w:val="0"/>
          <w:bCs w:val="0"/>
          <w:snapToGrid w:val="0"/>
          <w:color w:val="auto"/>
          <w:sz w:val="24"/>
          <w:szCs w:val="24"/>
          <w:highlight w:val="none"/>
          <w:u w:val="none" w:color="auto"/>
          <w:lang w:eastAsia="zh-CN"/>
        </w:rPr>
        <w:t>供应商</w:t>
      </w:r>
      <w:r>
        <w:rPr>
          <w:rFonts w:hint="eastAsia" w:ascii="方正仿宋_GBK" w:hAnsi="方正仿宋_GBK" w:eastAsia="方正仿宋_GBK" w:cs="方正仿宋_GBK"/>
          <w:b w:val="0"/>
          <w:bCs w:val="0"/>
          <w:snapToGrid w:val="0"/>
          <w:color w:val="auto"/>
          <w:sz w:val="24"/>
          <w:szCs w:val="24"/>
          <w:highlight w:val="none"/>
          <w:u w:val="none" w:color="auto"/>
        </w:rPr>
        <w:t>公章</w:t>
      </w:r>
      <w:r>
        <w:rPr>
          <w:rFonts w:hint="eastAsia" w:ascii="方正仿宋_GBK" w:hAnsi="方正仿宋_GBK" w:eastAsia="方正仿宋_GBK" w:cs="方正仿宋_GBK"/>
          <w:b w:val="0"/>
          <w:bCs w:val="0"/>
          <w:snapToGrid w:val="0"/>
          <w:color w:val="auto"/>
          <w:sz w:val="24"/>
          <w:szCs w:val="24"/>
          <w:highlight w:val="none"/>
          <w:u w:val="none" w:color="auto"/>
          <w:lang w:eastAsia="zh-CN"/>
        </w:rPr>
        <w:t>。</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lang w:eastAsia="zh-CN"/>
        </w:rPr>
        <w:t>④我单位还</w:t>
      </w:r>
      <w:r>
        <w:rPr>
          <w:rFonts w:hint="eastAsia" w:ascii="方正仿宋_GBK" w:hAnsi="方正仿宋_GBK" w:eastAsia="方正仿宋_GBK" w:cs="方正仿宋_GBK"/>
          <w:b w:val="0"/>
          <w:bCs w:val="0"/>
          <w:snapToGrid w:val="0"/>
          <w:color w:val="auto"/>
          <w:sz w:val="24"/>
          <w:szCs w:val="24"/>
          <w:u w:val="none" w:color="auto"/>
        </w:rPr>
        <w:t>承诺</w:t>
      </w:r>
      <w:r>
        <w:rPr>
          <w:rFonts w:hint="eastAsia" w:ascii="方正仿宋_GBK" w:hAnsi="方正仿宋_GBK" w:eastAsia="方正仿宋_GBK" w:cs="方正仿宋_GBK"/>
          <w:b w:val="0"/>
          <w:bCs w:val="0"/>
          <w:snapToGrid w:val="0"/>
          <w:color w:val="auto"/>
          <w:sz w:val="24"/>
          <w:szCs w:val="24"/>
          <w:u w:val="none" w:color="auto"/>
          <w:lang w:eastAsia="zh-CN"/>
        </w:rPr>
        <w:t>未</w:t>
      </w:r>
      <w:r>
        <w:rPr>
          <w:rFonts w:hint="eastAsia" w:ascii="方正仿宋_GBK" w:hAnsi="方正仿宋_GBK" w:eastAsia="方正仿宋_GBK" w:cs="方正仿宋_GBK"/>
          <w:b w:val="0"/>
          <w:bCs w:val="0"/>
          <w:snapToGrid w:val="0"/>
          <w:color w:val="auto"/>
          <w:sz w:val="24"/>
          <w:szCs w:val="24"/>
          <w:u w:val="none" w:color="auto"/>
        </w:rPr>
        <w:t>存在下列情形之一：</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1）被列入《重庆市工程建设领域</w:t>
      </w:r>
      <w:r>
        <w:rPr>
          <w:rFonts w:hint="eastAsia" w:ascii="方正仿宋_GBK" w:hAnsi="方正仿宋_GBK" w:eastAsia="方正仿宋_GBK" w:cs="方正仿宋_GBK"/>
          <w:b w:val="0"/>
          <w:bCs w:val="0"/>
          <w:snapToGrid w:val="0"/>
          <w:color w:val="auto"/>
          <w:sz w:val="24"/>
          <w:szCs w:val="24"/>
          <w:u w:val="none" w:color="auto"/>
          <w:lang w:eastAsia="zh-CN"/>
        </w:rPr>
        <w:t>招标</w:t>
      </w:r>
      <w:r>
        <w:rPr>
          <w:rFonts w:hint="eastAsia" w:ascii="方正仿宋_GBK" w:hAnsi="方正仿宋_GBK" w:eastAsia="方正仿宋_GBK" w:cs="方正仿宋_GBK"/>
          <w:b w:val="0"/>
          <w:bCs w:val="0"/>
          <w:snapToGrid w:val="0"/>
          <w:color w:val="auto"/>
          <w:sz w:val="24"/>
          <w:szCs w:val="24"/>
          <w:u w:val="none" w:color="auto"/>
        </w:rPr>
        <w:t>投标信用管理暂行办法》规定的重点关注名单且记分达到12分；</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2）被列入《重庆市工程建设领域</w:t>
      </w:r>
      <w:r>
        <w:rPr>
          <w:rFonts w:hint="eastAsia" w:ascii="方正仿宋_GBK" w:hAnsi="方正仿宋_GBK" w:eastAsia="方正仿宋_GBK" w:cs="方正仿宋_GBK"/>
          <w:b w:val="0"/>
          <w:bCs w:val="0"/>
          <w:snapToGrid w:val="0"/>
          <w:color w:val="auto"/>
          <w:sz w:val="24"/>
          <w:szCs w:val="24"/>
          <w:u w:val="none" w:color="auto"/>
          <w:lang w:eastAsia="zh-CN"/>
        </w:rPr>
        <w:t>招标</w:t>
      </w:r>
      <w:r>
        <w:rPr>
          <w:rFonts w:hint="eastAsia" w:ascii="方正仿宋_GBK" w:hAnsi="方正仿宋_GBK" w:eastAsia="方正仿宋_GBK" w:cs="方正仿宋_GBK"/>
          <w:b w:val="0"/>
          <w:bCs w:val="0"/>
          <w:snapToGrid w:val="0"/>
          <w:color w:val="auto"/>
          <w:sz w:val="24"/>
          <w:szCs w:val="24"/>
          <w:u w:val="none" w:color="auto"/>
        </w:rPr>
        <w:t>投标信用管理暂行办法》规定的黑名单；</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rPr>
      </w:pPr>
      <w:r>
        <w:rPr>
          <w:rFonts w:hint="eastAsia" w:ascii="方正仿宋_GBK" w:hAnsi="方正仿宋_GBK" w:eastAsia="方正仿宋_GBK" w:cs="方正仿宋_GBK"/>
          <w:b w:val="0"/>
          <w:bCs w:val="0"/>
          <w:snapToGrid w:val="0"/>
          <w:color w:val="auto"/>
          <w:sz w:val="24"/>
          <w:szCs w:val="24"/>
          <w:u w:val="none" w:color="auto"/>
        </w:rPr>
        <w:t>3）被国家、重庆市（含市或任意区县）有关行政部门处以暂停投标资格行政处罚，且在处罚期限内；</w:t>
      </w:r>
    </w:p>
    <w:p>
      <w:pPr>
        <w:pStyle w:val="30"/>
        <w:spacing w:line="360" w:lineRule="auto"/>
        <w:ind w:firstLine="480" w:firstLineChars="200"/>
        <w:outlineLvl w:val="9"/>
        <w:rPr>
          <w:rFonts w:hint="eastAsia" w:ascii="方正仿宋_GBK" w:hAnsi="方正仿宋_GBK" w:eastAsia="方正仿宋_GBK" w:cs="方正仿宋_GBK"/>
          <w:b w:val="0"/>
          <w:bCs w:val="0"/>
          <w:snapToGrid w:val="0"/>
          <w:color w:val="auto"/>
          <w:sz w:val="24"/>
          <w:szCs w:val="24"/>
          <w:u w:val="none" w:color="auto"/>
          <w:lang w:eastAsia="zh-CN"/>
        </w:rPr>
      </w:pPr>
      <w:r>
        <w:rPr>
          <w:rFonts w:hint="eastAsia" w:ascii="方正仿宋_GBK" w:hAnsi="方正仿宋_GBK" w:eastAsia="方正仿宋_GBK" w:cs="方正仿宋_GBK"/>
          <w:b w:val="0"/>
          <w:bCs w:val="0"/>
          <w:snapToGrid w:val="0"/>
          <w:color w:val="auto"/>
          <w:sz w:val="24"/>
          <w:szCs w:val="24"/>
          <w:u w:val="none" w:color="auto"/>
        </w:rPr>
        <w:t>4）被重庆市住房和城乡建设主管部门暂停在渝承揽新业务。</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⑤我单位承诺拟派的项目经理未在在建工程中担任项目经理，且除法定原因外不得对人员进行变更。</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24"/>
          <w:szCs w:val="24"/>
          <w:highlight w:val="none"/>
          <w:lang w:val="en-US" w:eastAsia="zh-CN"/>
        </w:rPr>
        <w:t xml:space="preserve"> ⑥</w:t>
      </w:r>
      <w:r>
        <w:rPr>
          <w:rFonts w:hint="eastAsia" w:ascii="方正仿宋_GBK" w:hAnsi="方正仿宋_GBK" w:eastAsia="方正仿宋_GBK" w:cs="方正仿宋_GBK"/>
          <w:b w:val="0"/>
          <w:bCs w:val="0"/>
          <w:snapToGrid w:val="0"/>
          <w:color w:val="auto"/>
          <w:sz w:val="24"/>
          <w:szCs w:val="24"/>
          <w:u w:val="none" w:color="auto"/>
          <w:lang w:val="en-US" w:eastAsia="zh-CN"/>
        </w:rPr>
        <w:t>我单位承诺项目技术负责人</w:t>
      </w:r>
      <w:r>
        <w:rPr>
          <w:rFonts w:hint="eastAsia" w:ascii="方正仿宋_GBK" w:hAnsi="方正仿宋_GBK" w:eastAsia="方正仿宋_GBK" w:cs="方正仿宋_GBK"/>
          <w:b w:val="0"/>
          <w:bCs w:val="0"/>
          <w:snapToGrid w:val="0"/>
          <w:color w:val="auto"/>
          <w:sz w:val="24"/>
          <w:szCs w:val="24"/>
          <w:u w:val="none" w:color="auto"/>
          <w:lang w:eastAsia="zh-CN"/>
        </w:rPr>
        <w:t>除法定原因外不得进行变更。</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lang w:eastAsia="zh-CN"/>
        </w:rPr>
      </w:pPr>
    </w:p>
    <w:p>
      <w:pPr>
        <w:tabs>
          <w:tab w:val="left" w:pos="6300"/>
        </w:tabs>
        <w:snapToGrid w:val="0"/>
        <w:spacing w:line="360" w:lineRule="auto"/>
        <w:ind w:left="0" w:leftChars="0" w:firstLine="5018" w:firstLineChars="2091"/>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 xml:space="preserve">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lang w:eastAsia="zh-CN"/>
        </w:rPr>
        <w:t xml:space="preserve"> 供应商（公章）：</w:t>
      </w:r>
    </w:p>
    <w:p>
      <w:pPr>
        <w:tabs>
          <w:tab w:val="left" w:pos="6300"/>
        </w:tabs>
        <w:snapToGrid w:val="0"/>
        <w:spacing w:line="360" w:lineRule="auto"/>
        <w:ind w:left="0" w:leftChars="0" w:firstLine="5018" w:firstLineChars="2091"/>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法定代表人（或分支机构负责人）或授权</w:t>
      </w:r>
    </w:p>
    <w:p>
      <w:pPr>
        <w:tabs>
          <w:tab w:val="left" w:pos="6300"/>
        </w:tabs>
        <w:snapToGrid w:val="0"/>
        <w:spacing w:line="360" w:lineRule="auto"/>
        <w:ind w:left="0" w:leftChars="0" w:firstLine="5539" w:firstLineChars="2308"/>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代表人（签字）：</w:t>
      </w:r>
    </w:p>
    <w:p>
      <w:pPr>
        <w:tabs>
          <w:tab w:val="left" w:pos="6300"/>
        </w:tabs>
        <w:snapToGrid w:val="0"/>
        <w:spacing w:line="360" w:lineRule="auto"/>
        <w:ind w:left="0" w:leftChars="0" w:firstLine="5018" w:firstLineChars="2091"/>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 xml:space="preserve">     单位地址：</w:t>
      </w:r>
    </w:p>
    <w:p>
      <w:pPr>
        <w:tabs>
          <w:tab w:val="left" w:pos="6300"/>
        </w:tabs>
        <w:snapToGrid w:val="0"/>
        <w:spacing w:line="360" w:lineRule="auto"/>
        <w:ind w:left="0" w:leftChars="0" w:firstLine="5018" w:firstLineChars="2091"/>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 xml:space="preserve">     电    话：                                         </w:t>
      </w:r>
    </w:p>
    <w:p>
      <w:pPr>
        <w:tabs>
          <w:tab w:val="left" w:pos="6300"/>
        </w:tabs>
        <w:snapToGrid w:val="0"/>
        <w:spacing w:line="360" w:lineRule="auto"/>
        <w:ind w:left="0" w:leftChars="0" w:firstLine="5018" w:firstLineChars="2091"/>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 xml:space="preserve">   年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lang w:eastAsia="zh-CN"/>
        </w:rPr>
        <w:t>月</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lang w:eastAsia="zh-CN"/>
        </w:rPr>
        <w:t xml:space="preserve">  日</w:t>
      </w:r>
    </w:p>
    <w:p>
      <w:pPr>
        <w:tabs>
          <w:tab w:val="left" w:pos="6300"/>
        </w:tabs>
        <w:snapToGrid w:val="0"/>
        <w:spacing w:line="360" w:lineRule="auto"/>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注：如声明与实际不符，我单位将自愿被取消候选或中选资格。</w:t>
      </w:r>
    </w:p>
    <w:p>
      <w:pPr>
        <w:rPr>
          <w:rFonts w:hint="eastAsia" w:ascii="方正仿宋_GBK" w:hAnsi="方正仿宋_GBK" w:eastAsia="方正仿宋_GBK" w:cs="方正仿宋_GBK"/>
          <w:color w:val="auto"/>
        </w:rPr>
      </w:pPr>
    </w:p>
    <w:p>
      <w:pPr>
        <w:numPr>
          <w:ilvl w:val="0"/>
          <w:numId w:val="0"/>
        </w:numPr>
        <w:tabs>
          <w:tab w:val="left" w:pos="6300"/>
        </w:tabs>
        <w:snapToGrid w:val="0"/>
        <w:spacing w:line="360" w:lineRule="auto"/>
        <w:jc w:val="both"/>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税务登记证（副本）复印件和社会保险缴纳证明材料</w:t>
      </w:r>
    </w:p>
    <w:p>
      <w:pPr>
        <w:numPr>
          <w:ilvl w:val="0"/>
          <w:numId w:val="0"/>
        </w:numPr>
        <w:tabs>
          <w:tab w:val="left" w:pos="6300"/>
        </w:tabs>
        <w:snapToGrid w:val="0"/>
        <w:spacing w:line="360" w:lineRule="auto"/>
        <w:jc w:val="both"/>
        <w:outlineLvl w:val="9"/>
        <w:rPr>
          <w:rFonts w:hint="eastAsia" w:ascii="方正仿宋_GBK" w:hAnsi="方正仿宋_GBK" w:eastAsia="方正仿宋_GBK" w:cs="方正仿宋_GBK"/>
          <w:color w:val="auto"/>
          <w:sz w:val="24"/>
          <w:szCs w:val="24"/>
          <w:highlight w:val="none"/>
          <w:lang w:eastAsia="zh-CN"/>
        </w:rPr>
      </w:pPr>
    </w:p>
    <w:p>
      <w:pPr>
        <w:numPr>
          <w:ilvl w:val="0"/>
          <w:numId w:val="0"/>
        </w:numPr>
        <w:tabs>
          <w:tab w:val="left" w:pos="6300"/>
        </w:tabs>
        <w:snapToGrid w:val="0"/>
        <w:spacing w:line="360" w:lineRule="auto"/>
        <w:ind w:firstLine="960" w:firstLineChars="400"/>
        <w:jc w:val="both"/>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说明：有书面声明，此条非必要项。</w:t>
      </w:r>
    </w:p>
    <w:p>
      <w:pPr>
        <w:spacing w:line="360" w:lineRule="auto"/>
        <w:outlineLvl w:val="9"/>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rPr>
      </w:pPr>
    </w:p>
    <w:p>
      <w:pPr>
        <w:rPr>
          <w:rFonts w:hint="eastAsia" w:ascii="方正仿宋_GBK" w:hAnsi="方正仿宋_GBK" w:eastAsia="方正仿宋_GBK" w:cs="方正仿宋_GBK"/>
          <w:color w:val="auto"/>
        </w:rPr>
      </w:pPr>
    </w:p>
    <w:p>
      <w:pPr>
        <w:numPr>
          <w:ilvl w:val="0"/>
          <w:numId w:val="0"/>
        </w:numPr>
        <w:tabs>
          <w:tab w:val="left" w:pos="6300"/>
        </w:tabs>
        <w:snapToGrid w:val="0"/>
        <w:spacing w:line="360" w:lineRule="auto"/>
        <w:jc w:val="both"/>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八</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特定资格条件</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说明：供应商按“多证合一”登记制度办理营业执照的，组织机构代码证和税务登记证以供应商所提供的营业执照（副本）复印件为准。</w:t>
      </w: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tabs>
          <w:tab w:val="left" w:pos="6300"/>
        </w:tabs>
        <w:snapToGrid w:val="0"/>
        <w:spacing w:line="360" w:lineRule="auto"/>
        <w:ind w:firstLine="480" w:firstLineChars="200"/>
        <w:outlineLvl w:val="9"/>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color w:val="auto"/>
          <w:sz w:val="24"/>
          <w:szCs w:val="24"/>
          <w:highlight w:val="none"/>
        </w:rPr>
      </w:pPr>
    </w:p>
    <w:p>
      <w:pPr>
        <w:rPr>
          <w:rFonts w:hint="eastAsia"/>
        </w:rPr>
      </w:pPr>
    </w:p>
    <w:p>
      <w:pPr>
        <w:tabs>
          <w:tab w:val="left" w:pos="6300"/>
        </w:tabs>
        <w:snapToGrid w:val="0"/>
        <w:spacing w:line="360" w:lineRule="auto"/>
        <w:outlineLvl w:val="9"/>
        <w:rPr>
          <w:rFonts w:hint="eastAsia" w:ascii="方正仿宋_GBK" w:hAnsi="方正仿宋_GBK" w:eastAsia="方正仿宋_GBK" w:cs="方正仿宋_GBK"/>
          <w:color w:val="auto"/>
          <w:sz w:val="24"/>
          <w:szCs w:val="24"/>
          <w:highlight w:val="none"/>
        </w:rPr>
      </w:pPr>
    </w:p>
    <w:p>
      <w:pPr>
        <w:spacing w:before="0" w:after="0" w:line="360" w:lineRule="auto"/>
        <w:outlineLvl w:val="1"/>
        <w:rPr>
          <w:rFonts w:hint="eastAsia" w:ascii="方正仿宋_GBK" w:hAnsi="方正仿宋_GBK" w:eastAsia="方正仿宋_GBK" w:cs="方正仿宋_GBK"/>
          <w:color w:val="auto"/>
          <w:sz w:val="24"/>
          <w:szCs w:val="24"/>
          <w:highlight w:val="none"/>
        </w:rPr>
      </w:pPr>
      <w:bookmarkStart w:id="133" w:name="_Toc14422"/>
      <w:bookmarkStart w:id="134" w:name="_Toc13044"/>
      <w:bookmarkStart w:id="135" w:name="_Toc17276"/>
      <w:bookmarkStart w:id="136" w:name="_Toc2628"/>
      <w:r>
        <w:rPr>
          <w:rFonts w:hint="eastAsia" w:ascii="方正仿宋_GBK" w:hAnsi="方正仿宋_GBK" w:eastAsia="方正仿宋_GBK" w:cs="方正仿宋_GBK"/>
          <w:color w:val="auto"/>
          <w:sz w:val="24"/>
          <w:szCs w:val="24"/>
          <w:highlight w:val="none"/>
        </w:rPr>
        <w:t>五、其他应提供的资料</w:t>
      </w:r>
      <w:bookmarkEnd w:id="133"/>
      <w:bookmarkEnd w:id="134"/>
      <w:bookmarkEnd w:id="135"/>
      <w:bookmarkEnd w:id="136"/>
    </w:p>
    <w:p>
      <w:pPr>
        <w:spacing w:line="360" w:lineRule="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(一)其他资料</w:t>
      </w:r>
    </w:p>
    <w:p>
      <w:pPr>
        <w:spacing w:line="360" w:lineRule="auto"/>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1、其他与项目有关的资料（</w:t>
      </w:r>
      <w:r>
        <w:rPr>
          <w:rFonts w:hint="eastAsia" w:ascii="方正仿宋_GBK" w:hAnsi="方正仿宋_GBK" w:eastAsia="方正仿宋_GBK" w:cs="方正仿宋_GBK"/>
          <w:color w:val="auto"/>
          <w:sz w:val="24"/>
          <w:szCs w:val="24"/>
          <w:highlight w:val="none"/>
          <w:lang w:eastAsia="zh-CN"/>
        </w:rPr>
        <w:t>如有，</w:t>
      </w:r>
      <w:r>
        <w:rPr>
          <w:rFonts w:hint="eastAsia" w:ascii="方正仿宋_GBK" w:hAnsi="方正仿宋_GBK" w:eastAsia="方正仿宋_GBK" w:cs="方正仿宋_GBK"/>
          <w:color w:val="auto"/>
          <w:sz w:val="24"/>
          <w:szCs w:val="24"/>
          <w:highlight w:val="none"/>
        </w:rPr>
        <w:t>自附）：供应商总体情况介绍、其他与本项目有关的资料等。</w:t>
      </w: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outlineLvl w:val="9"/>
        <w:rPr>
          <w:rFonts w:hint="eastAsia" w:ascii="方正仿宋_GBK" w:hAnsi="方正仿宋_GBK" w:eastAsia="方正仿宋_GBK" w:cs="方正仿宋_GBK"/>
          <w:color w:val="auto"/>
          <w:sz w:val="24"/>
          <w:szCs w:val="24"/>
          <w:highlight w:val="none"/>
        </w:rPr>
      </w:pPr>
    </w:p>
    <w:p>
      <w:pPr>
        <w:spacing w:line="360" w:lineRule="auto"/>
        <w:ind w:firstLine="480" w:firstLineChars="200"/>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（结束）</w:t>
      </w: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文鼎粗黑">
    <w:altName w:val="新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733A37BF-71BC-4274-9DC9-95B69EC68CBD}"/>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p>
  <w:p>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Y0Hs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QY0HsoBAACcAwAADgAAAAAAAAABACAAAAAeAQAAZHJzL2Uyb0Rv&#10;Yy54bWxQSwUGAAAAAAYABgBZAQAAWgUAAAAA&#10;">
              <v:fill on="f" focussize="0,0"/>
              <v:stroke on="f"/>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- 8 -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- 8 -</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- 16 -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Rahc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jEWoXLAQAAnAMAAA4AAAAAAAAAAQAgAAAAHgEAAGRycy9lMm9E&#10;b2MueG1sUEsFBgAAAAAGAAYAWQEAAFsFAAAAAA==&#10;">
              <v:fill on="f" focussize="0,0"/>
              <v:stroke on="f"/>
              <v:imagedata o:title=""/>
              <o:lock v:ext="edit" aspectratio="f"/>
              <v:textbox inset="0mm,0mm,0mm,0mm" style="mso-fit-shape-to-text:t;">
                <w:txbxContent>
                  <w:p>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- 16 -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rFonts w:hint="eastAsia" w:ascii="方正仿宋_GBK" w:eastAsia="方正仿宋_GBK"/>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rPr>
    </w:pP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2C850"/>
    <w:multiLevelType w:val="singleLevel"/>
    <w:tmpl w:val="8EA2C850"/>
    <w:lvl w:ilvl="0" w:tentative="0">
      <w:start w:val="1"/>
      <w:numFmt w:val="chineseCounting"/>
      <w:suff w:val="nothing"/>
      <w:lvlText w:val="（%1）"/>
      <w:lvlJc w:val="left"/>
      <w:pPr>
        <w:ind w:left="0" w:firstLine="420"/>
      </w:pPr>
      <w:rPr>
        <w:rFonts w:hint="eastAsia"/>
      </w:rPr>
    </w:lvl>
  </w:abstractNum>
  <w:abstractNum w:abstractNumId="1">
    <w:nsid w:val="00000009"/>
    <w:multiLevelType w:val="multilevel"/>
    <w:tmpl w:val="00000009"/>
    <w:lvl w:ilvl="0" w:tentative="0">
      <w:start w:val="1"/>
      <w:numFmt w:val="upperLetter"/>
      <w:pStyle w:val="1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6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89"/>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1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3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3"/>
  </w:num>
  <w:num w:numId="6">
    <w:abstractNumId w:val="5"/>
  </w:num>
  <w:num w:numId="7">
    <w:abstractNumId w:val="12"/>
  </w:num>
  <w:num w:numId="8">
    <w:abstractNumId w:val="1"/>
  </w:num>
  <w:num w:numId="9">
    <w:abstractNumId w:val="8"/>
  </w:num>
  <w:num w:numId="10">
    <w:abstractNumId w:val="11"/>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YjQ1MTY3NTY3MGFmNzQxMGEzZGY1YjJjMjFhM2YifQ=="/>
  </w:docVars>
  <w:rsids>
    <w:rsidRoot w:val="00172A27"/>
    <w:rsid w:val="000040DE"/>
    <w:rsid w:val="000075E8"/>
    <w:rsid w:val="00007798"/>
    <w:rsid w:val="00010F47"/>
    <w:rsid w:val="00011B4B"/>
    <w:rsid w:val="000120A2"/>
    <w:rsid w:val="00015708"/>
    <w:rsid w:val="00016545"/>
    <w:rsid w:val="00016B79"/>
    <w:rsid w:val="00016DD2"/>
    <w:rsid w:val="00017816"/>
    <w:rsid w:val="00021B72"/>
    <w:rsid w:val="00034D5A"/>
    <w:rsid w:val="0003632F"/>
    <w:rsid w:val="000429D1"/>
    <w:rsid w:val="00044E84"/>
    <w:rsid w:val="00045B91"/>
    <w:rsid w:val="00046980"/>
    <w:rsid w:val="0004789B"/>
    <w:rsid w:val="00047E9C"/>
    <w:rsid w:val="00050A18"/>
    <w:rsid w:val="0005298B"/>
    <w:rsid w:val="0005417C"/>
    <w:rsid w:val="000576E1"/>
    <w:rsid w:val="00063981"/>
    <w:rsid w:val="00067155"/>
    <w:rsid w:val="0008073C"/>
    <w:rsid w:val="000811E5"/>
    <w:rsid w:val="00090C5A"/>
    <w:rsid w:val="00091B1C"/>
    <w:rsid w:val="00097D0B"/>
    <w:rsid w:val="000A164E"/>
    <w:rsid w:val="000A7A1B"/>
    <w:rsid w:val="000B08E9"/>
    <w:rsid w:val="000B114F"/>
    <w:rsid w:val="000B14E8"/>
    <w:rsid w:val="000B42F4"/>
    <w:rsid w:val="000B4453"/>
    <w:rsid w:val="000B7377"/>
    <w:rsid w:val="000B7F54"/>
    <w:rsid w:val="000C6A03"/>
    <w:rsid w:val="000D73A2"/>
    <w:rsid w:val="000E01C9"/>
    <w:rsid w:val="000E01D8"/>
    <w:rsid w:val="000E3259"/>
    <w:rsid w:val="000E7F6B"/>
    <w:rsid w:val="000F23B5"/>
    <w:rsid w:val="000F4FE8"/>
    <w:rsid w:val="000F7DBF"/>
    <w:rsid w:val="0010014A"/>
    <w:rsid w:val="00100639"/>
    <w:rsid w:val="001011D1"/>
    <w:rsid w:val="001033BC"/>
    <w:rsid w:val="0010346D"/>
    <w:rsid w:val="0010750E"/>
    <w:rsid w:val="00116856"/>
    <w:rsid w:val="00120259"/>
    <w:rsid w:val="001266BF"/>
    <w:rsid w:val="00131F3A"/>
    <w:rsid w:val="00133D16"/>
    <w:rsid w:val="00134017"/>
    <w:rsid w:val="00134D29"/>
    <w:rsid w:val="00135B07"/>
    <w:rsid w:val="00144004"/>
    <w:rsid w:val="00145640"/>
    <w:rsid w:val="001477A4"/>
    <w:rsid w:val="00147FB4"/>
    <w:rsid w:val="0015011C"/>
    <w:rsid w:val="00150429"/>
    <w:rsid w:val="001572BD"/>
    <w:rsid w:val="0016679E"/>
    <w:rsid w:val="00177975"/>
    <w:rsid w:val="00180ACB"/>
    <w:rsid w:val="00184F1C"/>
    <w:rsid w:val="00186159"/>
    <w:rsid w:val="00186623"/>
    <w:rsid w:val="001879FD"/>
    <w:rsid w:val="00195D5C"/>
    <w:rsid w:val="00196449"/>
    <w:rsid w:val="00197B72"/>
    <w:rsid w:val="001A2404"/>
    <w:rsid w:val="001A4A1D"/>
    <w:rsid w:val="001A4CF3"/>
    <w:rsid w:val="001A6DCC"/>
    <w:rsid w:val="001B3DBD"/>
    <w:rsid w:val="001B418B"/>
    <w:rsid w:val="001B4377"/>
    <w:rsid w:val="001C1453"/>
    <w:rsid w:val="001C20E6"/>
    <w:rsid w:val="001C20F2"/>
    <w:rsid w:val="001C6FE1"/>
    <w:rsid w:val="001D148A"/>
    <w:rsid w:val="001D2321"/>
    <w:rsid w:val="001D2DCD"/>
    <w:rsid w:val="001D326A"/>
    <w:rsid w:val="001D5055"/>
    <w:rsid w:val="001D58C9"/>
    <w:rsid w:val="001D630C"/>
    <w:rsid w:val="001D7AFF"/>
    <w:rsid w:val="001E201B"/>
    <w:rsid w:val="001E5CAC"/>
    <w:rsid w:val="001E725F"/>
    <w:rsid w:val="001F1AF7"/>
    <w:rsid w:val="001F2CC8"/>
    <w:rsid w:val="001F4964"/>
    <w:rsid w:val="001F4E83"/>
    <w:rsid w:val="001F7063"/>
    <w:rsid w:val="002000EA"/>
    <w:rsid w:val="00202B04"/>
    <w:rsid w:val="002037FD"/>
    <w:rsid w:val="00204936"/>
    <w:rsid w:val="002100EE"/>
    <w:rsid w:val="00213479"/>
    <w:rsid w:val="0021704D"/>
    <w:rsid w:val="00222097"/>
    <w:rsid w:val="00226556"/>
    <w:rsid w:val="00230CA9"/>
    <w:rsid w:val="002342F9"/>
    <w:rsid w:val="002348E0"/>
    <w:rsid w:val="00250E69"/>
    <w:rsid w:val="002643C1"/>
    <w:rsid w:val="00265203"/>
    <w:rsid w:val="00271D47"/>
    <w:rsid w:val="002721EA"/>
    <w:rsid w:val="002736A1"/>
    <w:rsid w:val="00276A46"/>
    <w:rsid w:val="00280797"/>
    <w:rsid w:val="00280B54"/>
    <w:rsid w:val="00280E8A"/>
    <w:rsid w:val="00285164"/>
    <w:rsid w:val="002929E1"/>
    <w:rsid w:val="00293B3C"/>
    <w:rsid w:val="002A4956"/>
    <w:rsid w:val="002A6710"/>
    <w:rsid w:val="002B5BD5"/>
    <w:rsid w:val="002B5D80"/>
    <w:rsid w:val="002B7904"/>
    <w:rsid w:val="002C06B5"/>
    <w:rsid w:val="002C2507"/>
    <w:rsid w:val="002C2E6E"/>
    <w:rsid w:val="002C45CE"/>
    <w:rsid w:val="002D7725"/>
    <w:rsid w:val="002E26EC"/>
    <w:rsid w:val="002E26F0"/>
    <w:rsid w:val="002E6F8D"/>
    <w:rsid w:val="002E743B"/>
    <w:rsid w:val="002F3DE3"/>
    <w:rsid w:val="002F632E"/>
    <w:rsid w:val="003026AA"/>
    <w:rsid w:val="003079EE"/>
    <w:rsid w:val="00310AF9"/>
    <w:rsid w:val="00311291"/>
    <w:rsid w:val="00312C54"/>
    <w:rsid w:val="0031320D"/>
    <w:rsid w:val="0031374D"/>
    <w:rsid w:val="0031465E"/>
    <w:rsid w:val="00315742"/>
    <w:rsid w:val="003163B3"/>
    <w:rsid w:val="00320C6F"/>
    <w:rsid w:val="00322A7A"/>
    <w:rsid w:val="00341DEB"/>
    <w:rsid w:val="003434CB"/>
    <w:rsid w:val="00344C5E"/>
    <w:rsid w:val="003464ED"/>
    <w:rsid w:val="00346A3D"/>
    <w:rsid w:val="00350C20"/>
    <w:rsid w:val="003548FA"/>
    <w:rsid w:val="00355A74"/>
    <w:rsid w:val="00361427"/>
    <w:rsid w:val="0036458B"/>
    <w:rsid w:val="00371D2F"/>
    <w:rsid w:val="00373401"/>
    <w:rsid w:val="00375455"/>
    <w:rsid w:val="0038033A"/>
    <w:rsid w:val="00384161"/>
    <w:rsid w:val="00387610"/>
    <w:rsid w:val="003928CF"/>
    <w:rsid w:val="00395C2F"/>
    <w:rsid w:val="003973D3"/>
    <w:rsid w:val="003A0892"/>
    <w:rsid w:val="003A09F2"/>
    <w:rsid w:val="003A260A"/>
    <w:rsid w:val="003A449E"/>
    <w:rsid w:val="003A71F3"/>
    <w:rsid w:val="003B19F5"/>
    <w:rsid w:val="003B1FFB"/>
    <w:rsid w:val="003B42C2"/>
    <w:rsid w:val="003C2E2A"/>
    <w:rsid w:val="003C4B53"/>
    <w:rsid w:val="003D0BB2"/>
    <w:rsid w:val="003D0E0A"/>
    <w:rsid w:val="003D3B22"/>
    <w:rsid w:val="003D42A0"/>
    <w:rsid w:val="00402636"/>
    <w:rsid w:val="00402B32"/>
    <w:rsid w:val="004101AB"/>
    <w:rsid w:val="00410C93"/>
    <w:rsid w:val="00411B4A"/>
    <w:rsid w:val="0041212A"/>
    <w:rsid w:val="004165D0"/>
    <w:rsid w:val="00417E99"/>
    <w:rsid w:val="00420063"/>
    <w:rsid w:val="0042689D"/>
    <w:rsid w:val="00427935"/>
    <w:rsid w:val="004332ED"/>
    <w:rsid w:val="004344EE"/>
    <w:rsid w:val="0044554C"/>
    <w:rsid w:val="00446394"/>
    <w:rsid w:val="0044695E"/>
    <w:rsid w:val="00447455"/>
    <w:rsid w:val="00460DBE"/>
    <w:rsid w:val="00462878"/>
    <w:rsid w:val="004646EB"/>
    <w:rsid w:val="00465B7A"/>
    <w:rsid w:val="00472117"/>
    <w:rsid w:val="00472285"/>
    <w:rsid w:val="00472AA2"/>
    <w:rsid w:val="00492BEA"/>
    <w:rsid w:val="00493769"/>
    <w:rsid w:val="004953EC"/>
    <w:rsid w:val="00495813"/>
    <w:rsid w:val="004A0D29"/>
    <w:rsid w:val="004A0DE1"/>
    <w:rsid w:val="004A2410"/>
    <w:rsid w:val="004A27AC"/>
    <w:rsid w:val="004A31AE"/>
    <w:rsid w:val="004B176E"/>
    <w:rsid w:val="004B478A"/>
    <w:rsid w:val="004C068F"/>
    <w:rsid w:val="004C1DD0"/>
    <w:rsid w:val="004C64E4"/>
    <w:rsid w:val="004D7983"/>
    <w:rsid w:val="004D7BD6"/>
    <w:rsid w:val="004E156F"/>
    <w:rsid w:val="004E55DB"/>
    <w:rsid w:val="004F161C"/>
    <w:rsid w:val="004F42EF"/>
    <w:rsid w:val="004F4F7F"/>
    <w:rsid w:val="00501A6B"/>
    <w:rsid w:val="00502758"/>
    <w:rsid w:val="00502B2F"/>
    <w:rsid w:val="00504179"/>
    <w:rsid w:val="00504FD7"/>
    <w:rsid w:val="005102C8"/>
    <w:rsid w:val="0051068E"/>
    <w:rsid w:val="00512D00"/>
    <w:rsid w:val="00514179"/>
    <w:rsid w:val="005272C4"/>
    <w:rsid w:val="00530820"/>
    <w:rsid w:val="00536E92"/>
    <w:rsid w:val="00537A5F"/>
    <w:rsid w:val="00542E11"/>
    <w:rsid w:val="00544BEA"/>
    <w:rsid w:val="005460D5"/>
    <w:rsid w:val="00547F59"/>
    <w:rsid w:val="00550196"/>
    <w:rsid w:val="00551CEF"/>
    <w:rsid w:val="0055398E"/>
    <w:rsid w:val="00563238"/>
    <w:rsid w:val="00566A85"/>
    <w:rsid w:val="00570A9B"/>
    <w:rsid w:val="00570EB3"/>
    <w:rsid w:val="00573AE3"/>
    <w:rsid w:val="00576B57"/>
    <w:rsid w:val="00586747"/>
    <w:rsid w:val="005902D9"/>
    <w:rsid w:val="00596AB7"/>
    <w:rsid w:val="005A1EA7"/>
    <w:rsid w:val="005A478C"/>
    <w:rsid w:val="005A5FAF"/>
    <w:rsid w:val="005B0724"/>
    <w:rsid w:val="005B1E46"/>
    <w:rsid w:val="005C1B86"/>
    <w:rsid w:val="005C23F7"/>
    <w:rsid w:val="005C42AC"/>
    <w:rsid w:val="005C4F84"/>
    <w:rsid w:val="005D2C99"/>
    <w:rsid w:val="005D37D0"/>
    <w:rsid w:val="005D703E"/>
    <w:rsid w:val="005D7906"/>
    <w:rsid w:val="005E001E"/>
    <w:rsid w:val="005E5525"/>
    <w:rsid w:val="005F212F"/>
    <w:rsid w:val="005F5F80"/>
    <w:rsid w:val="005F77E0"/>
    <w:rsid w:val="00605716"/>
    <w:rsid w:val="00605D32"/>
    <w:rsid w:val="00613410"/>
    <w:rsid w:val="00615AF9"/>
    <w:rsid w:val="00617986"/>
    <w:rsid w:val="006277CE"/>
    <w:rsid w:val="00630802"/>
    <w:rsid w:val="00637A7A"/>
    <w:rsid w:val="0064583B"/>
    <w:rsid w:val="00651ECE"/>
    <w:rsid w:val="00654A48"/>
    <w:rsid w:val="0065651B"/>
    <w:rsid w:val="00660A81"/>
    <w:rsid w:val="0066353E"/>
    <w:rsid w:val="00664607"/>
    <w:rsid w:val="00664761"/>
    <w:rsid w:val="00670089"/>
    <w:rsid w:val="00680AE4"/>
    <w:rsid w:val="00681D17"/>
    <w:rsid w:val="00684E51"/>
    <w:rsid w:val="00685E53"/>
    <w:rsid w:val="006A100B"/>
    <w:rsid w:val="006A143A"/>
    <w:rsid w:val="006A1E48"/>
    <w:rsid w:val="006A3285"/>
    <w:rsid w:val="006A7652"/>
    <w:rsid w:val="006B1E61"/>
    <w:rsid w:val="006B72DE"/>
    <w:rsid w:val="006C5FC1"/>
    <w:rsid w:val="006D44E1"/>
    <w:rsid w:val="006D7DA1"/>
    <w:rsid w:val="006E21FA"/>
    <w:rsid w:val="006E3BEB"/>
    <w:rsid w:val="006E58DB"/>
    <w:rsid w:val="006F0FB7"/>
    <w:rsid w:val="006F126E"/>
    <w:rsid w:val="006F27DC"/>
    <w:rsid w:val="006F7DCF"/>
    <w:rsid w:val="00704E5D"/>
    <w:rsid w:val="00705739"/>
    <w:rsid w:val="007061F8"/>
    <w:rsid w:val="0071099A"/>
    <w:rsid w:val="00711CE4"/>
    <w:rsid w:val="007122CD"/>
    <w:rsid w:val="00715FB5"/>
    <w:rsid w:val="00716059"/>
    <w:rsid w:val="007169CF"/>
    <w:rsid w:val="007171A6"/>
    <w:rsid w:val="0071799D"/>
    <w:rsid w:val="00717EDF"/>
    <w:rsid w:val="00726088"/>
    <w:rsid w:val="00730B6A"/>
    <w:rsid w:val="00736D88"/>
    <w:rsid w:val="00736DD2"/>
    <w:rsid w:val="0073722D"/>
    <w:rsid w:val="00737A25"/>
    <w:rsid w:val="00740462"/>
    <w:rsid w:val="0074681C"/>
    <w:rsid w:val="00746936"/>
    <w:rsid w:val="00746CF9"/>
    <w:rsid w:val="00746EC2"/>
    <w:rsid w:val="00747D16"/>
    <w:rsid w:val="007515A5"/>
    <w:rsid w:val="0075297C"/>
    <w:rsid w:val="00752BF5"/>
    <w:rsid w:val="00761248"/>
    <w:rsid w:val="007647B1"/>
    <w:rsid w:val="00765343"/>
    <w:rsid w:val="007654E2"/>
    <w:rsid w:val="0076555E"/>
    <w:rsid w:val="00766551"/>
    <w:rsid w:val="00771E46"/>
    <w:rsid w:val="00771FF7"/>
    <w:rsid w:val="00772E76"/>
    <w:rsid w:val="0078431B"/>
    <w:rsid w:val="0078616F"/>
    <w:rsid w:val="00792E92"/>
    <w:rsid w:val="007959AC"/>
    <w:rsid w:val="007A20E0"/>
    <w:rsid w:val="007A6062"/>
    <w:rsid w:val="007B2204"/>
    <w:rsid w:val="007B4B60"/>
    <w:rsid w:val="007B58F6"/>
    <w:rsid w:val="007C1B6A"/>
    <w:rsid w:val="007C1BCA"/>
    <w:rsid w:val="007C1F60"/>
    <w:rsid w:val="007C4793"/>
    <w:rsid w:val="007D60D6"/>
    <w:rsid w:val="007D66DE"/>
    <w:rsid w:val="007D7E65"/>
    <w:rsid w:val="007E19E0"/>
    <w:rsid w:val="007E6A52"/>
    <w:rsid w:val="007F6EB7"/>
    <w:rsid w:val="00801CBC"/>
    <w:rsid w:val="008041D4"/>
    <w:rsid w:val="00805933"/>
    <w:rsid w:val="0081156A"/>
    <w:rsid w:val="00811D97"/>
    <w:rsid w:val="00811E9E"/>
    <w:rsid w:val="00815F15"/>
    <w:rsid w:val="00820383"/>
    <w:rsid w:val="00820E71"/>
    <w:rsid w:val="00824E6B"/>
    <w:rsid w:val="00827398"/>
    <w:rsid w:val="00827C12"/>
    <w:rsid w:val="00835CD7"/>
    <w:rsid w:val="008377CF"/>
    <w:rsid w:val="00842974"/>
    <w:rsid w:val="00844DA0"/>
    <w:rsid w:val="00851EF4"/>
    <w:rsid w:val="00854248"/>
    <w:rsid w:val="008551E9"/>
    <w:rsid w:val="0085550A"/>
    <w:rsid w:val="008610AB"/>
    <w:rsid w:val="0086146D"/>
    <w:rsid w:val="008616EF"/>
    <w:rsid w:val="00863C25"/>
    <w:rsid w:val="008641B7"/>
    <w:rsid w:val="00864DC1"/>
    <w:rsid w:val="00867CDC"/>
    <w:rsid w:val="008705BC"/>
    <w:rsid w:val="00875A42"/>
    <w:rsid w:val="008857CC"/>
    <w:rsid w:val="008904A8"/>
    <w:rsid w:val="00891AA1"/>
    <w:rsid w:val="00892468"/>
    <w:rsid w:val="008A3182"/>
    <w:rsid w:val="008A5B2C"/>
    <w:rsid w:val="008B0B9C"/>
    <w:rsid w:val="008B3360"/>
    <w:rsid w:val="008C2D34"/>
    <w:rsid w:val="008C510F"/>
    <w:rsid w:val="008C6841"/>
    <w:rsid w:val="008E0772"/>
    <w:rsid w:val="008E15ED"/>
    <w:rsid w:val="008E1ACA"/>
    <w:rsid w:val="008E35D0"/>
    <w:rsid w:val="008E3E8A"/>
    <w:rsid w:val="008E66B8"/>
    <w:rsid w:val="008E76F5"/>
    <w:rsid w:val="008F1988"/>
    <w:rsid w:val="008F6252"/>
    <w:rsid w:val="0090056E"/>
    <w:rsid w:val="009023F3"/>
    <w:rsid w:val="00903540"/>
    <w:rsid w:val="0090383C"/>
    <w:rsid w:val="00912132"/>
    <w:rsid w:val="0091433C"/>
    <w:rsid w:val="00915390"/>
    <w:rsid w:val="009211CD"/>
    <w:rsid w:val="00922FAD"/>
    <w:rsid w:val="00924F0A"/>
    <w:rsid w:val="0092708B"/>
    <w:rsid w:val="0093049D"/>
    <w:rsid w:val="00930547"/>
    <w:rsid w:val="00932A69"/>
    <w:rsid w:val="00936BBF"/>
    <w:rsid w:val="00937713"/>
    <w:rsid w:val="00937803"/>
    <w:rsid w:val="00944CC5"/>
    <w:rsid w:val="0094759E"/>
    <w:rsid w:val="009554DC"/>
    <w:rsid w:val="00955CC4"/>
    <w:rsid w:val="0096224A"/>
    <w:rsid w:val="00966820"/>
    <w:rsid w:val="00966A99"/>
    <w:rsid w:val="009671A3"/>
    <w:rsid w:val="009702E8"/>
    <w:rsid w:val="00971E57"/>
    <w:rsid w:val="009723CF"/>
    <w:rsid w:val="00974075"/>
    <w:rsid w:val="00980037"/>
    <w:rsid w:val="0098197A"/>
    <w:rsid w:val="00982CEC"/>
    <w:rsid w:val="00983B43"/>
    <w:rsid w:val="00991B37"/>
    <w:rsid w:val="00991C2E"/>
    <w:rsid w:val="00991EE4"/>
    <w:rsid w:val="00995B27"/>
    <w:rsid w:val="009964BC"/>
    <w:rsid w:val="009B6096"/>
    <w:rsid w:val="009C3034"/>
    <w:rsid w:val="009C59BF"/>
    <w:rsid w:val="009C76AA"/>
    <w:rsid w:val="009D3162"/>
    <w:rsid w:val="009D3181"/>
    <w:rsid w:val="009E348B"/>
    <w:rsid w:val="009E3B5B"/>
    <w:rsid w:val="009E737D"/>
    <w:rsid w:val="009F3261"/>
    <w:rsid w:val="00A03977"/>
    <w:rsid w:val="00A140B2"/>
    <w:rsid w:val="00A17B30"/>
    <w:rsid w:val="00A17D3F"/>
    <w:rsid w:val="00A26FF7"/>
    <w:rsid w:val="00A34FF8"/>
    <w:rsid w:val="00A3557D"/>
    <w:rsid w:val="00A35D47"/>
    <w:rsid w:val="00A371A8"/>
    <w:rsid w:val="00A40149"/>
    <w:rsid w:val="00A445DC"/>
    <w:rsid w:val="00A44BEA"/>
    <w:rsid w:val="00A47655"/>
    <w:rsid w:val="00A52D1B"/>
    <w:rsid w:val="00A556BA"/>
    <w:rsid w:val="00A569E8"/>
    <w:rsid w:val="00A66286"/>
    <w:rsid w:val="00A711C6"/>
    <w:rsid w:val="00A75A98"/>
    <w:rsid w:val="00A81327"/>
    <w:rsid w:val="00A84863"/>
    <w:rsid w:val="00A90941"/>
    <w:rsid w:val="00A95D95"/>
    <w:rsid w:val="00A977EC"/>
    <w:rsid w:val="00AA3FD1"/>
    <w:rsid w:val="00AB11B3"/>
    <w:rsid w:val="00AB2287"/>
    <w:rsid w:val="00AB5ED3"/>
    <w:rsid w:val="00AB6B0C"/>
    <w:rsid w:val="00AB70CD"/>
    <w:rsid w:val="00AC03A8"/>
    <w:rsid w:val="00AC1DFE"/>
    <w:rsid w:val="00AC4898"/>
    <w:rsid w:val="00AC48B3"/>
    <w:rsid w:val="00AC5E69"/>
    <w:rsid w:val="00AC7AC9"/>
    <w:rsid w:val="00AD433E"/>
    <w:rsid w:val="00AE1920"/>
    <w:rsid w:val="00AF01B3"/>
    <w:rsid w:val="00AF0F13"/>
    <w:rsid w:val="00AF7992"/>
    <w:rsid w:val="00B00AB3"/>
    <w:rsid w:val="00B10333"/>
    <w:rsid w:val="00B14C52"/>
    <w:rsid w:val="00B17214"/>
    <w:rsid w:val="00B200AA"/>
    <w:rsid w:val="00B20679"/>
    <w:rsid w:val="00B2759D"/>
    <w:rsid w:val="00B27FD1"/>
    <w:rsid w:val="00B3027B"/>
    <w:rsid w:val="00B30645"/>
    <w:rsid w:val="00B31390"/>
    <w:rsid w:val="00B36F24"/>
    <w:rsid w:val="00B40DAC"/>
    <w:rsid w:val="00B4390F"/>
    <w:rsid w:val="00B478C3"/>
    <w:rsid w:val="00B52715"/>
    <w:rsid w:val="00B61348"/>
    <w:rsid w:val="00B6263F"/>
    <w:rsid w:val="00B62F28"/>
    <w:rsid w:val="00B67114"/>
    <w:rsid w:val="00B70750"/>
    <w:rsid w:val="00B7532E"/>
    <w:rsid w:val="00B75449"/>
    <w:rsid w:val="00B85E97"/>
    <w:rsid w:val="00B90DD1"/>
    <w:rsid w:val="00BA1A28"/>
    <w:rsid w:val="00BA527C"/>
    <w:rsid w:val="00BB6799"/>
    <w:rsid w:val="00BB7494"/>
    <w:rsid w:val="00BC1D85"/>
    <w:rsid w:val="00BC2390"/>
    <w:rsid w:val="00BC7017"/>
    <w:rsid w:val="00BD353A"/>
    <w:rsid w:val="00BD7B84"/>
    <w:rsid w:val="00BE07A9"/>
    <w:rsid w:val="00BF46A7"/>
    <w:rsid w:val="00BF5230"/>
    <w:rsid w:val="00C03907"/>
    <w:rsid w:val="00C04660"/>
    <w:rsid w:val="00C05DA4"/>
    <w:rsid w:val="00C06F05"/>
    <w:rsid w:val="00C07C0D"/>
    <w:rsid w:val="00C1090C"/>
    <w:rsid w:val="00C12AA2"/>
    <w:rsid w:val="00C217CA"/>
    <w:rsid w:val="00C240C8"/>
    <w:rsid w:val="00C26513"/>
    <w:rsid w:val="00C272CC"/>
    <w:rsid w:val="00C31132"/>
    <w:rsid w:val="00C32204"/>
    <w:rsid w:val="00C32267"/>
    <w:rsid w:val="00C328C9"/>
    <w:rsid w:val="00C37F72"/>
    <w:rsid w:val="00C414DB"/>
    <w:rsid w:val="00C420C1"/>
    <w:rsid w:val="00C45963"/>
    <w:rsid w:val="00C472B8"/>
    <w:rsid w:val="00C5154C"/>
    <w:rsid w:val="00C51F38"/>
    <w:rsid w:val="00C53124"/>
    <w:rsid w:val="00C53B2E"/>
    <w:rsid w:val="00C54839"/>
    <w:rsid w:val="00C6160A"/>
    <w:rsid w:val="00C64041"/>
    <w:rsid w:val="00C65711"/>
    <w:rsid w:val="00C745EF"/>
    <w:rsid w:val="00C74E11"/>
    <w:rsid w:val="00C76ECD"/>
    <w:rsid w:val="00C77AD7"/>
    <w:rsid w:val="00C81857"/>
    <w:rsid w:val="00C81946"/>
    <w:rsid w:val="00C82CAF"/>
    <w:rsid w:val="00C84E04"/>
    <w:rsid w:val="00C910BE"/>
    <w:rsid w:val="00C922BE"/>
    <w:rsid w:val="00C96E06"/>
    <w:rsid w:val="00CA5844"/>
    <w:rsid w:val="00CA7415"/>
    <w:rsid w:val="00CB154E"/>
    <w:rsid w:val="00CB265C"/>
    <w:rsid w:val="00CB4540"/>
    <w:rsid w:val="00CB7A07"/>
    <w:rsid w:val="00CC15E8"/>
    <w:rsid w:val="00CC59BB"/>
    <w:rsid w:val="00CC7002"/>
    <w:rsid w:val="00CD3C99"/>
    <w:rsid w:val="00CD635D"/>
    <w:rsid w:val="00CD7CED"/>
    <w:rsid w:val="00CE04C7"/>
    <w:rsid w:val="00CF156B"/>
    <w:rsid w:val="00CF15EF"/>
    <w:rsid w:val="00CF1965"/>
    <w:rsid w:val="00CF1E02"/>
    <w:rsid w:val="00CF597A"/>
    <w:rsid w:val="00CF6D82"/>
    <w:rsid w:val="00CF735D"/>
    <w:rsid w:val="00D010CD"/>
    <w:rsid w:val="00D05BAA"/>
    <w:rsid w:val="00D12B6F"/>
    <w:rsid w:val="00D13B7A"/>
    <w:rsid w:val="00D164CC"/>
    <w:rsid w:val="00D22BAD"/>
    <w:rsid w:val="00D22C4B"/>
    <w:rsid w:val="00D230C7"/>
    <w:rsid w:val="00D23E7D"/>
    <w:rsid w:val="00D2405F"/>
    <w:rsid w:val="00D309EC"/>
    <w:rsid w:val="00D30C7F"/>
    <w:rsid w:val="00D41BA9"/>
    <w:rsid w:val="00D52376"/>
    <w:rsid w:val="00D6070B"/>
    <w:rsid w:val="00D612C2"/>
    <w:rsid w:val="00D65430"/>
    <w:rsid w:val="00D745E0"/>
    <w:rsid w:val="00D76AA3"/>
    <w:rsid w:val="00D80604"/>
    <w:rsid w:val="00D80C8E"/>
    <w:rsid w:val="00D8472F"/>
    <w:rsid w:val="00D91928"/>
    <w:rsid w:val="00D91EDE"/>
    <w:rsid w:val="00DA086B"/>
    <w:rsid w:val="00DA1D7A"/>
    <w:rsid w:val="00DA3462"/>
    <w:rsid w:val="00DA6834"/>
    <w:rsid w:val="00DA77D8"/>
    <w:rsid w:val="00DA7C32"/>
    <w:rsid w:val="00DA7E05"/>
    <w:rsid w:val="00DB4794"/>
    <w:rsid w:val="00DB4B89"/>
    <w:rsid w:val="00DB5C3E"/>
    <w:rsid w:val="00DB628E"/>
    <w:rsid w:val="00DC40FE"/>
    <w:rsid w:val="00DC7755"/>
    <w:rsid w:val="00DD014D"/>
    <w:rsid w:val="00DD122D"/>
    <w:rsid w:val="00DD310D"/>
    <w:rsid w:val="00DE1E39"/>
    <w:rsid w:val="00DE450D"/>
    <w:rsid w:val="00DE647B"/>
    <w:rsid w:val="00DF47D6"/>
    <w:rsid w:val="00DF5425"/>
    <w:rsid w:val="00DF782C"/>
    <w:rsid w:val="00E00C5A"/>
    <w:rsid w:val="00E02619"/>
    <w:rsid w:val="00E030A0"/>
    <w:rsid w:val="00E0425A"/>
    <w:rsid w:val="00E06585"/>
    <w:rsid w:val="00E075A1"/>
    <w:rsid w:val="00E124E3"/>
    <w:rsid w:val="00E14812"/>
    <w:rsid w:val="00E15DDE"/>
    <w:rsid w:val="00E20AFA"/>
    <w:rsid w:val="00E2199B"/>
    <w:rsid w:val="00E2339E"/>
    <w:rsid w:val="00E24B56"/>
    <w:rsid w:val="00E3245B"/>
    <w:rsid w:val="00E32DCD"/>
    <w:rsid w:val="00E3707B"/>
    <w:rsid w:val="00E430FE"/>
    <w:rsid w:val="00E44052"/>
    <w:rsid w:val="00E45282"/>
    <w:rsid w:val="00E45E70"/>
    <w:rsid w:val="00E46D01"/>
    <w:rsid w:val="00E50685"/>
    <w:rsid w:val="00E53CA4"/>
    <w:rsid w:val="00E57F6B"/>
    <w:rsid w:val="00E61A86"/>
    <w:rsid w:val="00E6554D"/>
    <w:rsid w:val="00E7342C"/>
    <w:rsid w:val="00E76363"/>
    <w:rsid w:val="00E8269A"/>
    <w:rsid w:val="00E83F74"/>
    <w:rsid w:val="00E91D81"/>
    <w:rsid w:val="00E92BC2"/>
    <w:rsid w:val="00E94426"/>
    <w:rsid w:val="00E944D8"/>
    <w:rsid w:val="00EA010E"/>
    <w:rsid w:val="00EB1E33"/>
    <w:rsid w:val="00EC0881"/>
    <w:rsid w:val="00EC2B4D"/>
    <w:rsid w:val="00EC42C5"/>
    <w:rsid w:val="00EC4D1E"/>
    <w:rsid w:val="00EC78B3"/>
    <w:rsid w:val="00EC7955"/>
    <w:rsid w:val="00EE062D"/>
    <w:rsid w:val="00EF0615"/>
    <w:rsid w:val="00EF1B2D"/>
    <w:rsid w:val="00F16313"/>
    <w:rsid w:val="00F20B73"/>
    <w:rsid w:val="00F20FF1"/>
    <w:rsid w:val="00F21B91"/>
    <w:rsid w:val="00F24157"/>
    <w:rsid w:val="00F35457"/>
    <w:rsid w:val="00F3595B"/>
    <w:rsid w:val="00F36D58"/>
    <w:rsid w:val="00F40533"/>
    <w:rsid w:val="00F426A6"/>
    <w:rsid w:val="00F429FD"/>
    <w:rsid w:val="00F4537F"/>
    <w:rsid w:val="00F4623C"/>
    <w:rsid w:val="00F46E44"/>
    <w:rsid w:val="00F53857"/>
    <w:rsid w:val="00F56399"/>
    <w:rsid w:val="00F6095B"/>
    <w:rsid w:val="00F61C86"/>
    <w:rsid w:val="00F62781"/>
    <w:rsid w:val="00F63223"/>
    <w:rsid w:val="00F70C68"/>
    <w:rsid w:val="00F726DD"/>
    <w:rsid w:val="00F7750A"/>
    <w:rsid w:val="00F80006"/>
    <w:rsid w:val="00F80084"/>
    <w:rsid w:val="00F92554"/>
    <w:rsid w:val="00F95676"/>
    <w:rsid w:val="00FA5C8C"/>
    <w:rsid w:val="00FB1B2D"/>
    <w:rsid w:val="00FB2FE0"/>
    <w:rsid w:val="00FB768E"/>
    <w:rsid w:val="00FD159B"/>
    <w:rsid w:val="00FD2470"/>
    <w:rsid w:val="00FD5823"/>
    <w:rsid w:val="00FE1C27"/>
    <w:rsid w:val="00FE1FC6"/>
    <w:rsid w:val="00FE2214"/>
    <w:rsid w:val="00FE5C31"/>
    <w:rsid w:val="00FF01B8"/>
    <w:rsid w:val="00FF090F"/>
    <w:rsid w:val="00FF1B0E"/>
    <w:rsid w:val="00FF20D2"/>
    <w:rsid w:val="00FF51AD"/>
    <w:rsid w:val="00FF748B"/>
    <w:rsid w:val="00FF75F5"/>
    <w:rsid w:val="01455E20"/>
    <w:rsid w:val="014C4DA3"/>
    <w:rsid w:val="014E7DF8"/>
    <w:rsid w:val="019B1D8E"/>
    <w:rsid w:val="01A3054D"/>
    <w:rsid w:val="01B04A57"/>
    <w:rsid w:val="01BF2E53"/>
    <w:rsid w:val="01C322B5"/>
    <w:rsid w:val="01E701BD"/>
    <w:rsid w:val="02225B04"/>
    <w:rsid w:val="02287B47"/>
    <w:rsid w:val="02581D9E"/>
    <w:rsid w:val="02876218"/>
    <w:rsid w:val="02B34A0E"/>
    <w:rsid w:val="02B90617"/>
    <w:rsid w:val="02F1210D"/>
    <w:rsid w:val="0305720D"/>
    <w:rsid w:val="030F7D7F"/>
    <w:rsid w:val="03167942"/>
    <w:rsid w:val="031A3CA3"/>
    <w:rsid w:val="034507C1"/>
    <w:rsid w:val="034F5342"/>
    <w:rsid w:val="03871AC5"/>
    <w:rsid w:val="038A743F"/>
    <w:rsid w:val="039A72E3"/>
    <w:rsid w:val="039C1972"/>
    <w:rsid w:val="03A21BA4"/>
    <w:rsid w:val="03A42709"/>
    <w:rsid w:val="03B5765B"/>
    <w:rsid w:val="03B81994"/>
    <w:rsid w:val="03C615F6"/>
    <w:rsid w:val="03CA0EF7"/>
    <w:rsid w:val="03D0064C"/>
    <w:rsid w:val="03D8403F"/>
    <w:rsid w:val="03EC0A7C"/>
    <w:rsid w:val="04137E9D"/>
    <w:rsid w:val="04174E69"/>
    <w:rsid w:val="042579AF"/>
    <w:rsid w:val="043F5336"/>
    <w:rsid w:val="044F56CA"/>
    <w:rsid w:val="047C0CFB"/>
    <w:rsid w:val="04875678"/>
    <w:rsid w:val="0489289F"/>
    <w:rsid w:val="049D7D30"/>
    <w:rsid w:val="04E25073"/>
    <w:rsid w:val="04EA0E44"/>
    <w:rsid w:val="04F762AA"/>
    <w:rsid w:val="050B604F"/>
    <w:rsid w:val="050F2F93"/>
    <w:rsid w:val="0516417A"/>
    <w:rsid w:val="051831FE"/>
    <w:rsid w:val="0532395C"/>
    <w:rsid w:val="05512DC5"/>
    <w:rsid w:val="05557879"/>
    <w:rsid w:val="056E0815"/>
    <w:rsid w:val="05985A19"/>
    <w:rsid w:val="05B53165"/>
    <w:rsid w:val="05C61D4F"/>
    <w:rsid w:val="05F116DB"/>
    <w:rsid w:val="06271033"/>
    <w:rsid w:val="06B01218"/>
    <w:rsid w:val="06BD234C"/>
    <w:rsid w:val="06EE4DCE"/>
    <w:rsid w:val="06F71488"/>
    <w:rsid w:val="07153728"/>
    <w:rsid w:val="07241961"/>
    <w:rsid w:val="07562B52"/>
    <w:rsid w:val="07623F28"/>
    <w:rsid w:val="076B1B05"/>
    <w:rsid w:val="07A6721E"/>
    <w:rsid w:val="07B166D3"/>
    <w:rsid w:val="07EC5B6A"/>
    <w:rsid w:val="07F50040"/>
    <w:rsid w:val="08406A72"/>
    <w:rsid w:val="084728DB"/>
    <w:rsid w:val="08732797"/>
    <w:rsid w:val="088A671F"/>
    <w:rsid w:val="08A837EF"/>
    <w:rsid w:val="08C94732"/>
    <w:rsid w:val="08D67B5E"/>
    <w:rsid w:val="08E04FFA"/>
    <w:rsid w:val="09057BD3"/>
    <w:rsid w:val="09310326"/>
    <w:rsid w:val="09440A55"/>
    <w:rsid w:val="094610EE"/>
    <w:rsid w:val="094F5CA6"/>
    <w:rsid w:val="09757A77"/>
    <w:rsid w:val="097C7DBF"/>
    <w:rsid w:val="098777E1"/>
    <w:rsid w:val="099F0025"/>
    <w:rsid w:val="09B337F1"/>
    <w:rsid w:val="09BC63DC"/>
    <w:rsid w:val="0A03399A"/>
    <w:rsid w:val="0A19654F"/>
    <w:rsid w:val="0A374837"/>
    <w:rsid w:val="0A5707DA"/>
    <w:rsid w:val="0A663C52"/>
    <w:rsid w:val="0A791E7B"/>
    <w:rsid w:val="0AB726E1"/>
    <w:rsid w:val="0B061A6D"/>
    <w:rsid w:val="0B213DEB"/>
    <w:rsid w:val="0B3311B7"/>
    <w:rsid w:val="0B373CEC"/>
    <w:rsid w:val="0B417F5D"/>
    <w:rsid w:val="0B495343"/>
    <w:rsid w:val="0B551684"/>
    <w:rsid w:val="0B666AB6"/>
    <w:rsid w:val="0B691BA4"/>
    <w:rsid w:val="0B6A69A5"/>
    <w:rsid w:val="0BC57FCB"/>
    <w:rsid w:val="0BE701E1"/>
    <w:rsid w:val="0C16425B"/>
    <w:rsid w:val="0C6A432F"/>
    <w:rsid w:val="0C6C2EBA"/>
    <w:rsid w:val="0C906B10"/>
    <w:rsid w:val="0CC82832"/>
    <w:rsid w:val="0CD55ADD"/>
    <w:rsid w:val="0D161224"/>
    <w:rsid w:val="0D283103"/>
    <w:rsid w:val="0D372842"/>
    <w:rsid w:val="0D5D2CCB"/>
    <w:rsid w:val="0D946CC6"/>
    <w:rsid w:val="0D974529"/>
    <w:rsid w:val="0DA008CB"/>
    <w:rsid w:val="0DA10CEA"/>
    <w:rsid w:val="0DB70202"/>
    <w:rsid w:val="0DC56131"/>
    <w:rsid w:val="0DC92267"/>
    <w:rsid w:val="0DE2187D"/>
    <w:rsid w:val="0DE71D57"/>
    <w:rsid w:val="0E1D1547"/>
    <w:rsid w:val="0E3779F6"/>
    <w:rsid w:val="0E475264"/>
    <w:rsid w:val="0E573B33"/>
    <w:rsid w:val="0E577081"/>
    <w:rsid w:val="0E593CC0"/>
    <w:rsid w:val="0E7961B8"/>
    <w:rsid w:val="0E91758D"/>
    <w:rsid w:val="0E9E5AED"/>
    <w:rsid w:val="0EA37190"/>
    <w:rsid w:val="0EAF3145"/>
    <w:rsid w:val="0ED4767E"/>
    <w:rsid w:val="0ED6799B"/>
    <w:rsid w:val="0ED743AF"/>
    <w:rsid w:val="0EE61168"/>
    <w:rsid w:val="0EEB406A"/>
    <w:rsid w:val="0F38503B"/>
    <w:rsid w:val="0F450BD5"/>
    <w:rsid w:val="0F4F1617"/>
    <w:rsid w:val="0F5C22C8"/>
    <w:rsid w:val="0F7F7388"/>
    <w:rsid w:val="0F916077"/>
    <w:rsid w:val="0FDD12D7"/>
    <w:rsid w:val="0FF84F97"/>
    <w:rsid w:val="10085014"/>
    <w:rsid w:val="104F087B"/>
    <w:rsid w:val="106A0646"/>
    <w:rsid w:val="107234F8"/>
    <w:rsid w:val="108B0F37"/>
    <w:rsid w:val="10AD7AFF"/>
    <w:rsid w:val="10B7353B"/>
    <w:rsid w:val="10B83333"/>
    <w:rsid w:val="10D44D14"/>
    <w:rsid w:val="10E31CE6"/>
    <w:rsid w:val="11492446"/>
    <w:rsid w:val="114C4C6F"/>
    <w:rsid w:val="116726A5"/>
    <w:rsid w:val="117326DD"/>
    <w:rsid w:val="117C0CD5"/>
    <w:rsid w:val="118247F2"/>
    <w:rsid w:val="11836716"/>
    <w:rsid w:val="11DB2CE1"/>
    <w:rsid w:val="120A1E83"/>
    <w:rsid w:val="12246E1E"/>
    <w:rsid w:val="125B69CE"/>
    <w:rsid w:val="126B47CF"/>
    <w:rsid w:val="12740CA6"/>
    <w:rsid w:val="1289484C"/>
    <w:rsid w:val="12AA2E04"/>
    <w:rsid w:val="12DB0FFA"/>
    <w:rsid w:val="12EA29CC"/>
    <w:rsid w:val="13324AEF"/>
    <w:rsid w:val="1387529A"/>
    <w:rsid w:val="13956339"/>
    <w:rsid w:val="13B14F39"/>
    <w:rsid w:val="13C845DB"/>
    <w:rsid w:val="13D57099"/>
    <w:rsid w:val="13F9419C"/>
    <w:rsid w:val="13FD56D7"/>
    <w:rsid w:val="14702F2B"/>
    <w:rsid w:val="14794131"/>
    <w:rsid w:val="147A5E14"/>
    <w:rsid w:val="14842FDA"/>
    <w:rsid w:val="14870DFA"/>
    <w:rsid w:val="149462C0"/>
    <w:rsid w:val="15064EC5"/>
    <w:rsid w:val="150E404C"/>
    <w:rsid w:val="151F5055"/>
    <w:rsid w:val="155C67F3"/>
    <w:rsid w:val="159D17DF"/>
    <w:rsid w:val="15F31439"/>
    <w:rsid w:val="16193175"/>
    <w:rsid w:val="161F2390"/>
    <w:rsid w:val="163B2C9D"/>
    <w:rsid w:val="16622B36"/>
    <w:rsid w:val="169F3504"/>
    <w:rsid w:val="16A01F5E"/>
    <w:rsid w:val="16A67FBD"/>
    <w:rsid w:val="16C62C14"/>
    <w:rsid w:val="16CB3FD0"/>
    <w:rsid w:val="16D2686D"/>
    <w:rsid w:val="17010C23"/>
    <w:rsid w:val="170D257A"/>
    <w:rsid w:val="1720351D"/>
    <w:rsid w:val="17486B2E"/>
    <w:rsid w:val="177041E6"/>
    <w:rsid w:val="17886391"/>
    <w:rsid w:val="17946CC0"/>
    <w:rsid w:val="17A758DD"/>
    <w:rsid w:val="17BF5BF1"/>
    <w:rsid w:val="17E16C5F"/>
    <w:rsid w:val="1809683F"/>
    <w:rsid w:val="18253EF7"/>
    <w:rsid w:val="18257925"/>
    <w:rsid w:val="18267E2A"/>
    <w:rsid w:val="1839695A"/>
    <w:rsid w:val="186C1987"/>
    <w:rsid w:val="18755061"/>
    <w:rsid w:val="18D379C9"/>
    <w:rsid w:val="18ED7A84"/>
    <w:rsid w:val="190B27C1"/>
    <w:rsid w:val="192369B5"/>
    <w:rsid w:val="192D0D66"/>
    <w:rsid w:val="193D6ED5"/>
    <w:rsid w:val="194F17D4"/>
    <w:rsid w:val="19802EBF"/>
    <w:rsid w:val="198D0053"/>
    <w:rsid w:val="1998322A"/>
    <w:rsid w:val="19A8796C"/>
    <w:rsid w:val="19F13D8A"/>
    <w:rsid w:val="19F57AA3"/>
    <w:rsid w:val="1A0122F1"/>
    <w:rsid w:val="1A2024D1"/>
    <w:rsid w:val="1A352FE5"/>
    <w:rsid w:val="1A947CA7"/>
    <w:rsid w:val="1AA1066B"/>
    <w:rsid w:val="1AA7500A"/>
    <w:rsid w:val="1AB739A1"/>
    <w:rsid w:val="1B396C6F"/>
    <w:rsid w:val="1B486183"/>
    <w:rsid w:val="1B6548E5"/>
    <w:rsid w:val="1B742B04"/>
    <w:rsid w:val="1B885A2E"/>
    <w:rsid w:val="1BC66C13"/>
    <w:rsid w:val="1BD62C71"/>
    <w:rsid w:val="1BE07CE7"/>
    <w:rsid w:val="1C010C92"/>
    <w:rsid w:val="1C174A97"/>
    <w:rsid w:val="1C3367A0"/>
    <w:rsid w:val="1C363CF1"/>
    <w:rsid w:val="1C4C181D"/>
    <w:rsid w:val="1C8B2B42"/>
    <w:rsid w:val="1C9F51F1"/>
    <w:rsid w:val="1CA31C73"/>
    <w:rsid w:val="1CC64A12"/>
    <w:rsid w:val="1CCD16BF"/>
    <w:rsid w:val="1CE36466"/>
    <w:rsid w:val="1D0B230E"/>
    <w:rsid w:val="1D1330CB"/>
    <w:rsid w:val="1D3A1AFC"/>
    <w:rsid w:val="1D5063F2"/>
    <w:rsid w:val="1D540CAD"/>
    <w:rsid w:val="1D577421"/>
    <w:rsid w:val="1D5D57EA"/>
    <w:rsid w:val="1D6751C7"/>
    <w:rsid w:val="1DA028D8"/>
    <w:rsid w:val="1DA27A9C"/>
    <w:rsid w:val="1DE54C96"/>
    <w:rsid w:val="1DF516A5"/>
    <w:rsid w:val="1E1C30DF"/>
    <w:rsid w:val="1E2102B5"/>
    <w:rsid w:val="1E210477"/>
    <w:rsid w:val="1E7F5581"/>
    <w:rsid w:val="1EA60E6C"/>
    <w:rsid w:val="1EA672B9"/>
    <w:rsid w:val="1EE850F8"/>
    <w:rsid w:val="1EF205B6"/>
    <w:rsid w:val="1EFD5594"/>
    <w:rsid w:val="1F153868"/>
    <w:rsid w:val="1F160956"/>
    <w:rsid w:val="1F1E305A"/>
    <w:rsid w:val="1F7D1BAF"/>
    <w:rsid w:val="1F9B67B9"/>
    <w:rsid w:val="1FB166CE"/>
    <w:rsid w:val="1FB40A91"/>
    <w:rsid w:val="1FC01594"/>
    <w:rsid w:val="1FF44AED"/>
    <w:rsid w:val="201025F6"/>
    <w:rsid w:val="201A0C1F"/>
    <w:rsid w:val="202767D5"/>
    <w:rsid w:val="20373DF4"/>
    <w:rsid w:val="204154C8"/>
    <w:rsid w:val="20693B1B"/>
    <w:rsid w:val="207E2328"/>
    <w:rsid w:val="20890FCD"/>
    <w:rsid w:val="20A35B12"/>
    <w:rsid w:val="20E0368A"/>
    <w:rsid w:val="20FB77A3"/>
    <w:rsid w:val="211B776F"/>
    <w:rsid w:val="21495E2C"/>
    <w:rsid w:val="214D17CE"/>
    <w:rsid w:val="21595114"/>
    <w:rsid w:val="216A1240"/>
    <w:rsid w:val="21A05CE5"/>
    <w:rsid w:val="21B63DE8"/>
    <w:rsid w:val="21C24D24"/>
    <w:rsid w:val="21D75ECA"/>
    <w:rsid w:val="21DC77E4"/>
    <w:rsid w:val="21F9084D"/>
    <w:rsid w:val="22033DEA"/>
    <w:rsid w:val="221A7073"/>
    <w:rsid w:val="221E7F4E"/>
    <w:rsid w:val="223E4185"/>
    <w:rsid w:val="224F1BA5"/>
    <w:rsid w:val="22504FC5"/>
    <w:rsid w:val="22506A94"/>
    <w:rsid w:val="227E4AA4"/>
    <w:rsid w:val="228571EF"/>
    <w:rsid w:val="22B029F6"/>
    <w:rsid w:val="22D149C9"/>
    <w:rsid w:val="22D550CE"/>
    <w:rsid w:val="22DE4BDC"/>
    <w:rsid w:val="22ED0E42"/>
    <w:rsid w:val="23070089"/>
    <w:rsid w:val="231D6F5D"/>
    <w:rsid w:val="23441E25"/>
    <w:rsid w:val="23621D50"/>
    <w:rsid w:val="236C2036"/>
    <w:rsid w:val="23AB2692"/>
    <w:rsid w:val="23AF01A9"/>
    <w:rsid w:val="23BA21CB"/>
    <w:rsid w:val="23C50EE9"/>
    <w:rsid w:val="23D07270"/>
    <w:rsid w:val="23DF28B6"/>
    <w:rsid w:val="23EE24A7"/>
    <w:rsid w:val="240E64CA"/>
    <w:rsid w:val="24265291"/>
    <w:rsid w:val="24521655"/>
    <w:rsid w:val="24663B7A"/>
    <w:rsid w:val="246B7B9C"/>
    <w:rsid w:val="249021A2"/>
    <w:rsid w:val="249B034B"/>
    <w:rsid w:val="24AB3D61"/>
    <w:rsid w:val="24AD421C"/>
    <w:rsid w:val="24CA59BE"/>
    <w:rsid w:val="24CF2207"/>
    <w:rsid w:val="24F26053"/>
    <w:rsid w:val="251C6570"/>
    <w:rsid w:val="2535116B"/>
    <w:rsid w:val="25493224"/>
    <w:rsid w:val="255B11AF"/>
    <w:rsid w:val="25724CDC"/>
    <w:rsid w:val="257E575E"/>
    <w:rsid w:val="2588441E"/>
    <w:rsid w:val="25CC56F8"/>
    <w:rsid w:val="25D043AE"/>
    <w:rsid w:val="25D21A0E"/>
    <w:rsid w:val="25EB238A"/>
    <w:rsid w:val="2619292C"/>
    <w:rsid w:val="263730AC"/>
    <w:rsid w:val="26407DEA"/>
    <w:rsid w:val="266F314A"/>
    <w:rsid w:val="267A1965"/>
    <w:rsid w:val="268B66D1"/>
    <w:rsid w:val="26981A99"/>
    <w:rsid w:val="2698751C"/>
    <w:rsid w:val="26AA5CFF"/>
    <w:rsid w:val="26DE5AC6"/>
    <w:rsid w:val="276444B3"/>
    <w:rsid w:val="27687B0B"/>
    <w:rsid w:val="27805AE0"/>
    <w:rsid w:val="27972652"/>
    <w:rsid w:val="27B2387F"/>
    <w:rsid w:val="27E86D24"/>
    <w:rsid w:val="27F91AF3"/>
    <w:rsid w:val="286B1C01"/>
    <w:rsid w:val="28793224"/>
    <w:rsid w:val="288777FA"/>
    <w:rsid w:val="289A5D88"/>
    <w:rsid w:val="28AF7278"/>
    <w:rsid w:val="28BB4FD8"/>
    <w:rsid w:val="28DF3340"/>
    <w:rsid w:val="290766AA"/>
    <w:rsid w:val="2930419F"/>
    <w:rsid w:val="29371E75"/>
    <w:rsid w:val="295A33D5"/>
    <w:rsid w:val="296332A4"/>
    <w:rsid w:val="29940694"/>
    <w:rsid w:val="29CE5AA6"/>
    <w:rsid w:val="29E56F74"/>
    <w:rsid w:val="2A0456B5"/>
    <w:rsid w:val="2A4335DA"/>
    <w:rsid w:val="2A513AAE"/>
    <w:rsid w:val="2A683319"/>
    <w:rsid w:val="2A835621"/>
    <w:rsid w:val="2A905E6D"/>
    <w:rsid w:val="2A97543B"/>
    <w:rsid w:val="2A9D2FDA"/>
    <w:rsid w:val="2AA0303E"/>
    <w:rsid w:val="2AA75FB7"/>
    <w:rsid w:val="2AAA54AF"/>
    <w:rsid w:val="2AF8546F"/>
    <w:rsid w:val="2AFB21F0"/>
    <w:rsid w:val="2B041B39"/>
    <w:rsid w:val="2B0D691B"/>
    <w:rsid w:val="2B582302"/>
    <w:rsid w:val="2B630403"/>
    <w:rsid w:val="2B6867F0"/>
    <w:rsid w:val="2B986F27"/>
    <w:rsid w:val="2BA5018F"/>
    <w:rsid w:val="2BA70D64"/>
    <w:rsid w:val="2BD251DB"/>
    <w:rsid w:val="2BDA7274"/>
    <w:rsid w:val="2BE31B76"/>
    <w:rsid w:val="2BF003C3"/>
    <w:rsid w:val="2C0726E5"/>
    <w:rsid w:val="2C0F13A8"/>
    <w:rsid w:val="2C9D07D4"/>
    <w:rsid w:val="2C9F57ED"/>
    <w:rsid w:val="2CA46733"/>
    <w:rsid w:val="2CA61B4E"/>
    <w:rsid w:val="2CB059DD"/>
    <w:rsid w:val="2CBB615C"/>
    <w:rsid w:val="2CDF267C"/>
    <w:rsid w:val="2CE67F55"/>
    <w:rsid w:val="2D08671B"/>
    <w:rsid w:val="2D2A5034"/>
    <w:rsid w:val="2D94222E"/>
    <w:rsid w:val="2DA44757"/>
    <w:rsid w:val="2DAA3EEC"/>
    <w:rsid w:val="2E00003A"/>
    <w:rsid w:val="2E1A73D4"/>
    <w:rsid w:val="2E4E06DD"/>
    <w:rsid w:val="2EEE712A"/>
    <w:rsid w:val="2EF2592A"/>
    <w:rsid w:val="2F1705E4"/>
    <w:rsid w:val="2F230E74"/>
    <w:rsid w:val="2F236894"/>
    <w:rsid w:val="2F3446C5"/>
    <w:rsid w:val="2F802FFC"/>
    <w:rsid w:val="2F8A56AC"/>
    <w:rsid w:val="2F8C72FD"/>
    <w:rsid w:val="2F8D527B"/>
    <w:rsid w:val="2F9C2C97"/>
    <w:rsid w:val="2FA76720"/>
    <w:rsid w:val="2FBE615D"/>
    <w:rsid w:val="2FD654F5"/>
    <w:rsid w:val="300D4E4E"/>
    <w:rsid w:val="302128C0"/>
    <w:rsid w:val="303117F9"/>
    <w:rsid w:val="30634FA4"/>
    <w:rsid w:val="309F600A"/>
    <w:rsid w:val="30B23390"/>
    <w:rsid w:val="30D737A5"/>
    <w:rsid w:val="310D21FF"/>
    <w:rsid w:val="312D32BA"/>
    <w:rsid w:val="3137365B"/>
    <w:rsid w:val="318B24CE"/>
    <w:rsid w:val="31A41FD2"/>
    <w:rsid w:val="31A804E0"/>
    <w:rsid w:val="31C90822"/>
    <w:rsid w:val="31F63741"/>
    <w:rsid w:val="320150B0"/>
    <w:rsid w:val="320230AF"/>
    <w:rsid w:val="321C4D43"/>
    <w:rsid w:val="32501E57"/>
    <w:rsid w:val="3256389A"/>
    <w:rsid w:val="325A6198"/>
    <w:rsid w:val="325C256C"/>
    <w:rsid w:val="32677565"/>
    <w:rsid w:val="32706E5E"/>
    <w:rsid w:val="32797223"/>
    <w:rsid w:val="327E5510"/>
    <w:rsid w:val="32814284"/>
    <w:rsid w:val="32B57576"/>
    <w:rsid w:val="32C47E1A"/>
    <w:rsid w:val="32DF28E0"/>
    <w:rsid w:val="32F41F9B"/>
    <w:rsid w:val="330214F8"/>
    <w:rsid w:val="331222E4"/>
    <w:rsid w:val="332B556A"/>
    <w:rsid w:val="335677E3"/>
    <w:rsid w:val="3363457A"/>
    <w:rsid w:val="33827C15"/>
    <w:rsid w:val="338B1842"/>
    <w:rsid w:val="33932B19"/>
    <w:rsid w:val="33A82AE9"/>
    <w:rsid w:val="33DD748D"/>
    <w:rsid w:val="34055197"/>
    <w:rsid w:val="34104957"/>
    <w:rsid w:val="341D3686"/>
    <w:rsid w:val="343F350B"/>
    <w:rsid w:val="34811952"/>
    <w:rsid w:val="34955515"/>
    <w:rsid w:val="34A831FA"/>
    <w:rsid w:val="34C10051"/>
    <w:rsid w:val="34EE4B33"/>
    <w:rsid w:val="350A5A84"/>
    <w:rsid w:val="353101FF"/>
    <w:rsid w:val="353E1D9C"/>
    <w:rsid w:val="35610F49"/>
    <w:rsid w:val="35866538"/>
    <w:rsid w:val="35C84D03"/>
    <w:rsid w:val="35EC1B82"/>
    <w:rsid w:val="361876C1"/>
    <w:rsid w:val="36212589"/>
    <w:rsid w:val="36D80A21"/>
    <w:rsid w:val="36F4391C"/>
    <w:rsid w:val="36FC4A46"/>
    <w:rsid w:val="37415EED"/>
    <w:rsid w:val="377B4C56"/>
    <w:rsid w:val="378A47B4"/>
    <w:rsid w:val="37923C2C"/>
    <w:rsid w:val="37B1770F"/>
    <w:rsid w:val="37CE6BA6"/>
    <w:rsid w:val="380B213D"/>
    <w:rsid w:val="38350DA6"/>
    <w:rsid w:val="383919EF"/>
    <w:rsid w:val="385D6CE2"/>
    <w:rsid w:val="3862667F"/>
    <w:rsid w:val="38695C08"/>
    <w:rsid w:val="388070CB"/>
    <w:rsid w:val="38906381"/>
    <w:rsid w:val="38E430BF"/>
    <w:rsid w:val="39006664"/>
    <w:rsid w:val="394F1964"/>
    <w:rsid w:val="39643545"/>
    <w:rsid w:val="396C5BC4"/>
    <w:rsid w:val="396E5FD4"/>
    <w:rsid w:val="39865A99"/>
    <w:rsid w:val="39C926A6"/>
    <w:rsid w:val="39D51F9C"/>
    <w:rsid w:val="39E65153"/>
    <w:rsid w:val="3A0F4109"/>
    <w:rsid w:val="3A245753"/>
    <w:rsid w:val="3A397859"/>
    <w:rsid w:val="3A5632C1"/>
    <w:rsid w:val="3A6B5A2C"/>
    <w:rsid w:val="3A765618"/>
    <w:rsid w:val="3A7B4041"/>
    <w:rsid w:val="3AB02BB0"/>
    <w:rsid w:val="3AD17567"/>
    <w:rsid w:val="3AE6769C"/>
    <w:rsid w:val="3AF44529"/>
    <w:rsid w:val="3B127174"/>
    <w:rsid w:val="3B3034BF"/>
    <w:rsid w:val="3B4721C9"/>
    <w:rsid w:val="3B5F1FA9"/>
    <w:rsid w:val="3B770B25"/>
    <w:rsid w:val="3B867791"/>
    <w:rsid w:val="3BDC7B05"/>
    <w:rsid w:val="3C070E9B"/>
    <w:rsid w:val="3C0D197F"/>
    <w:rsid w:val="3C0E1DAB"/>
    <w:rsid w:val="3C424BB7"/>
    <w:rsid w:val="3C4A5934"/>
    <w:rsid w:val="3C7C608A"/>
    <w:rsid w:val="3C974E20"/>
    <w:rsid w:val="3CC60566"/>
    <w:rsid w:val="3D1763BB"/>
    <w:rsid w:val="3D42259B"/>
    <w:rsid w:val="3D4C64CE"/>
    <w:rsid w:val="3D697964"/>
    <w:rsid w:val="3D7C0CDF"/>
    <w:rsid w:val="3DAD7028"/>
    <w:rsid w:val="3DC5798E"/>
    <w:rsid w:val="3DCE6570"/>
    <w:rsid w:val="3DE20031"/>
    <w:rsid w:val="3DEF6D71"/>
    <w:rsid w:val="3DF143B4"/>
    <w:rsid w:val="3E1C537D"/>
    <w:rsid w:val="3E5B5FD6"/>
    <w:rsid w:val="3E77306A"/>
    <w:rsid w:val="3EC333D5"/>
    <w:rsid w:val="3F0906AE"/>
    <w:rsid w:val="3F725BD0"/>
    <w:rsid w:val="3F7E262E"/>
    <w:rsid w:val="3FB706D4"/>
    <w:rsid w:val="3FF17E21"/>
    <w:rsid w:val="400F588F"/>
    <w:rsid w:val="401D4934"/>
    <w:rsid w:val="403640A0"/>
    <w:rsid w:val="40464259"/>
    <w:rsid w:val="404B1145"/>
    <w:rsid w:val="404F5A9E"/>
    <w:rsid w:val="40524840"/>
    <w:rsid w:val="40767B5A"/>
    <w:rsid w:val="40792372"/>
    <w:rsid w:val="40BC26A4"/>
    <w:rsid w:val="40C43912"/>
    <w:rsid w:val="40DF3372"/>
    <w:rsid w:val="41306717"/>
    <w:rsid w:val="413D4C78"/>
    <w:rsid w:val="416A5F3E"/>
    <w:rsid w:val="41A1483C"/>
    <w:rsid w:val="41A526EB"/>
    <w:rsid w:val="41F47551"/>
    <w:rsid w:val="420A4B33"/>
    <w:rsid w:val="42300205"/>
    <w:rsid w:val="42343F2F"/>
    <w:rsid w:val="423829E6"/>
    <w:rsid w:val="4250579A"/>
    <w:rsid w:val="42892F19"/>
    <w:rsid w:val="42AF4942"/>
    <w:rsid w:val="42B9250B"/>
    <w:rsid w:val="42F559B6"/>
    <w:rsid w:val="43045F97"/>
    <w:rsid w:val="430D1F81"/>
    <w:rsid w:val="432852EE"/>
    <w:rsid w:val="43402A34"/>
    <w:rsid w:val="436F0690"/>
    <w:rsid w:val="43B23807"/>
    <w:rsid w:val="43CE3D9C"/>
    <w:rsid w:val="441577C8"/>
    <w:rsid w:val="441611D2"/>
    <w:rsid w:val="44625DA9"/>
    <w:rsid w:val="44690DCB"/>
    <w:rsid w:val="44A31473"/>
    <w:rsid w:val="44EB49DE"/>
    <w:rsid w:val="44F837AC"/>
    <w:rsid w:val="45027C9F"/>
    <w:rsid w:val="4517609A"/>
    <w:rsid w:val="45195996"/>
    <w:rsid w:val="4527575F"/>
    <w:rsid w:val="453602ED"/>
    <w:rsid w:val="454B2248"/>
    <w:rsid w:val="456730A2"/>
    <w:rsid w:val="456E21B7"/>
    <w:rsid w:val="4584426D"/>
    <w:rsid w:val="459556D0"/>
    <w:rsid w:val="459D286A"/>
    <w:rsid w:val="45AB656C"/>
    <w:rsid w:val="45E11A59"/>
    <w:rsid w:val="45FE550D"/>
    <w:rsid w:val="460647DB"/>
    <w:rsid w:val="460743C1"/>
    <w:rsid w:val="46232FD9"/>
    <w:rsid w:val="464A7A26"/>
    <w:rsid w:val="468734B5"/>
    <w:rsid w:val="46AB379E"/>
    <w:rsid w:val="46F861FE"/>
    <w:rsid w:val="471971D7"/>
    <w:rsid w:val="472114B3"/>
    <w:rsid w:val="477E322A"/>
    <w:rsid w:val="47946182"/>
    <w:rsid w:val="47B85718"/>
    <w:rsid w:val="47E55806"/>
    <w:rsid w:val="47EE727A"/>
    <w:rsid w:val="48141963"/>
    <w:rsid w:val="481E3CAF"/>
    <w:rsid w:val="486852CD"/>
    <w:rsid w:val="48CC603C"/>
    <w:rsid w:val="48F2280F"/>
    <w:rsid w:val="49030132"/>
    <w:rsid w:val="49276862"/>
    <w:rsid w:val="49F82017"/>
    <w:rsid w:val="4A0F3AA8"/>
    <w:rsid w:val="4A1E7D71"/>
    <w:rsid w:val="4A345E97"/>
    <w:rsid w:val="4A6F6339"/>
    <w:rsid w:val="4AA82DC8"/>
    <w:rsid w:val="4AA94FE1"/>
    <w:rsid w:val="4AD81028"/>
    <w:rsid w:val="4AD903A6"/>
    <w:rsid w:val="4B0009A3"/>
    <w:rsid w:val="4B6242AE"/>
    <w:rsid w:val="4B757195"/>
    <w:rsid w:val="4B7B5516"/>
    <w:rsid w:val="4B93188E"/>
    <w:rsid w:val="4B97485C"/>
    <w:rsid w:val="4B9A4EF7"/>
    <w:rsid w:val="4B9A5C02"/>
    <w:rsid w:val="4BD0004D"/>
    <w:rsid w:val="4BD13BDD"/>
    <w:rsid w:val="4BD94EF1"/>
    <w:rsid w:val="4BFC3F60"/>
    <w:rsid w:val="4C211DEB"/>
    <w:rsid w:val="4C331221"/>
    <w:rsid w:val="4C7406E4"/>
    <w:rsid w:val="4CE949DD"/>
    <w:rsid w:val="4CEF5247"/>
    <w:rsid w:val="4D26389B"/>
    <w:rsid w:val="4D3C1CBC"/>
    <w:rsid w:val="4D3E1A41"/>
    <w:rsid w:val="4D561F8A"/>
    <w:rsid w:val="4D603D40"/>
    <w:rsid w:val="4DD2099B"/>
    <w:rsid w:val="4DD721AF"/>
    <w:rsid w:val="4DE21E80"/>
    <w:rsid w:val="4DE46FA3"/>
    <w:rsid w:val="4DEE6A6C"/>
    <w:rsid w:val="4DF2488B"/>
    <w:rsid w:val="4E612ADD"/>
    <w:rsid w:val="4E7A6CDD"/>
    <w:rsid w:val="4E930626"/>
    <w:rsid w:val="4E952F4C"/>
    <w:rsid w:val="4EA13833"/>
    <w:rsid w:val="4EAC0B3B"/>
    <w:rsid w:val="4ECE2BA0"/>
    <w:rsid w:val="4ED42133"/>
    <w:rsid w:val="4ED61411"/>
    <w:rsid w:val="4EE36B9A"/>
    <w:rsid w:val="4EF978AA"/>
    <w:rsid w:val="4F0F6B93"/>
    <w:rsid w:val="4F286AA0"/>
    <w:rsid w:val="4F3069AF"/>
    <w:rsid w:val="4F314167"/>
    <w:rsid w:val="4F506B8B"/>
    <w:rsid w:val="4F530479"/>
    <w:rsid w:val="4F5F0396"/>
    <w:rsid w:val="4F721DFD"/>
    <w:rsid w:val="4FB37077"/>
    <w:rsid w:val="4FB73FF2"/>
    <w:rsid w:val="4FC60E49"/>
    <w:rsid w:val="4FF97D59"/>
    <w:rsid w:val="50093106"/>
    <w:rsid w:val="501854B2"/>
    <w:rsid w:val="501D1BFB"/>
    <w:rsid w:val="503A7260"/>
    <w:rsid w:val="50444C70"/>
    <w:rsid w:val="50960912"/>
    <w:rsid w:val="50D70322"/>
    <w:rsid w:val="510257AA"/>
    <w:rsid w:val="510C3D28"/>
    <w:rsid w:val="51100483"/>
    <w:rsid w:val="51450E51"/>
    <w:rsid w:val="5145110D"/>
    <w:rsid w:val="514E0D61"/>
    <w:rsid w:val="51564780"/>
    <w:rsid w:val="515F4466"/>
    <w:rsid w:val="51694182"/>
    <w:rsid w:val="51A34E23"/>
    <w:rsid w:val="51B23955"/>
    <w:rsid w:val="51CC027B"/>
    <w:rsid w:val="51ED2772"/>
    <w:rsid w:val="51F44A1A"/>
    <w:rsid w:val="51FD102C"/>
    <w:rsid w:val="5209324E"/>
    <w:rsid w:val="52550425"/>
    <w:rsid w:val="526A01B2"/>
    <w:rsid w:val="52721214"/>
    <w:rsid w:val="528A60C1"/>
    <w:rsid w:val="52CA2BDA"/>
    <w:rsid w:val="52D92ACB"/>
    <w:rsid w:val="52ED37EA"/>
    <w:rsid w:val="52FF5060"/>
    <w:rsid w:val="5303385B"/>
    <w:rsid w:val="5317216E"/>
    <w:rsid w:val="532056A7"/>
    <w:rsid w:val="53212C9A"/>
    <w:rsid w:val="53357A5F"/>
    <w:rsid w:val="5337414A"/>
    <w:rsid w:val="535D1863"/>
    <w:rsid w:val="536D2D63"/>
    <w:rsid w:val="53715F2A"/>
    <w:rsid w:val="5378128D"/>
    <w:rsid w:val="538440C1"/>
    <w:rsid w:val="538A2FB6"/>
    <w:rsid w:val="53B474B1"/>
    <w:rsid w:val="53C24C02"/>
    <w:rsid w:val="53ED1B55"/>
    <w:rsid w:val="54125760"/>
    <w:rsid w:val="543D1E39"/>
    <w:rsid w:val="54683611"/>
    <w:rsid w:val="54760269"/>
    <w:rsid w:val="54882314"/>
    <w:rsid w:val="551D6479"/>
    <w:rsid w:val="553936C7"/>
    <w:rsid w:val="55503D0D"/>
    <w:rsid w:val="55505D8E"/>
    <w:rsid w:val="55605B44"/>
    <w:rsid w:val="55A21A47"/>
    <w:rsid w:val="55C47FB0"/>
    <w:rsid w:val="55D37A00"/>
    <w:rsid w:val="55DD07E4"/>
    <w:rsid w:val="55DE5FF1"/>
    <w:rsid w:val="56051FA0"/>
    <w:rsid w:val="561A2B34"/>
    <w:rsid w:val="563542EF"/>
    <w:rsid w:val="56445C52"/>
    <w:rsid w:val="565E4A22"/>
    <w:rsid w:val="568A4405"/>
    <w:rsid w:val="572509FE"/>
    <w:rsid w:val="573158F2"/>
    <w:rsid w:val="575874B0"/>
    <w:rsid w:val="57AF75B5"/>
    <w:rsid w:val="57B02894"/>
    <w:rsid w:val="57B21C5E"/>
    <w:rsid w:val="57C45A30"/>
    <w:rsid w:val="57CF2865"/>
    <w:rsid w:val="57D07A83"/>
    <w:rsid w:val="5804183D"/>
    <w:rsid w:val="58125F6B"/>
    <w:rsid w:val="5895790E"/>
    <w:rsid w:val="589C5AA0"/>
    <w:rsid w:val="58AF40BA"/>
    <w:rsid w:val="58CB5D36"/>
    <w:rsid w:val="58F41E00"/>
    <w:rsid w:val="5904547E"/>
    <w:rsid w:val="5912044E"/>
    <w:rsid w:val="59155290"/>
    <w:rsid w:val="59243F1A"/>
    <w:rsid w:val="593103D1"/>
    <w:rsid w:val="594A3113"/>
    <w:rsid w:val="59822285"/>
    <w:rsid w:val="598B35A4"/>
    <w:rsid w:val="59956797"/>
    <w:rsid w:val="59B17869"/>
    <w:rsid w:val="59BF6350"/>
    <w:rsid w:val="59C81634"/>
    <w:rsid w:val="59C91512"/>
    <w:rsid w:val="59F16A7E"/>
    <w:rsid w:val="5A081B16"/>
    <w:rsid w:val="5A16720F"/>
    <w:rsid w:val="5A6E1991"/>
    <w:rsid w:val="5A765E4D"/>
    <w:rsid w:val="5A9E1A64"/>
    <w:rsid w:val="5B004D3B"/>
    <w:rsid w:val="5B046E23"/>
    <w:rsid w:val="5B52442B"/>
    <w:rsid w:val="5B5624AD"/>
    <w:rsid w:val="5B5C75B8"/>
    <w:rsid w:val="5B9B486D"/>
    <w:rsid w:val="5BA81A1E"/>
    <w:rsid w:val="5BAA082F"/>
    <w:rsid w:val="5BB456CF"/>
    <w:rsid w:val="5BC56CDB"/>
    <w:rsid w:val="5BD277FC"/>
    <w:rsid w:val="5C1A571F"/>
    <w:rsid w:val="5C642A6C"/>
    <w:rsid w:val="5C8D0F8F"/>
    <w:rsid w:val="5C93375D"/>
    <w:rsid w:val="5C9F7AE0"/>
    <w:rsid w:val="5CC54337"/>
    <w:rsid w:val="5CF6096E"/>
    <w:rsid w:val="5D2F0DE4"/>
    <w:rsid w:val="5DD73F4E"/>
    <w:rsid w:val="5DFF328D"/>
    <w:rsid w:val="5E361221"/>
    <w:rsid w:val="5E4329A9"/>
    <w:rsid w:val="5E4979C9"/>
    <w:rsid w:val="5E574CCE"/>
    <w:rsid w:val="5E5D7575"/>
    <w:rsid w:val="5EB961D7"/>
    <w:rsid w:val="5EBC570F"/>
    <w:rsid w:val="5EDF2124"/>
    <w:rsid w:val="5F122C6D"/>
    <w:rsid w:val="5F2913A4"/>
    <w:rsid w:val="5F2A1FBD"/>
    <w:rsid w:val="5F372A2B"/>
    <w:rsid w:val="5F4B049B"/>
    <w:rsid w:val="5F8D332E"/>
    <w:rsid w:val="5F9D6D47"/>
    <w:rsid w:val="5FBE113F"/>
    <w:rsid w:val="5FE0591A"/>
    <w:rsid w:val="5FEA65BE"/>
    <w:rsid w:val="5FEE27D6"/>
    <w:rsid w:val="601C6014"/>
    <w:rsid w:val="602E031A"/>
    <w:rsid w:val="60315C67"/>
    <w:rsid w:val="60370042"/>
    <w:rsid w:val="603D79F0"/>
    <w:rsid w:val="60525262"/>
    <w:rsid w:val="6092717B"/>
    <w:rsid w:val="60A645BF"/>
    <w:rsid w:val="60D157CD"/>
    <w:rsid w:val="611D0634"/>
    <w:rsid w:val="614B41FA"/>
    <w:rsid w:val="615C0E12"/>
    <w:rsid w:val="61724D70"/>
    <w:rsid w:val="618C6671"/>
    <w:rsid w:val="61BB2F1D"/>
    <w:rsid w:val="61C219AC"/>
    <w:rsid w:val="61D2537B"/>
    <w:rsid w:val="621E4DD2"/>
    <w:rsid w:val="6228765E"/>
    <w:rsid w:val="62314115"/>
    <w:rsid w:val="62533726"/>
    <w:rsid w:val="626A7586"/>
    <w:rsid w:val="62770720"/>
    <w:rsid w:val="62B20B7A"/>
    <w:rsid w:val="62B86D05"/>
    <w:rsid w:val="62BF668A"/>
    <w:rsid w:val="62D476E6"/>
    <w:rsid w:val="62D50D55"/>
    <w:rsid w:val="62DE5370"/>
    <w:rsid w:val="62F05CE3"/>
    <w:rsid w:val="630F38FF"/>
    <w:rsid w:val="634A2DD9"/>
    <w:rsid w:val="634B39D0"/>
    <w:rsid w:val="634D1F72"/>
    <w:rsid w:val="635D341B"/>
    <w:rsid w:val="636C3357"/>
    <w:rsid w:val="637469D3"/>
    <w:rsid w:val="6377272F"/>
    <w:rsid w:val="63B54ABB"/>
    <w:rsid w:val="63DF58D6"/>
    <w:rsid w:val="63E32202"/>
    <w:rsid w:val="63EA0E5F"/>
    <w:rsid w:val="63EE5B9E"/>
    <w:rsid w:val="63EE63EF"/>
    <w:rsid w:val="642A7476"/>
    <w:rsid w:val="642C6D22"/>
    <w:rsid w:val="643B54A6"/>
    <w:rsid w:val="64493213"/>
    <w:rsid w:val="644E430E"/>
    <w:rsid w:val="64851AD1"/>
    <w:rsid w:val="64B05C06"/>
    <w:rsid w:val="64E92E99"/>
    <w:rsid w:val="64F76ECE"/>
    <w:rsid w:val="64F920B9"/>
    <w:rsid w:val="65242442"/>
    <w:rsid w:val="65893811"/>
    <w:rsid w:val="65A37571"/>
    <w:rsid w:val="65BC4E4F"/>
    <w:rsid w:val="65CD0BAA"/>
    <w:rsid w:val="65FC5260"/>
    <w:rsid w:val="6607448B"/>
    <w:rsid w:val="661F7EFA"/>
    <w:rsid w:val="66227E65"/>
    <w:rsid w:val="66232F48"/>
    <w:rsid w:val="66656BF5"/>
    <w:rsid w:val="6678677C"/>
    <w:rsid w:val="667A0F13"/>
    <w:rsid w:val="66B87D97"/>
    <w:rsid w:val="66F71D32"/>
    <w:rsid w:val="671958AB"/>
    <w:rsid w:val="67217967"/>
    <w:rsid w:val="6727424C"/>
    <w:rsid w:val="67305AC8"/>
    <w:rsid w:val="673D16E4"/>
    <w:rsid w:val="674B743F"/>
    <w:rsid w:val="67A8373F"/>
    <w:rsid w:val="67A859DF"/>
    <w:rsid w:val="67F849BD"/>
    <w:rsid w:val="6808644D"/>
    <w:rsid w:val="682A4432"/>
    <w:rsid w:val="683008C4"/>
    <w:rsid w:val="686A7A87"/>
    <w:rsid w:val="691373B9"/>
    <w:rsid w:val="69491C9C"/>
    <w:rsid w:val="696C7460"/>
    <w:rsid w:val="69766CBF"/>
    <w:rsid w:val="698832AB"/>
    <w:rsid w:val="69AD67AA"/>
    <w:rsid w:val="69B30FE8"/>
    <w:rsid w:val="69D93C0D"/>
    <w:rsid w:val="69EF040C"/>
    <w:rsid w:val="69FF2086"/>
    <w:rsid w:val="6A00458E"/>
    <w:rsid w:val="6A0975E5"/>
    <w:rsid w:val="6A60436C"/>
    <w:rsid w:val="6A646BD0"/>
    <w:rsid w:val="6A905FE4"/>
    <w:rsid w:val="6A965366"/>
    <w:rsid w:val="6A987EDB"/>
    <w:rsid w:val="6AD23BD6"/>
    <w:rsid w:val="6B00694B"/>
    <w:rsid w:val="6B1717D5"/>
    <w:rsid w:val="6B630195"/>
    <w:rsid w:val="6B7F65EF"/>
    <w:rsid w:val="6B897740"/>
    <w:rsid w:val="6B966C10"/>
    <w:rsid w:val="6BA544F6"/>
    <w:rsid w:val="6BAE41F1"/>
    <w:rsid w:val="6BF7773D"/>
    <w:rsid w:val="6C0264F0"/>
    <w:rsid w:val="6C141FA8"/>
    <w:rsid w:val="6C175356"/>
    <w:rsid w:val="6C1D092C"/>
    <w:rsid w:val="6C35702A"/>
    <w:rsid w:val="6C5A092B"/>
    <w:rsid w:val="6CBC663E"/>
    <w:rsid w:val="6CC46527"/>
    <w:rsid w:val="6CCC773F"/>
    <w:rsid w:val="6CD01578"/>
    <w:rsid w:val="6D3648D2"/>
    <w:rsid w:val="6D4228CF"/>
    <w:rsid w:val="6D680D88"/>
    <w:rsid w:val="6D8A778A"/>
    <w:rsid w:val="6D8D1315"/>
    <w:rsid w:val="6D920BBA"/>
    <w:rsid w:val="6DA65890"/>
    <w:rsid w:val="6DB45BF4"/>
    <w:rsid w:val="6E24026E"/>
    <w:rsid w:val="6E4E195F"/>
    <w:rsid w:val="6E5E6489"/>
    <w:rsid w:val="6E657958"/>
    <w:rsid w:val="6E9B4CBF"/>
    <w:rsid w:val="6ECF003B"/>
    <w:rsid w:val="6EFA48BE"/>
    <w:rsid w:val="6F312307"/>
    <w:rsid w:val="6F47368B"/>
    <w:rsid w:val="6F7002FB"/>
    <w:rsid w:val="6F9E4163"/>
    <w:rsid w:val="6FAF1B9C"/>
    <w:rsid w:val="6FB774A7"/>
    <w:rsid w:val="6FC53FF3"/>
    <w:rsid w:val="6FC575AA"/>
    <w:rsid w:val="6FDD63C1"/>
    <w:rsid w:val="6FE969BF"/>
    <w:rsid w:val="6FF24DAC"/>
    <w:rsid w:val="6FFE44CE"/>
    <w:rsid w:val="7008124A"/>
    <w:rsid w:val="701E1078"/>
    <w:rsid w:val="702528D6"/>
    <w:rsid w:val="70D66CD1"/>
    <w:rsid w:val="710347E2"/>
    <w:rsid w:val="712C16D9"/>
    <w:rsid w:val="7136673F"/>
    <w:rsid w:val="713D23C9"/>
    <w:rsid w:val="715E6B04"/>
    <w:rsid w:val="716A79EE"/>
    <w:rsid w:val="7184194E"/>
    <w:rsid w:val="7196057A"/>
    <w:rsid w:val="71A07C48"/>
    <w:rsid w:val="71B84A8F"/>
    <w:rsid w:val="71C447F2"/>
    <w:rsid w:val="71F57CC7"/>
    <w:rsid w:val="722804EF"/>
    <w:rsid w:val="72304E0D"/>
    <w:rsid w:val="724D4BCE"/>
    <w:rsid w:val="725A41E6"/>
    <w:rsid w:val="725C7C37"/>
    <w:rsid w:val="725F3CCA"/>
    <w:rsid w:val="72754DD0"/>
    <w:rsid w:val="7292581F"/>
    <w:rsid w:val="729C6045"/>
    <w:rsid w:val="72E036F3"/>
    <w:rsid w:val="72EE2CB5"/>
    <w:rsid w:val="72F03052"/>
    <w:rsid w:val="72FD5629"/>
    <w:rsid w:val="72FE2799"/>
    <w:rsid w:val="731A1CFB"/>
    <w:rsid w:val="73672A46"/>
    <w:rsid w:val="73863215"/>
    <w:rsid w:val="73881D46"/>
    <w:rsid w:val="73C00E01"/>
    <w:rsid w:val="73F2552D"/>
    <w:rsid w:val="74076A03"/>
    <w:rsid w:val="7435280E"/>
    <w:rsid w:val="744E168B"/>
    <w:rsid w:val="74573FCC"/>
    <w:rsid w:val="747C1451"/>
    <w:rsid w:val="747C1FBA"/>
    <w:rsid w:val="74A52CDC"/>
    <w:rsid w:val="74D64644"/>
    <w:rsid w:val="74DD0860"/>
    <w:rsid w:val="74EC1B6B"/>
    <w:rsid w:val="74FE5A98"/>
    <w:rsid w:val="74FE6933"/>
    <w:rsid w:val="7506427D"/>
    <w:rsid w:val="75067C5F"/>
    <w:rsid w:val="754C7E9E"/>
    <w:rsid w:val="75874AC7"/>
    <w:rsid w:val="75AB43D2"/>
    <w:rsid w:val="75B34B4C"/>
    <w:rsid w:val="75CC3B04"/>
    <w:rsid w:val="75D42D9B"/>
    <w:rsid w:val="75DA4653"/>
    <w:rsid w:val="75E17342"/>
    <w:rsid w:val="75E435B5"/>
    <w:rsid w:val="76053869"/>
    <w:rsid w:val="7615375C"/>
    <w:rsid w:val="761907A1"/>
    <w:rsid w:val="763E69A1"/>
    <w:rsid w:val="76552C82"/>
    <w:rsid w:val="767167F0"/>
    <w:rsid w:val="76F61765"/>
    <w:rsid w:val="76F91952"/>
    <w:rsid w:val="772611CE"/>
    <w:rsid w:val="775D777E"/>
    <w:rsid w:val="77867922"/>
    <w:rsid w:val="779932B8"/>
    <w:rsid w:val="77CA180A"/>
    <w:rsid w:val="77DB55E5"/>
    <w:rsid w:val="77F27D60"/>
    <w:rsid w:val="780816B9"/>
    <w:rsid w:val="78151EBB"/>
    <w:rsid w:val="783F0030"/>
    <w:rsid w:val="786F440E"/>
    <w:rsid w:val="787C1F73"/>
    <w:rsid w:val="787D30C6"/>
    <w:rsid w:val="78BF0EA6"/>
    <w:rsid w:val="78D67A12"/>
    <w:rsid w:val="790A1DCA"/>
    <w:rsid w:val="7932084E"/>
    <w:rsid w:val="794F0EFC"/>
    <w:rsid w:val="7967259B"/>
    <w:rsid w:val="799A3A30"/>
    <w:rsid w:val="799F0E05"/>
    <w:rsid w:val="79A0327D"/>
    <w:rsid w:val="79D3684F"/>
    <w:rsid w:val="79E21324"/>
    <w:rsid w:val="7A2510EB"/>
    <w:rsid w:val="7A3D0039"/>
    <w:rsid w:val="7A4D0F99"/>
    <w:rsid w:val="7A4E609F"/>
    <w:rsid w:val="7A523D7B"/>
    <w:rsid w:val="7AC377CA"/>
    <w:rsid w:val="7AE7429C"/>
    <w:rsid w:val="7AF15938"/>
    <w:rsid w:val="7B063C9E"/>
    <w:rsid w:val="7B0B187B"/>
    <w:rsid w:val="7B154E25"/>
    <w:rsid w:val="7B562F9A"/>
    <w:rsid w:val="7B703005"/>
    <w:rsid w:val="7B871498"/>
    <w:rsid w:val="7BF60965"/>
    <w:rsid w:val="7BF73AA0"/>
    <w:rsid w:val="7BF97CE1"/>
    <w:rsid w:val="7C0641F8"/>
    <w:rsid w:val="7C065936"/>
    <w:rsid w:val="7C137AF7"/>
    <w:rsid w:val="7C257FD3"/>
    <w:rsid w:val="7C2C2B50"/>
    <w:rsid w:val="7C357557"/>
    <w:rsid w:val="7C3E228A"/>
    <w:rsid w:val="7C601F79"/>
    <w:rsid w:val="7C866018"/>
    <w:rsid w:val="7C8F6FAD"/>
    <w:rsid w:val="7D4E22FA"/>
    <w:rsid w:val="7D4F7841"/>
    <w:rsid w:val="7D576E3F"/>
    <w:rsid w:val="7D5F563D"/>
    <w:rsid w:val="7D8C5993"/>
    <w:rsid w:val="7DAA2796"/>
    <w:rsid w:val="7DC160ED"/>
    <w:rsid w:val="7DF41444"/>
    <w:rsid w:val="7E0F1775"/>
    <w:rsid w:val="7E251787"/>
    <w:rsid w:val="7E2A305C"/>
    <w:rsid w:val="7E4618C1"/>
    <w:rsid w:val="7E4E0324"/>
    <w:rsid w:val="7E742B41"/>
    <w:rsid w:val="7EA2519F"/>
    <w:rsid w:val="7EB63B18"/>
    <w:rsid w:val="7EFB09B4"/>
    <w:rsid w:val="7F0A5923"/>
    <w:rsid w:val="7F2D7092"/>
    <w:rsid w:val="7F5E62AF"/>
    <w:rsid w:val="7FA14FAA"/>
    <w:rsid w:val="7FB41CAA"/>
    <w:rsid w:val="7FC3677C"/>
    <w:rsid w:val="7FC64925"/>
    <w:rsid w:val="7FC91C6B"/>
    <w:rsid w:val="7FE33B71"/>
    <w:rsid w:val="7FE42A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1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23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210"/>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17"/>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40"/>
    <w:qFormat/>
    <w:uiPriority w:val="0"/>
  </w:style>
  <w:style w:type="paragraph" w:styleId="33">
    <w:name w:val="Body Text Indent 2"/>
    <w:basedOn w:val="1"/>
    <w:link w:val="20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4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209"/>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216"/>
    <w:qFormat/>
    <w:uiPriority w:val="0"/>
    <w:pPr>
      <w:spacing w:after="120" w:afterLines="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 Char Char Char Char Char Char Char"/>
    <w:basedOn w:val="1"/>
    <w:qFormat/>
    <w:uiPriority w:val="0"/>
    <w:rPr>
      <w:rFonts w:ascii="Tahoma" w:hAnsi="Tahoma"/>
      <w:sz w:val="24"/>
    </w:rPr>
  </w:style>
  <w:style w:type="paragraph" w:customStyle="1" w:styleId="6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7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7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7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73">
    <w:name w:val="Char1 Char Char Char"/>
    <w:basedOn w:val="1"/>
    <w:qFormat/>
    <w:uiPriority w:val="0"/>
    <w:rPr>
      <w:rFonts w:ascii="Tahoma" w:hAnsi="Tahoma"/>
      <w:sz w:val="30"/>
    </w:rPr>
  </w:style>
  <w:style w:type="paragraph" w:customStyle="1" w:styleId="7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75">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77">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78">
    <w:name w:val=" Char Char 字元 字元 字元 Char Char Char Char"/>
    <w:basedOn w:val="1"/>
    <w:qFormat/>
    <w:uiPriority w:val="0"/>
    <w:pPr>
      <w:adjustRightInd w:val="0"/>
      <w:spacing w:line="360" w:lineRule="auto"/>
    </w:pPr>
    <w:rPr>
      <w:kern w:val="0"/>
      <w:sz w:val="24"/>
    </w:rPr>
  </w:style>
  <w:style w:type="paragraph" w:customStyle="1" w:styleId="79">
    <w:name w:val="关键词"/>
    <w:basedOn w:val="1"/>
    <w:next w:val="1"/>
    <w:qFormat/>
    <w:uiPriority w:val="0"/>
    <w:pPr>
      <w:spacing w:line="360" w:lineRule="auto"/>
    </w:pPr>
    <w:rPr>
      <w:rFonts w:eastAsia="黑体"/>
      <w:sz w:val="20"/>
    </w:rPr>
  </w:style>
  <w:style w:type="paragraph" w:customStyle="1" w:styleId="8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8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82">
    <w:name w:val="Body Text Indent 2"/>
    <w:basedOn w:val="1"/>
    <w:qFormat/>
    <w:uiPriority w:val="0"/>
    <w:pPr>
      <w:adjustRightInd w:val="0"/>
      <w:spacing w:before="120" w:beforeLines="0" w:beforeAutospacing="0"/>
      <w:ind w:firstLine="420"/>
      <w:textAlignment w:val="baseline"/>
    </w:pPr>
    <w:rPr>
      <w:sz w:val="24"/>
    </w:rPr>
  </w:style>
  <w:style w:type="paragraph" w:customStyle="1" w:styleId="83">
    <w:name w:val="_"/>
    <w:basedOn w:val="1"/>
    <w:qFormat/>
    <w:uiPriority w:val="0"/>
    <w:pPr>
      <w:adjustRightInd w:val="0"/>
      <w:spacing w:line="360" w:lineRule="auto"/>
      <w:ind w:left="480" w:firstLine="200" w:firstLineChars="200"/>
      <w:textAlignment w:val="baseline"/>
    </w:pPr>
    <w:rPr>
      <w:kern w:val="0"/>
      <w:sz w:val="24"/>
    </w:rPr>
  </w:style>
  <w:style w:type="paragraph" w:customStyle="1" w:styleId="84">
    <w:name w:val="内容标题"/>
    <w:basedOn w:val="17"/>
    <w:qFormat/>
    <w:uiPriority w:val="0"/>
    <w:rPr>
      <w:rFonts w:ascii="Tahoma" w:hAnsi="Tahoma"/>
      <w:sz w:val="24"/>
    </w:rPr>
  </w:style>
  <w:style w:type="paragraph" w:customStyle="1" w:styleId="8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8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8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8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9">
    <w:name w:val="表号"/>
    <w:basedOn w:val="1"/>
    <w:qFormat/>
    <w:uiPriority w:val="0"/>
    <w:pPr>
      <w:numPr>
        <w:ilvl w:val="0"/>
        <w:numId w:val="5"/>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90">
    <w:name w:val="首行缩进"/>
    <w:basedOn w:val="1"/>
    <w:qFormat/>
    <w:uiPriority w:val="0"/>
    <w:pPr>
      <w:numPr>
        <w:ilvl w:val="0"/>
        <w:numId w:val="6"/>
      </w:numPr>
      <w:spacing w:line="360" w:lineRule="auto"/>
    </w:pPr>
    <w:rPr>
      <w:rFonts w:eastAsia="仿宋_GB2312"/>
    </w:rPr>
  </w:style>
  <w:style w:type="paragraph" w:customStyle="1" w:styleId="9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92">
    <w:name w:val="_Style 90"/>
    <w:qFormat/>
    <w:uiPriority w:val="0"/>
    <w:rPr>
      <w:rFonts w:ascii="Times New Roman" w:hAnsi="Times New Roman" w:eastAsia="宋体" w:cs="Times New Roman"/>
      <w:kern w:val="2"/>
      <w:sz w:val="21"/>
      <w:lang w:val="en-US" w:eastAsia="zh-CN" w:bidi="ar-SA"/>
    </w:rPr>
  </w:style>
  <w:style w:type="paragraph" w:customStyle="1" w:styleId="93">
    <w:name w:val="IN Feature"/>
    <w:next w:val="9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9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95">
    <w:name w:val="Char Char Char Char Char Char Char"/>
    <w:basedOn w:val="17"/>
    <w:qFormat/>
    <w:uiPriority w:val="0"/>
    <w:rPr>
      <w:rFonts w:ascii="宋体" w:hAnsi="Tahoma"/>
    </w:rPr>
  </w:style>
  <w:style w:type="paragraph" w:customStyle="1" w:styleId="9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9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98">
    <w:name w:val="表格内文字"/>
    <w:basedOn w:val="30"/>
    <w:qFormat/>
    <w:uiPriority w:val="0"/>
    <w:pPr>
      <w:adjustRightInd w:val="0"/>
    </w:pPr>
    <w:rPr>
      <w:color w:val="000000"/>
      <w:lang w:val="en-GB"/>
    </w:rPr>
  </w:style>
  <w:style w:type="paragraph" w:customStyle="1" w:styleId="99">
    <w:name w:val=" Char Char Char"/>
    <w:basedOn w:val="1"/>
    <w:qFormat/>
    <w:uiPriority w:val="0"/>
    <w:rPr>
      <w:rFonts w:ascii="Tahoma" w:hAnsi="Tahoma"/>
      <w:sz w:val="24"/>
    </w:rPr>
  </w:style>
  <w:style w:type="paragraph" w:customStyle="1" w:styleId="100">
    <w:name w:val="Char"/>
    <w:basedOn w:val="1"/>
    <w:qFormat/>
    <w:uiPriority w:val="0"/>
    <w:pPr>
      <w:spacing w:line="240" w:lineRule="atLeast"/>
      <w:ind w:left="420" w:firstLine="420"/>
    </w:pPr>
    <w:rPr>
      <w:kern w:val="0"/>
      <w:sz w:val="21"/>
    </w:rPr>
  </w:style>
  <w:style w:type="paragraph" w:customStyle="1" w:styleId="10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02">
    <w:name w:val=" Char Char14 Char Char"/>
    <w:basedOn w:val="1"/>
    <w:qFormat/>
    <w:uiPriority w:val="0"/>
    <w:rPr>
      <w:sz w:val="21"/>
      <w:szCs w:val="24"/>
    </w:rPr>
  </w:style>
  <w:style w:type="paragraph" w:customStyle="1" w:styleId="103">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0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0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06">
    <w:name w:val="默认段落字体 Para Char Char Char Char Char Char Char"/>
    <w:basedOn w:val="1"/>
    <w:qFormat/>
    <w:uiPriority w:val="0"/>
    <w:rPr>
      <w:rFonts w:ascii="Tahoma" w:hAnsi="Tahoma"/>
      <w:sz w:val="24"/>
    </w:rPr>
  </w:style>
  <w:style w:type="paragraph" w:customStyle="1" w:styleId="107">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08">
    <w:name w:val="编号正文"/>
    <w:basedOn w:val="71"/>
    <w:qFormat/>
    <w:uiPriority w:val="0"/>
    <w:pPr>
      <w:snapToGrid/>
      <w:spacing w:line="360" w:lineRule="auto"/>
      <w:ind w:left="1407" w:hanging="1047"/>
      <w:jc w:val="left"/>
    </w:pPr>
    <w:rPr>
      <w:rFonts w:eastAsia="仿宋_GB2312"/>
    </w:rPr>
  </w:style>
  <w:style w:type="paragraph" w:customStyle="1" w:styleId="109">
    <w:name w:val="样式2"/>
    <w:basedOn w:val="5"/>
    <w:qFormat/>
    <w:uiPriority w:val="0"/>
    <w:pPr>
      <w:numPr>
        <w:ilvl w:val="0"/>
        <w:numId w:val="7"/>
      </w:numPr>
      <w:spacing w:before="560" w:beforeLines="0" w:line="400" w:lineRule="exact"/>
      <w:jc w:val="center"/>
      <w:outlineLvl w:val="0"/>
    </w:pPr>
    <w:rPr>
      <w:b w:val="0"/>
      <w:sz w:val="44"/>
    </w:rPr>
  </w:style>
  <w:style w:type="paragraph" w:customStyle="1" w:styleId="110">
    <w:name w:val="表格文本"/>
    <w:qFormat/>
    <w:uiPriority w:val="0"/>
    <w:pPr>
      <w:tabs>
        <w:tab w:val="decimal" w:pos="0"/>
      </w:tabs>
    </w:pPr>
    <w:rPr>
      <w:rFonts w:ascii="Arial" w:hAnsi="Arial" w:eastAsia="宋体" w:cs="Times New Roman"/>
      <w:sz w:val="21"/>
      <w:lang w:val="en-US" w:eastAsia="zh-CN" w:bidi="ar-SA"/>
    </w:rPr>
  </w:style>
  <w:style w:type="paragraph" w:customStyle="1" w:styleId="111">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12">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13">
    <w:name w:val="文字"/>
    <w:basedOn w:val="1"/>
    <w:link w:val="243"/>
    <w:qFormat/>
    <w:uiPriority w:val="0"/>
    <w:pPr>
      <w:tabs>
        <w:tab w:val="left" w:pos="8520"/>
      </w:tabs>
      <w:spacing w:line="312" w:lineRule="auto"/>
      <w:ind w:right="-210" w:firstLine="556"/>
    </w:pPr>
    <w:rPr>
      <w:rFonts w:ascii="宋体"/>
    </w:rPr>
  </w:style>
  <w:style w:type="paragraph" w:customStyle="1" w:styleId="114">
    <w:name w:val="首行缩进 1"/>
    <w:basedOn w:val="1"/>
    <w:qFormat/>
    <w:uiPriority w:val="0"/>
    <w:pPr>
      <w:spacing w:after="120" w:afterLines="0" w:afterAutospacing="0" w:line="360" w:lineRule="auto"/>
      <w:ind w:firstLine="200" w:firstLineChars="200"/>
    </w:pPr>
    <w:rPr>
      <w:sz w:val="24"/>
    </w:rPr>
  </w:style>
  <w:style w:type="paragraph" w:customStyle="1" w:styleId="115">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16">
    <w:name w:val="正文 + 三号"/>
    <w:basedOn w:val="1"/>
    <w:qFormat/>
    <w:uiPriority w:val="0"/>
    <w:rPr>
      <w:sz w:val="21"/>
    </w:rPr>
  </w:style>
  <w:style w:type="paragraph" w:customStyle="1" w:styleId="117">
    <w:name w:val=" Char2 Char Char Char Char Char Char"/>
    <w:basedOn w:val="1"/>
    <w:qFormat/>
    <w:uiPriority w:val="0"/>
    <w:rPr>
      <w:rFonts w:ascii="仿宋_GB2312"/>
      <w:b/>
      <w:sz w:val="30"/>
    </w:rPr>
  </w:style>
  <w:style w:type="paragraph" w:customStyle="1" w:styleId="118">
    <w:name w:val="Table Text"/>
    <w:link w:val="208"/>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正文（首行不缩进）"/>
    <w:basedOn w:val="1"/>
    <w:qFormat/>
    <w:uiPriority w:val="0"/>
    <w:pPr>
      <w:autoSpaceDE w:val="0"/>
      <w:autoSpaceDN w:val="0"/>
      <w:adjustRightInd w:val="0"/>
      <w:spacing w:line="360" w:lineRule="auto"/>
      <w:jc w:val="left"/>
    </w:pPr>
    <w:rPr>
      <w:kern w:val="0"/>
      <w:sz w:val="21"/>
    </w:rPr>
  </w:style>
  <w:style w:type="paragraph" w:customStyle="1" w:styleId="12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2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3">
    <w:name w:val="文本1"/>
    <w:basedOn w:val="1"/>
    <w:qFormat/>
    <w:uiPriority w:val="0"/>
    <w:pPr>
      <w:adjustRightInd w:val="0"/>
      <w:spacing w:line="312" w:lineRule="atLeast"/>
      <w:jc w:val="center"/>
      <w:textAlignment w:val="baseline"/>
    </w:pPr>
    <w:rPr>
      <w:kern w:val="0"/>
      <w:sz w:val="18"/>
    </w:rPr>
  </w:style>
  <w:style w:type="paragraph" w:customStyle="1" w:styleId="124">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5">
    <w:name w:val=" Char1 Char Char Char"/>
    <w:basedOn w:val="1"/>
    <w:qFormat/>
    <w:uiPriority w:val="0"/>
    <w:rPr>
      <w:rFonts w:ascii="Tahoma" w:hAnsi="Tahoma"/>
      <w:sz w:val="24"/>
    </w:rPr>
  </w:style>
  <w:style w:type="paragraph" w:customStyle="1" w:styleId="126">
    <w:name w:val="样式4"/>
    <w:basedOn w:val="5"/>
    <w:qFormat/>
    <w:uiPriority w:val="0"/>
    <w:pPr>
      <w:adjustRightInd w:val="0"/>
      <w:snapToGrid w:val="0"/>
    </w:pPr>
  </w:style>
  <w:style w:type="paragraph" w:customStyle="1" w:styleId="127">
    <w:name w:val="Title - Date"/>
    <w:basedOn w:val="54"/>
    <w:next w:val="1"/>
    <w:qFormat/>
    <w:uiPriority w:val="0"/>
    <w:pPr>
      <w:spacing w:before="240" w:beforeLines="0" w:beforeAutospacing="0" w:after="720" w:afterLines="0" w:afterAutospacing="0"/>
    </w:pPr>
    <w:rPr>
      <w:sz w:val="28"/>
    </w:rPr>
  </w:style>
  <w:style w:type="paragraph" w:customStyle="1" w:styleId="128">
    <w:name w:val="列表项目"/>
    <w:basedOn w:val="1"/>
    <w:qFormat/>
    <w:uiPriority w:val="0"/>
    <w:pPr>
      <w:tabs>
        <w:tab w:val="left" w:pos="420"/>
      </w:tabs>
      <w:spacing w:line="288" w:lineRule="auto"/>
      <w:ind w:left="840" w:leftChars="200" w:hanging="420" w:hangingChars="200"/>
    </w:pPr>
    <w:rPr>
      <w:sz w:val="21"/>
    </w:rPr>
  </w:style>
  <w:style w:type="paragraph" w:customStyle="1" w:styleId="12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31">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2">
    <w:name w:val="标题3——2"/>
    <w:basedOn w:val="2"/>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5">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36">
    <w:name w:val="正文表格"/>
    <w:basedOn w:val="1"/>
    <w:qFormat/>
    <w:uiPriority w:val="0"/>
    <w:pPr>
      <w:adjustRightInd w:val="0"/>
      <w:spacing w:before="40" w:beforeLines="0" w:beforeAutospacing="0" w:after="40" w:afterLines="0" w:afterAutospacing="0"/>
    </w:pPr>
    <w:rPr>
      <w:sz w:val="24"/>
    </w:rPr>
  </w:style>
  <w:style w:type="paragraph" w:customStyle="1" w:styleId="13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40">
    <w:name w:val="可研正文"/>
    <w:basedOn w:val="22"/>
    <w:qFormat/>
    <w:uiPriority w:val="0"/>
    <w:pPr>
      <w:adjustRightInd w:val="0"/>
      <w:snapToGrid w:val="0"/>
      <w:spacing w:line="440" w:lineRule="exact"/>
      <w:ind w:firstLine="567"/>
    </w:pPr>
    <w:rPr>
      <w:sz w:val="28"/>
    </w:rPr>
  </w:style>
  <w:style w:type="paragraph" w:customStyle="1" w:styleId="14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4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43">
    <w:name w:val="摘要"/>
    <w:basedOn w:val="1"/>
    <w:next w:val="4"/>
    <w:qFormat/>
    <w:uiPriority w:val="0"/>
    <w:pPr>
      <w:spacing w:line="360" w:lineRule="auto"/>
    </w:pPr>
    <w:rPr>
      <w:rFonts w:eastAsia="黑体"/>
      <w:sz w:val="20"/>
    </w:rPr>
  </w:style>
  <w:style w:type="paragraph" w:customStyle="1" w:styleId="144">
    <w:name w:val=" Char Char Char Char Char Char Char Char Char Char Char Char Char Char Char Char"/>
    <w:basedOn w:val="1"/>
    <w:qFormat/>
    <w:uiPriority w:val="0"/>
    <w:pPr>
      <w:tabs>
        <w:tab w:val="left" w:pos="360"/>
      </w:tabs>
    </w:pPr>
    <w:rPr>
      <w:sz w:val="24"/>
    </w:rPr>
  </w:style>
  <w:style w:type="paragraph" w:customStyle="1" w:styleId="145">
    <w:name w:val="样式 行距: 1.5 倍行距1"/>
    <w:basedOn w:val="1"/>
    <w:qFormat/>
    <w:uiPriority w:val="0"/>
    <w:pPr>
      <w:snapToGrid w:val="0"/>
    </w:pPr>
    <w:rPr>
      <w:sz w:val="21"/>
    </w:rPr>
  </w:style>
  <w:style w:type="paragraph" w:customStyle="1" w:styleId="146">
    <w:name w:val=" Char Char Char Char Char"/>
    <w:basedOn w:val="1"/>
    <w:qFormat/>
    <w:uiPriority w:val="0"/>
    <w:pPr>
      <w:tabs>
        <w:tab w:val="left" w:pos="425"/>
      </w:tabs>
      <w:ind w:left="1620" w:hanging="360"/>
    </w:pPr>
    <w:rPr>
      <w:rFonts w:ascii="Tahoma" w:hAnsi="Tahoma"/>
      <w:sz w:val="24"/>
    </w:rPr>
  </w:style>
  <w:style w:type="paragraph" w:customStyle="1" w:styleId="14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4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9">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50">
    <w:name w:val="af"/>
    <w:basedOn w:val="1"/>
    <w:qFormat/>
    <w:uiPriority w:val="0"/>
    <w:pPr>
      <w:widowControl/>
      <w:spacing w:line="300" w:lineRule="atLeast"/>
      <w:jc w:val="left"/>
    </w:pPr>
    <w:rPr>
      <w:rFonts w:ascii="宋体" w:hAnsi="宋体"/>
      <w:kern w:val="0"/>
      <w:sz w:val="18"/>
    </w:rPr>
  </w:style>
  <w:style w:type="paragraph" w:customStyle="1" w:styleId="151">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152">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1"/>
    <w:basedOn w:val="1"/>
    <w:next w:val="30"/>
    <w:qFormat/>
    <w:uiPriority w:val="0"/>
    <w:rPr>
      <w:rFonts w:ascii="宋体" w:hAnsi="Courier New"/>
      <w:sz w:val="21"/>
    </w:rPr>
  </w:style>
  <w:style w:type="paragraph" w:customStyle="1" w:styleId="154">
    <w:name w:val="样式 宋体 五号 行距: 单倍行距"/>
    <w:basedOn w:val="1"/>
    <w:qFormat/>
    <w:uiPriority w:val="0"/>
    <w:pPr>
      <w:adjustRightInd w:val="0"/>
      <w:jc w:val="left"/>
    </w:pPr>
    <w:rPr>
      <w:rFonts w:ascii="宋体" w:hAnsi="宋体"/>
      <w:kern w:val="0"/>
      <w:sz w:val="21"/>
    </w:rPr>
  </w:style>
  <w:style w:type="paragraph" w:customStyle="1" w:styleId="155">
    <w:name w:val="样式 正文缩进正文（首行缩进两字）表正文正文非缩进特点标题4段1 + 首行缩进:  2 字符"/>
    <w:basedOn w:val="15"/>
    <w:qFormat/>
    <w:uiPriority w:val="0"/>
    <w:pPr>
      <w:ind w:firstLine="480" w:firstLineChars="200"/>
    </w:pPr>
  </w:style>
  <w:style w:type="paragraph" w:customStyle="1" w:styleId="156">
    <w:name w:val="表头样式"/>
    <w:basedOn w:val="1"/>
    <w:qFormat/>
    <w:uiPriority w:val="0"/>
    <w:pPr>
      <w:autoSpaceDE w:val="0"/>
      <w:autoSpaceDN w:val="0"/>
      <w:adjustRightInd w:val="0"/>
      <w:spacing w:line="360" w:lineRule="auto"/>
      <w:jc w:val="left"/>
    </w:pPr>
    <w:rPr>
      <w:b/>
      <w:kern w:val="0"/>
      <w:sz w:val="21"/>
    </w:rPr>
  </w:style>
  <w:style w:type="paragraph" w:customStyle="1" w:styleId="157">
    <w:name w:val="样式 首行缩进:  0.74 厘米"/>
    <w:basedOn w:val="1"/>
    <w:qFormat/>
    <w:uiPriority w:val="0"/>
    <w:pPr>
      <w:spacing w:line="360" w:lineRule="auto"/>
      <w:ind w:firstLine="420"/>
    </w:pPr>
    <w:rPr>
      <w:sz w:val="24"/>
    </w:rPr>
  </w:style>
  <w:style w:type="paragraph" w:customStyle="1" w:styleId="158">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9">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60">
    <w:name w:val=" Char Char1 Char"/>
    <w:basedOn w:val="1"/>
    <w:qFormat/>
    <w:uiPriority w:val="0"/>
    <w:rPr>
      <w:rFonts w:ascii="Tahoma" w:hAnsi="Tahoma"/>
      <w:sz w:val="24"/>
      <w:szCs w:val="24"/>
    </w:rPr>
  </w:style>
  <w:style w:type="paragraph" w:customStyle="1" w:styleId="161">
    <w:name w:val="正文空2格  1."/>
    <w:basedOn w:val="1"/>
    <w:qFormat/>
    <w:uiPriority w:val="0"/>
    <w:pPr>
      <w:adjustRightInd w:val="0"/>
      <w:spacing w:line="360" w:lineRule="auto"/>
      <w:ind w:firstLine="480" w:firstLineChars="200"/>
    </w:pPr>
    <w:rPr>
      <w:rFonts w:ascii="宋体" w:eastAsia="仿宋" w:cs="宋体"/>
      <w:kern w:val="0"/>
    </w:rPr>
  </w:style>
  <w:style w:type="paragraph" w:customStyle="1" w:styleId="162">
    <w:name w:val="1.正文"/>
    <w:basedOn w:val="1"/>
    <w:qFormat/>
    <w:uiPriority w:val="0"/>
    <w:pPr>
      <w:spacing w:line="360" w:lineRule="auto"/>
      <w:ind w:left="540" w:leftChars="225" w:firstLine="540" w:firstLineChars="225"/>
    </w:pPr>
    <w:rPr>
      <w:sz w:val="24"/>
    </w:rPr>
  </w:style>
  <w:style w:type="paragraph" w:customStyle="1" w:styleId="16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16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7">
    <w:name w:val="4号宋体行距1.5缩进"/>
    <w:basedOn w:val="1"/>
    <w:qFormat/>
    <w:uiPriority w:val="0"/>
    <w:pPr>
      <w:spacing w:line="360" w:lineRule="auto"/>
    </w:pPr>
    <w:rPr>
      <w:rFonts w:ascii="Verdana" w:hAnsi="Verdana" w:eastAsia="仿宋_GB2312" w:cs="宋体"/>
      <w:b/>
      <w:bCs/>
      <w:kern w:val="0"/>
      <w:szCs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一级条标题"/>
    <w:basedOn w:val="152"/>
    <w:next w:val="166"/>
    <w:qFormat/>
    <w:uiPriority w:val="0"/>
    <w:pPr>
      <w:numPr>
        <w:ilvl w:val="1"/>
        <w:numId w:val="0"/>
      </w:numPr>
      <w:spacing w:before="0" w:beforeLines="0" w:beforeAutospacing="0" w:after="0" w:afterLines="0" w:afterAutospacing="0"/>
      <w:ind w:left="525"/>
      <w:outlineLvl w:val="2"/>
    </w:pPr>
    <w:rPr>
      <w:sz w:val="21"/>
    </w:rPr>
  </w:style>
  <w:style w:type="paragraph" w:customStyle="1" w:styleId="17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71">
    <w:name w:val="图片文字"/>
    <w:basedOn w:val="1"/>
    <w:qFormat/>
    <w:uiPriority w:val="0"/>
    <w:pPr>
      <w:spacing w:line="240" w:lineRule="atLeast"/>
      <w:jc w:val="center"/>
    </w:pPr>
    <w:rPr>
      <w:sz w:val="21"/>
    </w:rPr>
  </w:style>
  <w:style w:type="paragraph" w:customStyle="1" w:styleId="172">
    <w:name w:val="正文 A"/>
    <w:qFormat/>
    <w:uiPriority w:val="0"/>
    <w:pPr>
      <w:framePr w:wrap="around" w:vAnchor="margin" w:hAnchor="text" w:y="1"/>
      <w:widowControl w:val="0"/>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173">
    <w:name w:val="Table Contents"/>
    <w:basedOn w:val="22"/>
    <w:qFormat/>
    <w:uiPriority w:val="0"/>
    <w:pPr>
      <w:suppressAutoHyphens/>
      <w:jc w:val="left"/>
    </w:pPr>
    <w:rPr>
      <w:rFonts w:ascii="Times New Roman" w:eastAsia="Times New Roman"/>
      <w:kern w:val="0"/>
      <w:sz w:val="24"/>
    </w:rPr>
  </w:style>
  <w:style w:type="paragraph" w:customStyle="1" w:styleId="17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5">
    <w:name w:val="表文字"/>
    <w:qFormat/>
    <w:uiPriority w:val="0"/>
    <w:rPr>
      <w:rFonts w:ascii="宋体" w:hAnsi="Times New Roman" w:eastAsia="宋体" w:cs="Times New Roman"/>
      <w:kern w:val="2"/>
      <w:lang w:val="en-US" w:eastAsia="zh-CN" w:bidi="ar-SA"/>
    </w:rPr>
  </w:style>
  <w:style w:type="paragraph" w:customStyle="1" w:styleId="176">
    <w:name w:val="默认段落字体 Para Char Char Char Char Char Char Char Char Char1 Char Char Char Char"/>
    <w:basedOn w:val="1"/>
    <w:qFormat/>
    <w:uiPriority w:val="0"/>
    <w:rPr>
      <w:rFonts w:ascii="Tahoma" w:hAnsi="Tahoma"/>
      <w:sz w:val="24"/>
    </w:rPr>
  </w:style>
  <w:style w:type="paragraph" w:customStyle="1" w:styleId="177">
    <w:name w:val="文章正文"/>
    <w:basedOn w:val="1"/>
    <w:qFormat/>
    <w:uiPriority w:val="0"/>
    <w:pPr>
      <w:ind w:firstLine="560" w:firstLineChars="200"/>
    </w:pPr>
    <w:rPr>
      <w:rFonts w:ascii="仿宋_GB2312" w:hAnsi="宋体" w:eastAsia="仿宋_GB2312"/>
      <w:color w:val="000000"/>
    </w:rPr>
  </w:style>
  <w:style w:type="paragraph" w:customStyle="1" w:styleId="178">
    <w:name w:val="二级列表"/>
    <w:basedOn w:val="86"/>
    <w:next w:val="86"/>
    <w:qFormat/>
    <w:uiPriority w:val="0"/>
    <w:pPr>
      <w:tabs>
        <w:tab w:val="left" w:pos="2120"/>
      </w:tabs>
      <w:ind w:firstLine="0" w:firstLineChars="0"/>
    </w:pPr>
    <w:rPr>
      <w:b/>
    </w:rPr>
  </w:style>
  <w:style w:type="paragraph" w:customStyle="1" w:styleId="179">
    <w:name w:val=" Char1"/>
    <w:basedOn w:val="1"/>
    <w:qFormat/>
    <w:uiPriority w:val="0"/>
    <w:rPr>
      <w:sz w:val="21"/>
    </w:rPr>
  </w:style>
  <w:style w:type="paragraph" w:customStyle="1" w:styleId="180">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81">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2">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3">
    <w:name w:val="二级条标题"/>
    <w:basedOn w:val="169"/>
    <w:next w:val="166"/>
    <w:qFormat/>
    <w:uiPriority w:val="0"/>
    <w:pPr>
      <w:ind w:left="840"/>
      <w:outlineLvl w:val="3"/>
    </w:pPr>
  </w:style>
  <w:style w:type="paragraph" w:customStyle="1" w:styleId="184">
    <w:name w:val="样式1xz"/>
    <w:basedOn w:val="1"/>
    <w:qFormat/>
    <w:uiPriority w:val="0"/>
    <w:pPr>
      <w:tabs>
        <w:tab w:val="left" w:pos="1050"/>
        <w:tab w:val="right" w:leader="dot" w:pos="8296"/>
      </w:tabs>
    </w:pPr>
    <w:rPr>
      <w:caps/>
      <w:spacing w:val="2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Table Text Char Char Char"/>
    <w:link w:val="226"/>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8">
    <w:name w:val="Note"/>
    <w:basedOn w:val="1"/>
    <w:qFormat/>
    <w:uiPriority w:val="0"/>
    <w:pPr>
      <w:pBdr>
        <w:top w:val="single" w:color="auto" w:sz="12" w:space="3"/>
        <w:bottom w:val="single" w:color="auto" w:sz="12" w:space="3"/>
      </w:pBdr>
      <w:spacing w:line="360" w:lineRule="auto"/>
    </w:pPr>
    <w:rPr>
      <w:sz w:val="24"/>
    </w:rPr>
  </w:style>
  <w:style w:type="paragraph" w:customStyle="1" w:styleId="189">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90">
    <w:name w:val=" Char"/>
    <w:basedOn w:val="1"/>
    <w:qFormat/>
    <w:uiPriority w:val="0"/>
    <w:pPr>
      <w:spacing w:line="240" w:lineRule="atLeast"/>
      <w:ind w:left="420" w:firstLine="420"/>
    </w:pPr>
    <w:rPr>
      <w:kern w:val="0"/>
      <w:sz w:val="21"/>
    </w:rPr>
  </w:style>
  <w:style w:type="paragraph" w:customStyle="1" w:styleId="19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2">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93">
    <w:name w:val="Title - Revision"/>
    <w:basedOn w:val="54"/>
    <w:qFormat/>
    <w:uiPriority w:val="0"/>
    <w:pPr>
      <w:spacing w:before="720" w:beforeLines="0" w:beforeAutospacing="0"/>
    </w:pPr>
  </w:style>
  <w:style w:type="paragraph" w:customStyle="1" w:styleId="194">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95">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9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7">
    <w:name w:val="Style Heading 3h3Heading 3 - oldLevel 3 HeadH3level_3PIM 3se..."/>
    <w:basedOn w:val="2"/>
    <w:qFormat/>
    <w:uiPriority w:val="0"/>
    <w:pPr>
      <w:numPr>
        <w:ilvl w:val="2"/>
        <w:numId w:val="2"/>
      </w:numPr>
      <w:tabs>
        <w:tab w:val="left" w:pos="709"/>
        <w:tab w:val="left" w:pos="1620"/>
      </w:tabs>
      <w:spacing w:line="413" w:lineRule="auto"/>
    </w:pPr>
  </w:style>
  <w:style w:type="paragraph" w:customStyle="1" w:styleId="198">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9">
    <w:name w:val="简单回函地址"/>
    <w:basedOn w:val="1"/>
    <w:qFormat/>
    <w:uiPriority w:val="0"/>
    <w:pPr>
      <w:adjustRightInd w:val="0"/>
      <w:snapToGrid w:val="0"/>
      <w:spacing w:line="360" w:lineRule="auto"/>
    </w:pPr>
    <w:rPr>
      <w:sz w:val="24"/>
    </w:rPr>
  </w:style>
  <w:style w:type="paragraph" w:customStyle="1" w:styleId="200">
    <w:name w:val="正文1"/>
    <w:basedOn w:val="1"/>
    <w:qFormat/>
    <w:uiPriority w:val="0"/>
    <w:pPr>
      <w:spacing w:line="300" w:lineRule="auto"/>
      <w:ind w:firstLine="200" w:firstLineChars="200"/>
    </w:pPr>
    <w:rPr>
      <w:sz w:val="24"/>
    </w:rPr>
  </w:style>
  <w:style w:type="paragraph" w:customStyle="1" w:styleId="201">
    <w:name w:val="表头文本"/>
    <w:qFormat/>
    <w:uiPriority w:val="0"/>
    <w:pPr>
      <w:jc w:val="center"/>
    </w:pPr>
    <w:rPr>
      <w:rFonts w:ascii="Arial" w:hAnsi="Arial" w:eastAsia="宋体" w:cs="Times New Roman"/>
      <w:b/>
      <w:sz w:val="21"/>
      <w:lang w:val="en-US" w:eastAsia="zh-CN" w:bidi="ar-SA"/>
    </w:rPr>
  </w:style>
  <w:style w:type="paragraph" w:customStyle="1" w:styleId="202">
    <w:name w:val="00"/>
    <w:basedOn w:val="1"/>
    <w:qFormat/>
    <w:uiPriority w:val="0"/>
    <w:pPr>
      <w:autoSpaceDE w:val="0"/>
      <w:autoSpaceDN w:val="0"/>
      <w:adjustRightInd w:val="0"/>
      <w:jc w:val="left"/>
    </w:pPr>
    <w:rPr>
      <w:rFonts w:ascii="黑体" w:eastAsia="黑体"/>
      <w:b/>
      <w:kern w:val="0"/>
      <w:sz w:val="20"/>
    </w:rPr>
  </w:style>
  <w:style w:type="paragraph" w:customStyle="1" w:styleId="20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4">
    <w:name w:val="标题无"/>
    <w:basedOn w:val="1"/>
    <w:qFormat/>
    <w:uiPriority w:val="0"/>
    <w:pPr>
      <w:spacing w:line="360" w:lineRule="auto"/>
    </w:pPr>
    <w:rPr>
      <w:sz w:val="24"/>
    </w:rPr>
  </w:style>
  <w:style w:type="paragraph" w:customStyle="1" w:styleId="205">
    <w:name w:val="正文格式 Char"/>
    <w:basedOn w:val="1"/>
    <w:qFormat/>
    <w:uiPriority w:val="0"/>
    <w:pPr>
      <w:widowControl/>
      <w:adjustRightInd w:val="0"/>
      <w:spacing w:line="440" w:lineRule="atLeast"/>
      <w:ind w:firstLine="510"/>
      <w:textAlignment w:val="baseline"/>
    </w:pPr>
    <w:rPr>
      <w:kern w:val="0"/>
      <w:sz w:val="24"/>
    </w:rPr>
  </w:style>
  <w:style w:type="character" w:customStyle="1" w:styleId="206">
    <w:name w:val="正文文本缩进 2 Char"/>
    <w:link w:val="33"/>
    <w:qFormat/>
    <w:uiPriority w:val="0"/>
    <w:rPr>
      <w:kern w:val="2"/>
      <w:sz w:val="28"/>
    </w:rPr>
  </w:style>
  <w:style w:type="character" w:customStyle="1" w:styleId="207">
    <w:name w:val="gggs"/>
    <w:basedOn w:val="60"/>
    <w:qFormat/>
    <w:uiPriority w:val="0"/>
  </w:style>
  <w:style w:type="character" w:customStyle="1" w:styleId="208">
    <w:name w:val="Table Text Char"/>
    <w:link w:val="118"/>
    <w:qFormat/>
    <w:uiPriority w:val="0"/>
    <w:rPr>
      <w:rFonts w:ascii="Arial" w:hAnsi="Arial"/>
      <w:kern w:val="2"/>
      <w:sz w:val="18"/>
      <w:lang w:val="en-US" w:eastAsia="zh-CN" w:bidi="ar-SA"/>
    </w:rPr>
  </w:style>
  <w:style w:type="character" w:customStyle="1" w:styleId="209">
    <w:name w:val="批注主题 Char"/>
    <w:basedOn w:val="210"/>
    <w:link w:val="55"/>
    <w:qFormat/>
    <w:uiPriority w:val="0"/>
  </w:style>
  <w:style w:type="character" w:customStyle="1" w:styleId="210">
    <w:name w:val="批注文字 Char"/>
    <w:link w:val="19"/>
    <w:qFormat/>
    <w:uiPriority w:val="0"/>
    <w:rPr>
      <w:sz w:val="24"/>
    </w:rPr>
  </w:style>
  <w:style w:type="character" w:customStyle="1" w:styleId="211">
    <w:name w:val="标题 2 Char"/>
    <w:link w:val="4"/>
    <w:qFormat/>
    <w:uiPriority w:val="0"/>
    <w:rPr>
      <w:rFonts w:ascii="Arial" w:hAnsi="Arial" w:eastAsia="黑体"/>
      <w:b/>
      <w:kern w:val="2"/>
      <w:sz w:val="32"/>
    </w:rPr>
  </w:style>
  <w:style w:type="character" w:customStyle="1" w:styleId="212">
    <w:name w:val="日期 Char2"/>
    <w:qFormat/>
    <w:uiPriority w:val="0"/>
    <w:rPr>
      <w:kern w:val="2"/>
      <w:sz w:val="28"/>
    </w:rPr>
  </w:style>
  <w:style w:type="character" w:customStyle="1" w:styleId="213">
    <w:name w:val="正文 + 三号 Char"/>
    <w:qFormat/>
    <w:uiPriority w:val="0"/>
    <w:rPr>
      <w:rFonts w:eastAsia="宋体"/>
      <w:kern w:val="2"/>
      <w:sz w:val="21"/>
      <w:lang w:val="en-US" w:eastAsia="zh-CN"/>
    </w:rPr>
  </w:style>
  <w:style w:type="character" w:customStyle="1" w:styleId="214">
    <w:name w:val="小 Char"/>
    <w:qFormat/>
    <w:uiPriority w:val="0"/>
    <w:rPr>
      <w:rFonts w:ascii="宋体" w:hAnsi="Courier New" w:eastAsia="宋体"/>
      <w:kern w:val="2"/>
      <w:sz w:val="21"/>
      <w:lang w:val="en-US" w:eastAsia="zh-CN" w:bidi="ar-SA"/>
    </w:rPr>
  </w:style>
  <w:style w:type="character" w:customStyle="1" w:styleId="215">
    <w:name w:val="top-det1"/>
    <w:qFormat/>
    <w:uiPriority w:val="0"/>
    <w:rPr>
      <w:b/>
      <w:color w:val="000000"/>
    </w:rPr>
  </w:style>
  <w:style w:type="character" w:customStyle="1" w:styleId="216">
    <w:name w:val="正文首行缩进 2 Char"/>
    <w:basedOn w:val="217"/>
    <w:link w:val="57"/>
    <w:qFormat/>
    <w:uiPriority w:val="0"/>
  </w:style>
  <w:style w:type="character" w:customStyle="1" w:styleId="217">
    <w:name w:val="正文文本缩进 Char"/>
    <w:link w:val="23"/>
    <w:qFormat/>
    <w:uiPriority w:val="0"/>
    <w:rPr>
      <w:kern w:val="2"/>
      <w:sz w:val="44"/>
    </w:rPr>
  </w:style>
  <w:style w:type="character" w:customStyle="1" w:styleId="218">
    <w:name w:val="H2 Char"/>
    <w:qFormat/>
    <w:uiPriority w:val="0"/>
    <w:rPr>
      <w:rFonts w:ascii="Arial" w:hAnsi="Arial" w:eastAsia="宋体"/>
      <w:kern w:val="2"/>
      <w:sz w:val="28"/>
      <w:lang w:val="en-US" w:eastAsia="zh-CN"/>
    </w:rPr>
  </w:style>
  <w:style w:type="character" w:customStyle="1" w:styleId="219">
    <w:name w:val="v151"/>
    <w:qFormat/>
    <w:uiPriority w:val="0"/>
    <w:rPr>
      <w:sz w:val="18"/>
    </w:rPr>
  </w:style>
  <w:style w:type="character" w:customStyle="1" w:styleId="220">
    <w:name w:val=" Char Char3"/>
    <w:qFormat/>
    <w:uiPriority w:val="0"/>
    <w:rPr>
      <w:rFonts w:eastAsia="宋体"/>
      <w:kern w:val="2"/>
      <w:sz w:val="18"/>
      <w:lang w:val="en-US" w:eastAsia="zh-CN"/>
    </w:rPr>
  </w:style>
  <w:style w:type="character" w:customStyle="1" w:styleId="221">
    <w:name w:val="样式 宋体"/>
    <w:qFormat/>
    <w:uiPriority w:val="0"/>
    <w:rPr>
      <w:rFonts w:ascii="宋体" w:hAnsi="宋体" w:eastAsia="宋体"/>
      <w:sz w:val="28"/>
    </w:rPr>
  </w:style>
  <w:style w:type="character" w:customStyle="1" w:styleId="222">
    <w:name w:val="font1"/>
    <w:qFormat/>
    <w:uiPriority w:val="0"/>
    <w:rPr>
      <w:color w:val="000000"/>
      <w:sz w:val="18"/>
    </w:rPr>
  </w:style>
  <w:style w:type="character" w:customStyle="1" w:styleId="223">
    <w:name w:val="title_emph1"/>
    <w:qFormat/>
    <w:uiPriority w:val="0"/>
    <w:rPr>
      <w:rFonts w:hint="default" w:ascii="Arial" w:hAnsi="Arial"/>
      <w:b/>
      <w:sz w:val="20"/>
    </w:rPr>
  </w:style>
  <w:style w:type="character" w:customStyle="1" w:styleId="224">
    <w:name w:val="gggs2"/>
    <w:basedOn w:val="60"/>
    <w:qFormat/>
    <w:uiPriority w:val="0"/>
  </w:style>
  <w:style w:type="character" w:customStyle="1" w:styleId="225">
    <w:name w:val=" Char Char11"/>
    <w:qFormat/>
    <w:uiPriority w:val="0"/>
    <w:rPr>
      <w:rFonts w:ascii="宋体"/>
      <w:kern w:val="2"/>
      <w:sz w:val="28"/>
    </w:rPr>
  </w:style>
  <w:style w:type="character" w:customStyle="1" w:styleId="226">
    <w:name w:val="Table Text Char Char Char Char"/>
    <w:link w:val="186"/>
    <w:qFormat/>
    <w:uiPriority w:val="0"/>
    <w:rPr>
      <w:rFonts w:ascii="Arial" w:hAnsi="Arial"/>
      <w:kern w:val="2"/>
      <w:sz w:val="18"/>
      <w:lang w:val="en-US" w:eastAsia="zh-CN" w:bidi="ar-SA"/>
    </w:rPr>
  </w:style>
  <w:style w:type="character" w:customStyle="1" w:styleId="227">
    <w:name w:val="content-white1"/>
    <w:qFormat/>
    <w:uiPriority w:val="0"/>
    <w:rPr>
      <w:rFonts w:ascii="_x000B__x000C_" w:hAnsi="_x000B__x000C_"/>
      <w:color w:val="auto"/>
      <w:sz w:val="18"/>
      <w:u w:val="none"/>
    </w:rPr>
  </w:style>
  <w:style w:type="character" w:customStyle="1" w:styleId="228">
    <w:name w:val="Table Text Char1 Char"/>
    <w:qFormat/>
    <w:uiPriority w:val="0"/>
    <w:rPr>
      <w:rFonts w:ascii="Arial" w:hAnsi="Arial"/>
      <w:kern w:val="2"/>
      <w:sz w:val="18"/>
      <w:lang w:val="en-US" w:eastAsia="zh-CN" w:bidi="ar-SA"/>
    </w:rPr>
  </w:style>
  <w:style w:type="character" w:customStyle="1" w:styleId="229">
    <w:name w:val="layui-laypage-curr"/>
    <w:qFormat/>
    <w:uiPriority w:val="0"/>
  </w:style>
  <w:style w:type="character" w:customStyle="1" w:styleId="230">
    <w:name w:val=" Char Char5"/>
    <w:qFormat/>
    <w:uiPriority w:val="0"/>
    <w:rPr>
      <w:rFonts w:ascii="Arial" w:hAnsi="Arial" w:eastAsia="宋体"/>
      <w:b/>
      <w:smallCaps/>
      <w:kern w:val="28"/>
      <w:sz w:val="36"/>
      <w:lang w:val="en-US" w:eastAsia="en-US"/>
    </w:rPr>
  </w:style>
  <w:style w:type="character" w:customStyle="1" w:styleId="231">
    <w:name w:val="标题 3 Char"/>
    <w:link w:val="2"/>
    <w:qFormat/>
    <w:uiPriority w:val="0"/>
    <w:rPr>
      <w:rFonts w:eastAsia="宋体"/>
      <w:b/>
      <w:kern w:val="2"/>
      <w:sz w:val="32"/>
      <w:lang w:val="en-US" w:eastAsia="zh-CN"/>
    </w:rPr>
  </w:style>
  <w:style w:type="character" w:customStyle="1" w:styleId="232">
    <w:name w:val=" Char Char7"/>
    <w:qFormat/>
    <w:uiPriority w:val="0"/>
    <w:rPr>
      <w:rFonts w:ascii="宋体" w:hAnsi="宋体" w:eastAsia="宋体"/>
      <w:kern w:val="2"/>
      <w:sz w:val="28"/>
    </w:rPr>
  </w:style>
  <w:style w:type="character" w:customStyle="1" w:styleId="233">
    <w:name w:val="Table Heading Char Char"/>
    <w:qFormat/>
    <w:uiPriority w:val="0"/>
    <w:rPr>
      <w:rFonts w:ascii="Arial" w:hAnsi="Arial" w:eastAsia="黑体"/>
      <w:kern w:val="2"/>
      <w:sz w:val="18"/>
      <w:lang w:val="en-US" w:eastAsia="zh-CN"/>
    </w:rPr>
  </w:style>
  <w:style w:type="character" w:customStyle="1" w:styleId="234">
    <w:name w:val="xzspxx"/>
    <w:basedOn w:val="60"/>
    <w:qFormat/>
    <w:uiPriority w:val="0"/>
  </w:style>
  <w:style w:type="character" w:customStyle="1" w:styleId="235">
    <w:name w:val=" Char Char2"/>
    <w:qFormat/>
    <w:uiPriority w:val="0"/>
    <w:rPr>
      <w:rFonts w:eastAsia="宋体"/>
      <w:kern w:val="2"/>
      <w:sz w:val="18"/>
      <w:lang w:val="en-US" w:eastAsia="zh-CN"/>
    </w:rPr>
  </w:style>
  <w:style w:type="character" w:customStyle="1" w:styleId="236">
    <w:name w:val=" Char Char4"/>
    <w:qFormat/>
    <w:uiPriority w:val="0"/>
    <w:rPr>
      <w:rFonts w:eastAsia="宋体"/>
      <w:b/>
      <w:kern w:val="2"/>
      <w:sz w:val="21"/>
      <w:lang w:val="en-US" w:eastAsia="zh-CN"/>
    </w:rPr>
  </w:style>
  <w:style w:type="character" w:customStyle="1" w:styleId="237">
    <w:name w:val=" Char Char"/>
    <w:qFormat/>
    <w:uiPriority w:val="0"/>
    <w:rPr>
      <w:rFonts w:ascii="宋体" w:hAnsi="宋体" w:eastAsia="宋体"/>
      <w:kern w:val="2"/>
      <w:sz w:val="24"/>
      <w:lang w:val="en-US" w:eastAsia="zh-CN" w:bidi="ar-SA"/>
    </w:rPr>
  </w:style>
  <w:style w:type="character" w:customStyle="1" w:styleId="238">
    <w:name w:val="标书正文:  0.74 厘米 Char1"/>
    <w:qFormat/>
    <w:uiPriority w:val="0"/>
    <w:rPr>
      <w:rFonts w:eastAsia="宋体"/>
      <w:kern w:val="2"/>
      <w:sz w:val="24"/>
      <w:lang w:val="en-US" w:eastAsia="zh-CN"/>
    </w:rPr>
  </w:style>
  <w:style w:type="character" w:customStyle="1" w:styleId="239">
    <w:name w:val="未命名11"/>
    <w:qFormat/>
    <w:uiPriority w:val="0"/>
    <w:rPr>
      <w:color w:val="77FFFF"/>
      <w:sz w:val="24"/>
    </w:rPr>
  </w:style>
  <w:style w:type="character" w:customStyle="1" w:styleId="240">
    <w:name w:val="日期 Char"/>
    <w:link w:val="32"/>
    <w:qFormat/>
    <w:uiPriority w:val="0"/>
    <w:rPr>
      <w:kern w:val="2"/>
      <w:sz w:val="28"/>
    </w:rPr>
  </w:style>
  <w:style w:type="character" w:customStyle="1" w:styleId="241">
    <w:name w:val="crowed11"/>
    <w:qFormat/>
    <w:uiPriority w:val="0"/>
    <w:rPr>
      <w:rFonts w:hint="default" w:ascii="_x000B__x000C_" w:hAnsi="_x000B__x000C_"/>
      <w:sz w:val="24"/>
    </w:rPr>
  </w:style>
  <w:style w:type="character" w:customStyle="1" w:styleId="242">
    <w:name w:val=" Char Char6"/>
    <w:qFormat/>
    <w:uiPriority w:val="0"/>
    <w:rPr>
      <w:rFonts w:ascii="仿宋_GB2312" w:eastAsia="仿宋_GB2312"/>
      <w:kern w:val="2"/>
      <w:sz w:val="32"/>
    </w:rPr>
  </w:style>
  <w:style w:type="character" w:customStyle="1" w:styleId="243">
    <w:name w:val="文字 Char"/>
    <w:link w:val="113"/>
    <w:qFormat/>
    <w:uiPriority w:val="0"/>
    <w:rPr>
      <w:rFonts w:ascii="宋体"/>
      <w:kern w:val="2"/>
      <w:sz w:val="28"/>
    </w:rPr>
  </w:style>
  <w:style w:type="character" w:customStyle="1" w:styleId="244">
    <w:name w:val="scxx"/>
    <w:basedOn w:val="60"/>
    <w:qFormat/>
    <w:uiPriority w:val="0"/>
  </w:style>
  <w:style w:type="character" w:customStyle="1" w:styleId="245">
    <w:name w:val="脚注文本 Char"/>
    <w:link w:val="40"/>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40</Pages>
  <Words>15510</Words>
  <Characters>16004</Characters>
  <Lines>155</Lines>
  <Paragraphs>43</Paragraphs>
  <TotalTime>1</TotalTime>
  <ScaleCrop>false</ScaleCrop>
  <LinksUpToDate>false</LinksUpToDate>
  <CharactersWithSpaces>17114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2019-06-03T10:19:00Z</dcterms:created>
  <dc:creator>罗成</dc:creator>
  <cp:lastModifiedBy>ZoeYAN</cp:lastModifiedBy>
  <cp:lastPrinted>2023-07-26T08:52:00Z</cp:lastPrinted>
  <dcterms:modified xsi:type="dcterms:W3CDTF">2023-07-27T08:01:14Z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1143587521_cloud</vt:lpwstr>
  </property>
  <property fmtid="{D5CDD505-2E9C-101B-9397-08002B2CF9AE}" pid="4" name="ICV">
    <vt:lpwstr>B967779A446748579F1A5FCAA9948D12_13</vt:lpwstr>
  </property>
</Properties>
</file>