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sz w:val="32"/>
          <w:szCs w:val="32"/>
          <w:shd w:val="clear" w:color="auto" w:fill="FFFFFF"/>
        </w:rPr>
        <w:t>重庆市璧山区公路事务中心</w:t>
      </w:r>
    </w:p>
    <w:p>
      <w:pPr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璧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北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片区应急养护项目（2023年第一期）</w:t>
      </w:r>
    </w:p>
    <w:p>
      <w:pPr>
        <w:jc w:val="center"/>
        <w:rPr>
          <w:rFonts w:hint="eastAsia" w:ascii="宋体" w:hAnsi="宋体" w:eastAsia="宋体" w:cs="Times New Roman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sz w:val="32"/>
          <w:szCs w:val="32"/>
        </w:rPr>
        <w:t>工程款支付说明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1、本项目无工程预付款。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工程款支付办法:工程竣工验收至结（决）算审计前支付项目资金的支付应不超过合格工程量价款的80%；工程经审计结算，出具审计报告后支付至审定金额的97%，预留3%为质量保证金，质量保证金待缺陷责任期1年满后验收合格后一次性无息退还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支付方式：承包人出具璧山区征税机关开具的发票，由发包人采用银行转帐支付或电汇至承包人银行基本账户。若发包人的进度款因故不能按时支付，承包人不能将其作为停止施工的理由，而应继续正常施工，不误合同工期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4、 质量保证金：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质量保证金的金额或比例：工程结算价款总额的3% 。                  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质量保证金的退还： 缺陷责任期满后28日内无息退还质量保证金。质量保证金中期支付不扣留。当3%的质量保证金不足以支付缺陷修复费用，超出部分应视为承包人对发包人的债务。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RlZjhkMzIyMTNiNGRlYjEwY2RkZWVlYWIwMDUifQ=="/>
  </w:docVars>
  <w:rsids>
    <w:rsidRoot w:val="004052F1"/>
    <w:rsid w:val="00032A56"/>
    <w:rsid w:val="004052F1"/>
    <w:rsid w:val="68A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369</Words>
  <Characters>382</Characters>
  <Lines>2</Lines>
  <Paragraphs>1</Paragraphs>
  <TotalTime>3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2023-08-24T04:42:00Z</dcterms:created>
  <dc:creator>Administrator</dc:creator>
  <cp:lastModifiedBy>Administrator</cp:lastModifiedBy>
  <dcterms:modified xsi:type="dcterms:W3CDTF">2023-08-25T04:33:03Z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9F682028AE63462FBE0FED5A0946C94A_12</vt:lpwstr>
  </property>
</Properties>
</file>