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highlight w:val="none"/>
        </w:rPr>
      </w:pPr>
    </w:p>
    <w:p>
      <w:pPr>
        <w:pStyle w:val="4"/>
        <w:spacing w:before="10"/>
        <w:rPr>
          <w:rFonts w:ascii="Times New Roman"/>
          <w:sz w:val="15"/>
          <w:highlight w:val="none"/>
        </w:rPr>
      </w:pPr>
    </w:p>
    <w:p>
      <w:pPr>
        <w:jc w:val="center"/>
        <w:rPr>
          <w:rFonts w:hint="eastAsia"/>
          <w:highlight w:val="none"/>
          <w:lang w:val="en-US" w:eastAsia="zh-CN"/>
        </w:rPr>
      </w:pPr>
      <w:r>
        <w:rPr>
          <w:rFonts w:hint="eastAsia"/>
          <w:sz w:val="30"/>
          <w:highlight w:val="none"/>
          <w:lang w:val="en-US" w:eastAsia="zh-CN"/>
        </w:rPr>
        <w:t>重庆市璧山区</w:t>
      </w:r>
      <w:r>
        <w:rPr>
          <w:rFonts w:hint="eastAsia"/>
          <w:sz w:val="30"/>
          <w:highlight w:val="none"/>
        </w:rPr>
        <w:t>2</w:t>
      </w:r>
      <w:r>
        <w:rPr>
          <w:sz w:val="30"/>
          <w:highlight w:val="none"/>
        </w:rPr>
        <w:t>02</w:t>
      </w:r>
      <w:r>
        <w:rPr>
          <w:rFonts w:hint="eastAsia"/>
          <w:sz w:val="30"/>
          <w:highlight w:val="none"/>
          <w:lang w:val="en-US" w:eastAsia="zh-CN"/>
        </w:rPr>
        <w:t>3</w:t>
      </w:r>
      <w:r>
        <w:rPr>
          <w:rFonts w:hint="eastAsia"/>
          <w:sz w:val="30"/>
          <w:highlight w:val="none"/>
        </w:rPr>
        <w:t>年</w:t>
      </w:r>
      <w:r>
        <w:rPr>
          <w:rFonts w:hint="eastAsia"/>
          <w:sz w:val="30"/>
          <w:highlight w:val="none"/>
          <w:lang w:val="en-US" w:eastAsia="zh-CN"/>
        </w:rPr>
        <w:t>水爬岩、石河水库维修养护工程</w:t>
      </w:r>
    </w:p>
    <w:p>
      <w:pPr>
        <w:pStyle w:val="4"/>
        <w:spacing w:before="11"/>
        <w:rPr>
          <w:sz w:val="30"/>
          <w:highlight w:val="none"/>
        </w:rPr>
      </w:pPr>
    </w:p>
    <w:p>
      <w:pPr>
        <w:ind w:right="7562"/>
        <w:jc w:val="center"/>
        <w:rPr>
          <w:sz w:val="30"/>
          <w:highlight w:val="none"/>
        </w:rPr>
      </w:pPr>
      <w:r>
        <w:rPr>
          <w:rFonts w:hint="eastAsia"/>
          <w:sz w:val="30"/>
          <w:highlight w:val="none"/>
          <w:lang w:val="en-US" w:eastAsia="zh-CN"/>
        </w:rPr>
        <w:t xml:space="preserve">                                         </w:t>
      </w:r>
      <w:r>
        <w:rPr>
          <w:sz w:val="30"/>
          <w:highlight w:val="none"/>
        </w:rPr>
        <w:t>施工设计说明</w:t>
      </w:r>
    </w:p>
    <w:p>
      <w:pPr>
        <w:pStyle w:val="4"/>
        <w:rPr>
          <w:sz w:val="20"/>
          <w:highlight w:val="none"/>
        </w:rPr>
      </w:pPr>
    </w:p>
    <w:p>
      <w:pPr>
        <w:pStyle w:val="4"/>
        <w:spacing w:before="6"/>
        <w:rPr>
          <w:sz w:val="19"/>
          <w:highlight w:val="none"/>
        </w:rPr>
      </w:pPr>
    </w:p>
    <w:p>
      <w:pPr>
        <w:rPr>
          <w:sz w:val="19"/>
          <w:highlight w:val="none"/>
        </w:rPr>
        <w:sectPr>
          <w:footerReference r:id="rId3" w:type="default"/>
          <w:type w:val="continuous"/>
          <w:pgSz w:w="23820" w:h="16850" w:orient="landscape"/>
          <w:pgMar w:top="1600" w:right="1180" w:bottom="1180" w:left="1340" w:header="720" w:footer="992" w:gutter="0"/>
          <w:pgNumType w:start="1"/>
          <w:cols w:space="720" w:num="1"/>
        </w:sectPr>
      </w:pPr>
    </w:p>
    <w:p>
      <w:pPr>
        <w:pStyle w:val="4"/>
        <w:spacing w:before="61"/>
        <w:rPr>
          <w:sz w:val="32"/>
          <w:szCs w:val="32"/>
          <w:highlight w:val="none"/>
          <w:lang w:val="en-US"/>
        </w:rPr>
      </w:pPr>
      <w:r>
        <w:rPr>
          <w:rFonts w:hint="eastAsia"/>
          <w:sz w:val="32"/>
          <w:szCs w:val="32"/>
          <w:highlight w:val="none"/>
          <w:lang w:val="en-US"/>
        </w:rPr>
        <w:t>一、基本情况</w:t>
      </w:r>
    </w:p>
    <w:p>
      <w:pPr>
        <w:pStyle w:val="4"/>
        <w:rPr>
          <w:highlight w:val="none"/>
        </w:rPr>
      </w:pPr>
    </w:p>
    <w:p>
      <w:pPr>
        <w:pStyle w:val="4"/>
        <w:spacing w:line="417" w:lineRule="auto"/>
        <w:ind w:left="100" w:right="180" w:firstLine="559"/>
        <w:rPr>
          <w:rFonts w:hint="eastAsia" w:cs="黑体"/>
          <w:spacing w:val="-8"/>
          <w:sz w:val="28"/>
          <w:szCs w:val="28"/>
          <w:highlight w:val="none"/>
          <w:lang w:val="en-US" w:eastAsia="zh-CN" w:bidi="zh-CN"/>
        </w:rPr>
      </w:pPr>
      <w:r>
        <w:rPr>
          <w:rFonts w:hint="eastAsia" w:cs="黑体"/>
          <w:spacing w:val="-8"/>
          <w:sz w:val="28"/>
          <w:szCs w:val="28"/>
          <w:highlight w:val="none"/>
          <w:lang w:val="en-US" w:eastAsia="zh-CN" w:bidi="zh-CN"/>
        </w:rPr>
        <w:t>（一）水爬岩水库</w:t>
      </w:r>
    </w:p>
    <w:p>
      <w:pPr>
        <w:pStyle w:val="4"/>
        <w:spacing w:line="417" w:lineRule="auto"/>
        <w:ind w:left="100" w:right="180" w:firstLine="559"/>
        <w:rPr>
          <w:rFonts w:hint="default" w:cs="黑体"/>
          <w:spacing w:val="-8"/>
          <w:sz w:val="28"/>
          <w:szCs w:val="28"/>
          <w:highlight w:val="none"/>
          <w:lang w:val="en-US" w:eastAsia="zh-CN" w:bidi="zh-CN"/>
        </w:rPr>
      </w:pPr>
      <w:r>
        <w:rPr>
          <w:rFonts w:hint="eastAsia" w:cs="黑体"/>
          <w:spacing w:val="-8"/>
          <w:sz w:val="28"/>
          <w:szCs w:val="28"/>
          <w:highlight w:val="none"/>
          <w:lang w:val="en-US" w:eastAsia="zh-CN" w:bidi="zh-CN"/>
        </w:rPr>
        <w:t>水爬岩水库位于璧山区福禄镇龙宝村，是一座以供水为主，兼防洪、灌溉于一体的小（1）型骨干水利工程。坝址以上集雨面积3.34km</w:t>
      </w:r>
      <w:r>
        <w:rPr>
          <w:rFonts w:hint="eastAsia" w:cs="黑体"/>
          <w:spacing w:val="-8"/>
          <w:sz w:val="28"/>
          <w:szCs w:val="28"/>
          <w:highlight w:val="none"/>
          <w:vertAlign w:val="superscript"/>
          <w:lang w:val="en-US" w:eastAsia="zh-CN" w:bidi="zh-CN"/>
        </w:rPr>
        <w:t>2</w:t>
      </w:r>
      <w:r>
        <w:rPr>
          <w:rFonts w:hint="eastAsia" w:cs="黑体"/>
          <w:spacing w:val="-8"/>
          <w:sz w:val="28"/>
          <w:szCs w:val="28"/>
          <w:highlight w:val="none"/>
          <w:lang w:val="en-US" w:eastAsia="zh-CN" w:bidi="zh-CN"/>
        </w:rPr>
        <w:t>，水库总库容107.0万m³，水库枢纽工程由大坝、溢洪道、放水设施组成。大坝为均质土坝，上、下游坡脚均为堆石体，现状坝高23.95m，坝顶高程384.48m，坝顶宽4.8m，上、下游两侧设置栏杆，栏杆高度为 1.2m，栏杆基础置于坝顶道路砼路缘石内，路缘石的尺寸为 0.25×0.25m，坝轴线长120.0m，坝底最大宽度116.8m，正常蓄水位高程377.50m。大坝上游坝坡坡比从上至下依次为1:2.42、1:4.74，上游坝脚堆石体迎水面坡比为1:0.87；下游坝坡坡比从上至下分别为1:1.87、1:2.57，下游排水棱体临空面坡比为1:1.28。溢洪道位于大坝右岸，为开敞式宽顶堰（正堰），堰顶净宽5m，溢洪道全长304.6m，由溢流堰、调整段（Y0+033.0—Y0+044.8，设有交通桥）、一级泄槽段、一级消力池、二级泄槽段、二级消力池和尾水渠组成。水库放水设施包括放水竖井、隧洞和放水管。</w:t>
      </w:r>
    </w:p>
    <w:p>
      <w:pPr>
        <w:pStyle w:val="4"/>
        <w:spacing w:line="417" w:lineRule="auto"/>
        <w:ind w:left="100" w:right="180" w:firstLine="559"/>
        <w:rPr>
          <w:rFonts w:hint="default" w:cs="黑体"/>
          <w:spacing w:val="-8"/>
          <w:sz w:val="28"/>
          <w:szCs w:val="28"/>
          <w:highlight w:val="none"/>
          <w:lang w:val="en-US" w:eastAsia="zh-CN" w:bidi="zh-CN"/>
        </w:rPr>
      </w:pPr>
      <w:r>
        <w:rPr>
          <w:rFonts w:hint="eastAsia" w:cs="黑体"/>
          <w:spacing w:val="-8"/>
          <w:sz w:val="28"/>
          <w:szCs w:val="28"/>
          <w:highlight w:val="none"/>
          <w:lang w:val="en-US" w:eastAsia="zh-CN" w:bidi="zh-CN"/>
        </w:rPr>
        <w:t>（二）石河水库</w:t>
      </w:r>
    </w:p>
    <w:p>
      <w:pPr>
        <w:pStyle w:val="4"/>
        <w:spacing w:line="417" w:lineRule="auto"/>
        <w:ind w:left="100" w:right="180" w:firstLine="559"/>
        <w:rPr>
          <w:rFonts w:hint="eastAsia" w:cs="黑体"/>
          <w:spacing w:val="-8"/>
          <w:sz w:val="28"/>
          <w:szCs w:val="28"/>
          <w:highlight w:val="none"/>
          <w:lang w:val="en-US" w:eastAsia="zh-CN" w:bidi="zh-CN"/>
        </w:rPr>
      </w:pPr>
      <w:r>
        <w:rPr>
          <w:rFonts w:hint="eastAsia" w:ascii="黑体" w:hAnsi="黑体" w:eastAsia="黑体" w:cs="黑体"/>
          <w:spacing w:val="-8"/>
          <w:sz w:val="28"/>
          <w:szCs w:val="28"/>
          <w:highlight w:val="none"/>
          <w:lang w:val="en-US" w:eastAsia="zh-CN" w:bidi="zh-CN"/>
        </w:rPr>
        <w:t>石河水库位于璧山区璧城街道来龙村，是一座以灌溉为主，兼有防洪、养殖等综合利用的小（2）型水库</w:t>
      </w:r>
      <w:r>
        <w:rPr>
          <w:rFonts w:hint="eastAsia" w:cs="黑体"/>
          <w:spacing w:val="-8"/>
          <w:sz w:val="28"/>
          <w:szCs w:val="28"/>
          <w:highlight w:val="none"/>
          <w:lang w:val="en-US" w:eastAsia="zh-CN" w:bidi="zh-CN"/>
        </w:rPr>
        <w:t>，坝址以上集雨面积1.34km</w:t>
      </w:r>
      <w:r>
        <w:rPr>
          <w:rFonts w:hint="eastAsia" w:cs="黑体"/>
          <w:spacing w:val="-8"/>
          <w:sz w:val="28"/>
          <w:szCs w:val="28"/>
          <w:highlight w:val="none"/>
          <w:vertAlign w:val="superscript"/>
          <w:lang w:val="en-US" w:eastAsia="zh-CN" w:bidi="zh-CN"/>
        </w:rPr>
        <w:t>2</w:t>
      </w:r>
      <w:r>
        <w:rPr>
          <w:rFonts w:hint="eastAsia" w:cs="黑体"/>
          <w:spacing w:val="-8"/>
          <w:sz w:val="28"/>
          <w:szCs w:val="28"/>
          <w:highlight w:val="none"/>
          <w:lang w:val="en-US" w:eastAsia="zh-CN" w:bidi="zh-CN"/>
        </w:rPr>
        <w:t>，总库容53.74万m</w:t>
      </w:r>
      <w:r>
        <w:rPr>
          <w:rFonts w:hint="eastAsia" w:cs="黑体"/>
          <w:spacing w:val="-8"/>
          <w:sz w:val="28"/>
          <w:szCs w:val="28"/>
          <w:highlight w:val="none"/>
          <w:vertAlign w:val="superscript"/>
          <w:lang w:val="en-US" w:eastAsia="zh-CN" w:bidi="zh-CN"/>
        </w:rPr>
        <w:t>3</w:t>
      </w:r>
      <w:r>
        <w:rPr>
          <w:rFonts w:hint="eastAsia" w:cs="黑体"/>
          <w:spacing w:val="-8"/>
          <w:sz w:val="28"/>
          <w:szCs w:val="28"/>
          <w:highlight w:val="none"/>
          <w:lang w:val="en-US" w:eastAsia="zh-CN" w:bidi="zh-CN"/>
        </w:rPr>
        <w:t>，校核洪水位391.72m，设计洪水位391.05m，正常蓄水位388.95m，死水位385.00m。设计灌溉面积663亩。石河水库主要建筑物由大坝、溢洪道和放水设施等组成。大坝为均质土坝，最大坝高为10.3m，坝顶高程392.44m，防浪墙顶高程393.84m，坝顶宽度9.38m，坝顶轴线长66.0m，坝顶有省道S208穿过。大坝上游坝坡从上而下为：1：2.60、1：3.00，下游坝坡从上而下为：1：2.50、1：3.63、1：1.50，高程388.44m及高程384.57m各有一级马道，分别宽2.0m、1.5m。下游坝脚为干砌条石排水棱体，外侧坡比1：1.50；棱体顶部高程384.57m，棱体顶至坝顶采用混凝土六棱块护坡，现状结构完好。溢洪道位于大坝右坝肩，为正槽开敞式溢洪道，堰宽2.4m，堰顶宽13.25m。由进口段、控制段、泄槽段、消能设施4部分组成，全长114.70m。溢K0+000至溢K0+007.10段为进口段，进口宽5.0m，出口宽3.2m，边墙为浆砌条石结构，底板为混凝土结构。放水设施由放水竖井及隧洞组成，竖井内径2.5m，竖井为钢筋混凝土结构，竖井底部采用φ300mm无缝压力钢管放水，放水管用φ300蝶阀控制；隧洞为城门洞型式，采用浆砌条石砌筑，净空断面尺寸为0.9m×0.9m（宽×高），隧洞拱顶高0.3m。</w:t>
      </w:r>
    </w:p>
    <w:p>
      <w:pPr>
        <w:pStyle w:val="4"/>
        <w:numPr>
          <w:ilvl w:val="0"/>
          <w:numId w:val="1"/>
        </w:numPr>
        <w:spacing w:before="61"/>
        <w:rPr>
          <w:sz w:val="32"/>
          <w:szCs w:val="32"/>
          <w:highlight w:val="none"/>
          <w:lang w:val="en-US"/>
        </w:rPr>
      </w:pPr>
      <w:r>
        <w:rPr>
          <w:rFonts w:hint="eastAsia"/>
          <w:sz w:val="32"/>
          <w:szCs w:val="32"/>
          <w:highlight w:val="none"/>
          <w:lang w:val="en-US"/>
        </w:rPr>
        <w:t>存在问题</w:t>
      </w:r>
    </w:p>
    <w:p>
      <w:pPr>
        <w:pStyle w:val="4"/>
        <w:numPr>
          <w:numId w:val="0"/>
        </w:numPr>
        <w:spacing w:line="417" w:lineRule="auto"/>
        <w:ind w:left="659" w:leftChars="0" w:right="180" w:rightChars="0"/>
        <w:rPr>
          <w:rFonts w:hint="default" w:eastAsia="黑体"/>
          <w:spacing w:val="-8"/>
          <w:highlight w:val="none"/>
          <w:lang w:val="en-US" w:eastAsia="zh-CN"/>
        </w:rPr>
      </w:pPr>
      <w:r>
        <w:rPr>
          <w:rFonts w:hint="eastAsia"/>
          <w:spacing w:val="-8"/>
          <w:highlight w:val="none"/>
          <w:lang w:val="en-US" w:eastAsia="zh-CN"/>
        </w:rPr>
        <w:t>（一）水爬岩水库</w:t>
      </w:r>
    </w:p>
    <w:p>
      <w:pPr>
        <w:pStyle w:val="4"/>
        <w:numPr>
          <w:ilvl w:val="0"/>
          <w:numId w:val="2"/>
        </w:numPr>
        <w:spacing w:line="417" w:lineRule="auto"/>
        <w:ind w:left="100" w:right="180" w:firstLine="559"/>
        <w:rPr>
          <w:spacing w:val="-8"/>
          <w:highlight w:val="none"/>
          <w:lang w:val="en-US"/>
        </w:rPr>
      </w:pPr>
      <w:r>
        <w:rPr>
          <w:rFonts w:hint="eastAsia"/>
          <w:spacing w:val="-8"/>
          <w:highlight w:val="none"/>
          <w:lang w:val="en-US" w:eastAsia="zh-CN"/>
        </w:rPr>
        <w:t>坝顶上下游栏杆部分损坏</w:t>
      </w:r>
      <w:r>
        <w:rPr>
          <w:rFonts w:hint="eastAsia"/>
          <w:spacing w:val="-8"/>
          <w:highlight w:val="none"/>
          <w:lang w:val="en-US"/>
        </w:rPr>
        <w:t>。</w:t>
      </w:r>
    </w:p>
    <w:p>
      <w:pPr>
        <w:pStyle w:val="4"/>
        <w:numPr>
          <w:ilvl w:val="0"/>
          <w:numId w:val="2"/>
        </w:numPr>
        <w:spacing w:line="417" w:lineRule="auto"/>
        <w:ind w:left="100" w:right="180" w:firstLine="559"/>
        <w:rPr>
          <w:spacing w:val="-8"/>
          <w:highlight w:val="none"/>
          <w:lang w:val="en-US"/>
        </w:rPr>
      </w:pPr>
      <w:r>
        <w:rPr>
          <w:rFonts w:hint="eastAsia"/>
          <w:spacing w:val="-8"/>
          <w:highlight w:val="none"/>
          <w:lang w:val="en-US" w:eastAsia="zh-CN"/>
        </w:rPr>
        <w:t>溢洪道溢流堰处右侧边墙至农户段无防护措施，一级消力池处有石渣未清除</w:t>
      </w:r>
      <w:r>
        <w:rPr>
          <w:rFonts w:hint="eastAsia"/>
          <w:spacing w:val="-8"/>
          <w:highlight w:val="none"/>
          <w:lang w:val="en-US"/>
        </w:rPr>
        <w:t>。</w:t>
      </w:r>
    </w:p>
    <w:p>
      <w:pPr>
        <w:pStyle w:val="4"/>
        <w:numPr>
          <w:numId w:val="0"/>
        </w:numPr>
        <w:spacing w:line="417" w:lineRule="auto"/>
        <w:ind w:left="659" w:leftChars="0" w:right="180" w:rightChars="0"/>
        <w:rPr>
          <w:rFonts w:hint="default" w:eastAsia="黑体"/>
          <w:spacing w:val="-8"/>
          <w:highlight w:val="none"/>
          <w:lang w:val="en-US" w:eastAsia="zh-CN"/>
        </w:rPr>
      </w:pPr>
      <w:r>
        <w:rPr>
          <w:rFonts w:hint="eastAsia" w:eastAsia="黑体"/>
          <w:spacing w:val="-8"/>
          <w:highlight w:val="none"/>
          <w:lang w:val="en-US" w:eastAsia="zh-CN"/>
        </w:rPr>
        <w:drawing>
          <wp:inline distT="0" distB="0" distL="114300" distR="114300">
            <wp:extent cx="1395095" cy="1861820"/>
            <wp:effectExtent l="0" t="0" r="14605" b="5080"/>
            <wp:docPr id="2" name="图片 2" descr="微信图片_2023111015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1110155653"/>
                    <pic:cNvPicPr>
                      <a:picLocks noChangeAspect="1"/>
                    </pic:cNvPicPr>
                  </pic:nvPicPr>
                  <pic:blipFill>
                    <a:blip r:embed="rId5"/>
                    <a:stretch>
                      <a:fillRect/>
                    </a:stretch>
                  </pic:blipFill>
                  <pic:spPr>
                    <a:xfrm>
                      <a:off x="0" y="0"/>
                      <a:ext cx="1395095" cy="1861820"/>
                    </a:xfrm>
                    <a:prstGeom prst="rect">
                      <a:avLst/>
                    </a:prstGeom>
                  </pic:spPr>
                </pic:pic>
              </a:graphicData>
            </a:graphic>
          </wp:inline>
        </w:drawing>
      </w:r>
      <w:r>
        <w:rPr>
          <w:rFonts w:hint="eastAsia"/>
          <w:spacing w:val="-8"/>
          <w:highlight w:val="none"/>
          <w:lang w:val="en-US" w:eastAsia="zh-CN"/>
        </w:rPr>
        <w:t xml:space="preserve"> </w:t>
      </w:r>
      <w:r>
        <w:rPr>
          <w:rFonts w:hint="default" w:eastAsia="黑体"/>
          <w:spacing w:val="-8"/>
          <w:highlight w:val="none"/>
          <w:lang w:val="en-US" w:eastAsia="zh-CN"/>
        </w:rPr>
        <w:drawing>
          <wp:inline distT="0" distB="0" distL="114300" distR="114300">
            <wp:extent cx="1387475" cy="1851660"/>
            <wp:effectExtent l="0" t="0" r="3175" b="15240"/>
            <wp:docPr id="3" name="图片 3" descr="微信图片_2023111015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1110155656"/>
                    <pic:cNvPicPr>
                      <a:picLocks noChangeAspect="1"/>
                    </pic:cNvPicPr>
                  </pic:nvPicPr>
                  <pic:blipFill>
                    <a:blip r:embed="rId6"/>
                    <a:stretch>
                      <a:fillRect/>
                    </a:stretch>
                  </pic:blipFill>
                  <pic:spPr>
                    <a:xfrm>
                      <a:off x="0" y="0"/>
                      <a:ext cx="1387475" cy="1851660"/>
                    </a:xfrm>
                    <a:prstGeom prst="rect">
                      <a:avLst/>
                    </a:prstGeom>
                  </pic:spPr>
                </pic:pic>
              </a:graphicData>
            </a:graphic>
          </wp:inline>
        </w:drawing>
      </w:r>
      <w:r>
        <w:rPr>
          <w:rFonts w:hint="eastAsia"/>
          <w:spacing w:val="-8"/>
          <w:highlight w:val="none"/>
          <w:lang w:val="en-US" w:eastAsia="zh-CN"/>
        </w:rPr>
        <w:t xml:space="preserve"> </w:t>
      </w:r>
      <w:r>
        <w:rPr>
          <w:rFonts w:hint="default" w:eastAsia="黑体"/>
          <w:spacing w:val="-8"/>
          <w:highlight w:val="none"/>
          <w:lang w:val="en-US" w:eastAsia="zh-CN"/>
        </w:rPr>
        <w:drawing>
          <wp:inline distT="0" distB="0" distL="114300" distR="114300">
            <wp:extent cx="1396365" cy="1864360"/>
            <wp:effectExtent l="0" t="0" r="13335" b="2540"/>
            <wp:docPr id="4" name="图片 4" descr="微信图片_2023111015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1110155657"/>
                    <pic:cNvPicPr>
                      <a:picLocks noChangeAspect="1"/>
                    </pic:cNvPicPr>
                  </pic:nvPicPr>
                  <pic:blipFill>
                    <a:blip r:embed="rId7"/>
                    <a:stretch>
                      <a:fillRect/>
                    </a:stretch>
                  </pic:blipFill>
                  <pic:spPr>
                    <a:xfrm>
                      <a:off x="0" y="0"/>
                      <a:ext cx="1396365" cy="1864360"/>
                    </a:xfrm>
                    <a:prstGeom prst="rect">
                      <a:avLst/>
                    </a:prstGeom>
                  </pic:spPr>
                </pic:pic>
              </a:graphicData>
            </a:graphic>
          </wp:inline>
        </w:drawing>
      </w:r>
      <w:r>
        <w:rPr>
          <w:rFonts w:hint="eastAsia"/>
          <w:spacing w:val="-8"/>
          <w:highlight w:val="none"/>
          <w:lang w:val="en-US" w:eastAsia="zh-CN"/>
        </w:rPr>
        <w:t xml:space="preserve"> </w:t>
      </w:r>
      <w:r>
        <w:rPr>
          <w:rFonts w:hint="default" w:eastAsia="黑体"/>
          <w:spacing w:val="-8"/>
          <w:highlight w:val="none"/>
          <w:lang w:val="en-US" w:eastAsia="zh-CN"/>
        </w:rPr>
        <w:drawing>
          <wp:inline distT="0" distB="0" distL="114300" distR="114300">
            <wp:extent cx="1378585" cy="1839595"/>
            <wp:effectExtent l="0" t="0" r="12065" b="8255"/>
            <wp:docPr id="5" name="图片 5" descr="微信图片_2023111015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1110155701"/>
                    <pic:cNvPicPr>
                      <a:picLocks noChangeAspect="1"/>
                    </pic:cNvPicPr>
                  </pic:nvPicPr>
                  <pic:blipFill>
                    <a:blip r:embed="rId8"/>
                    <a:stretch>
                      <a:fillRect/>
                    </a:stretch>
                  </pic:blipFill>
                  <pic:spPr>
                    <a:xfrm>
                      <a:off x="0" y="0"/>
                      <a:ext cx="1378585" cy="1839595"/>
                    </a:xfrm>
                    <a:prstGeom prst="rect">
                      <a:avLst/>
                    </a:prstGeom>
                  </pic:spPr>
                </pic:pic>
              </a:graphicData>
            </a:graphic>
          </wp:inline>
        </w:drawing>
      </w:r>
    </w:p>
    <w:p>
      <w:pPr>
        <w:pStyle w:val="4"/>
        <w:numPr>
          <w:ilvl w:val="0"/>
          <w:numId w:val="0"/>
        </w:numPr>
        <w:spacing w:line="417" w:lineRule="auto"/>
        <w:ind w:left="659" w:leftChars="0" w:right="180" w:rightChars="0"/>
        <w:rPr>
          <w:rFonts w:hint="default" w:eastAsia="黑体"/>
          <w:spacing w:val="-8"/>
          <w:highlight w:val="none"/>
          <w:lang w:val="en-US" w:eastAsia="zh-CN"/>
        </w:rPr>
      </w:pPr>
      <w:r>
        <w:rPr>
          <w:rFonts w:hint="eastAsia"/>
          <w:spacing w:val="-8"/>
          <w:highlight w:val="none"/>
          <w:lang w:val="en-US" w:eastAsia="zh-CN"/>
        </w:rPr>
        <w:t>（二）石河水库</w:t>
      </w:r>
    </w:p>
    <w:p>
      <w:pPr>
        <w:pStyle w:val="4"/>
        <w:numPr>
          <w:numId w:val="0"/>
        </w:numPr>
        <w:spacing w:line="417" w:lineRule="auto"/>
        <w:ind w:left="659" w:leftChars="0" w:right="180" w:rightChars="0"/>
        <w:rPr>
          <w:rFonts w:hint="eastAsia"/>
          <w:spacing w:val="-8"/>
          <w:highlight w:val="none"/>
          <w:lang w:val="en-US" w:eastAsia="zh-CN"/>
        </w:rPr>
      </w:pPr>
      <w:r>
        <w:rPr>
          <w:rFonts w:hint="eastAsia"/>
          <w:spacing w:val="-8"/>
          <w:highlight w:val="none"/>
          <w:lang w:val="en-US" w:eastAsia="zh-CN"/>
        </w:rPr>
        <w:t>（1）溢洪道进口段与控制段连接处底板砂浆脱落，因水库泄洪冲刷形成，砂浆脱落面积较小，深度较浅。</w:t>
      </w:r>
    </w:p>
    <w:p>
      <w:pPr>
        <w:pStyle w:val="4"/>
        <w:numPr>
          <w:numId w:val="0"/>
        </w:numPr>
        <w:spacing w:line="417" w:lineRule="auto"/>
        <w:ind w:left="659" w:leftChars="0" w:right="180" w:rightChars="0"/>
        <w:rPr>
          <w:rFonts w:hint="default" w:eastAsia="黑体"/>
          <w:spacing w:val="-8"/>
          <w:highlight w:val="none"/>
          <w:lang w:val="en-US" w:eastAsia="zh-CN"/>
        </w:rPr>
      </w:pPr>
      <w:r>
        <w:rPr>
          <w:rFonts w:hint="eastAsia"/>
          <w:spacing w:val="-8"/>
          <w:highlight w:val="none"/>
          <w:lang w:val="en-US" w:eastAsia="zh-CN"/>
        </w:rPr>
        <w:drawing>
          <wp:inline distT="0" distB="0" distL="114300" distR="114300">
            <wp:extent cx="1656715" cy="2210435"/>
            <wp:effectExtent l="0" t="0" r="635" b="18415"/>
            <wp:docPr id="6" name="图片 6" descr="微信图片_2023111015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1110155722"/>
                    <pic:cNvPicPr>
                      <a:picLocks noChangeAspect="1"/>
                    </pic:cNvPicPr>
                  </pic:nvPicPr>
                  <pic:blipFill>
                    <a:blip r:embed="rId9"/>
                    <a:stretch>
                      <a:fillRect/>
                    </a:stretch>
                  </pic:blipFill>
                  <pic:spPr>
                    <a:xfrm>
                      <a:off x="0" y="0"/>
                      <a:ext cx="1656715" cy="2210435"/>
                    </a:xfrm>
                    <a:prstGeom prst="rect">
                      <a:avLst/>
                    </a:prstGeom>
                  </pic:spPr>
                </pic:pic>
              </a:graphicData>
            </a:graphic>
          </wp:inline>
        </w:drawing>
      </w:r>
      <w:r>
        <w:rPr>
          <w:rFonts w:hint="eastAsia"/>
          <w:spacing w:val="-8"/>
          <w:highlight w:val="none"/>
          <w:lang w:val="en-US" w:eastAsia="zh-CN"/>
        </w:rPr>
        <w:t xml:space="preserve">   </w:t>
      </w:r>
      <w:r>
        <w:rPr>
          <w:rFonts w:hint="eastAsia"/>
          <w:spacing w:val="-8"/>
          <w:highlight w:val="none"/>
          <w:lang w:val="en-US" w:eastAsia="zh-CN"/>
        </w:rPr>
        <w:drawing>
          <wp:inline distT="0" distB="0" distL="114300" distR="114300">
            <wp:extent cx="1641475" cy="2190115"/>
            <wp:effectExtent l="0" t="0" r="15875" b="635"/>
            <wp:docPr id="7" name="图片 7" descr="微信图片_20231110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1110155719"/>
                    <pic:cNvPicPr>
                      <a:picLocks noChangeAspect="1"/>
                    </pic:cNvPicPr>
                  </pic:nvPicPr>
                  <pic:blipFill>
                    <a:blip r:embed="rId10"/>
                    <a:stretch>
                      <a:fillRect/>
                    </a:stretch>
                  </pic:blipFill>
                  <pic:spPr>
                    <a:xfrm>
                      <a:off x="0" y="0"/>
                      <a:ext cx="1641475" cy="2190115"/>
                    </a:xfrm>
                    <a:prstGeom prst="rect">
                      <a:avLst/>
                    </a:prstGeom>
                  </pic:spPr>
                </pic:pic>
              </a:graphicData>
            </a:graphic>
          </wp:inline>
        </w:drawing>
      </w:r>
      <w:r>
        <w:rPr>
          <w:rFonts w:hint="eastAsia"/>
          <w:spacing w:val="-8"/>
          <w:highlight w:val="none"/>
          <w:lang w:val="en-US" w:eastAsia="zh-CN"/>
        </w:rPr>
        <w:t xml:space="preserve">   </w:t>
      </w:r>
      <w:r>
        <w:rPr>
          <w:rFonts w:hint="default" w:eastAsia="黑体"/>
          <w:spacing w:val="-8"/>
          <w:highlight w:val="none"/>
          <w:lang w:val="en-US" w:eastAsia="zh-CN"/>
        </w:rPr>
        <w:drawing>
          <wp:inline distT="0" distB="0" distL="114300" distR="114300">
            <wp:extent cx="1652270" cy="2204085"/>
            <wp:effectExtent l="0" t="0" r="5080" b="5715"/>
            <wp:docPr id="8" name="图片 8" descr="微信图片_2023111015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1110155714"/>
                    <pic:cNvPicPr>
                      <a:picLocks noChangeAspect="1"/>
                    </pic:cNvPicPr>
                  </pic:nvPicPr>
                  <pic:blipFill>
                    <a:blip r:embed="rId11"/>
                    <a:stretch>
                      <a:fillRect/>
                    </a:stretch>
                  </pic:blipFill>
                  <pic:spPr>
                    <a:xfrm>
                      <a:off x="0" y="0"/>
                      <a:ext cx="1652270" cy="2204085"/>
                    </a:xfrm>
                    <a:prstGeom prst="rect">
                      <a:avLst/>
                    </a:prstGeom>
                  </pic:spPr>
                </pic:pic>
              </a:graphicData>
            </a:graphic>
          </wp:inline>
        </w:drawing>
      </w:r>
    </w:p>
    <w:p>
      <w:pPr>
        <w:pStyle w:val="4"/>
        <w:numPr>
          <w:ilvl w:val="0"/>
          <w:numId w:val="1"/>
        </w:numPr>
        <w:spacing w:before="61"/>
        <w:rPr>
          <w:rFonts w:hint="eastAsia"/>
          <w:sz w:val="32"/>
          <w:szCs w:val="32"/>
          <w:highlight w:val="none"/>
          <w:lang w:val="en-US"/>
        </w:rPr>
      </w:pPr>
      <w:r>
        <w:rPr>
          <w:rFonts w:hint="eastAsia"/>
          <w:sz w:val="32"/>
          <w:szCs w:val="32"/>
          <w:highlight w:val="none"/>
          <w:lang w:val="en-US"/>
        </w:rPr>
        <w:t>设计依据及规范</w:t>
      </w:r>
    </w:p>
    <w:p>
      <w:pPr>
        <w:pStyle w:val="4"/>
        <w:spacing w:line="417" w:lineRule="auto"/>
        <w:ind w:left="100" w:right="180" w:firstLine="559"/>
        <w:rPr>
          <w:rFonts w:hint="eastAsia"/>
          <w:spacing w:val="-8"/>
          <w:highlight w:val="none"/>
          <w:lang w:val="en-US" w:eastAsia="zh-CN"/>
        </w:rPr>
      </w:pPr>
      <w:r>
        <w:rPr>
          <w:rFonts w:hint="eastAsia"/>
          <w:spacing w:val="-8"/>
          <w:highlight w:val="none"/>
          <w:lang w:val="en-US" w:eastAsia="zh-CN"/>
        </w:rPr>
        <w:t>（1）《水利工程建设标准强制性条文》（2020 年版）；</w:t>
      </w:r>
    </w:p>
    <w:p>
      <w:pPr>
        <w:pStyle w:val="4"/>
        <w:spacing w:line="417" w:lineRule="auto"/>
        <w:ind w:left="100" w:right="180" w:firstLine="559"/>
        <w:rPr>
          <w:rFonts w:hint="eastAsia"/>
          <w:spacing w:val="-8"/>
          <w:highlight w:val="none"/>
          <w:lang w:val="en-US" w:eastAsia="zh-CN"/>
        </w:rPr>
      </w:pPr>
      <w:r>
        <w:rPr>
          <w:rFonts w:hint="eastAsia"/>
          <w:spacing w:val="-8"/>
          <w:highlight w:val="none"/>
          <w:lang w:val="en-US" w:eastAsia="zh-CN"/>
        </w:rPr>
        <w:t>（2）《防洪标准》（GB50201-2014）；</w:t>
      </w:r>
    </w:p>
    <w:p>
      <w:pPr>
        <w:pStyle w:val="4"/>
        <w:spacing w:line="417" w:lineRule="auto"/>
        <w:ind w:left="100" w:right="180" w:firstLine="559"/>
        <w:rPr>
          <w:rFonts w:hint="eastAsia"/>
          <w:spacing w:val="-8"/>
          <w:highlight w:val="none"/>
          <w:lang w:val="en-US" w:eastAsia="zh-CN"/>
        </w:rPr>
      </w:pPr>
      <w:r>
        <w:rPr>
          <w:rFonts w:hint="eastAsia"/>
          <w:spacing w:val="-8"/>
          <w:highlight w:val="none"/>
          <w:lang w:val="en-US" w:eastAsia="zh-CN"/>
        </w:rPr>
        <w:t>（3）《水利水电工程等级划分及洪水标准》（SL252-2017）；</w:t>
      </w:r>
    </w:p>
    <w:p>
      <w:pPr>
        <w:pStyle w:val="4"/>
        <w:spacing w:line="417" w:lineRule="auto"/>
        <w:ind w:left="100" w:right="180" w:firstLine="559"/>
        <w:rPr>
          <w:rFonts w:hint="eastAsia"/>
          <w:spacing w:val="-8"/>
          <w:highlight w:val="none"/>
          <w:lang w:val="en-US" w:eastAsia="zh-CN"/>
        </w:rPr>
      </w:pPr>
      <w:r>
        <w:rPr>
          <w:rFonts w:hint="eastAsia"/>
          <w:spacing w:val="-8"/>
          <w:highlight w:val="none"/>
          <w:lang w:val="en-US" w:eastAsia="zh-CN"/>
        </w:rPr>
        <w:t>（4）《水利水电工程设计洪水计算规范》（SL44-2006）；</w:t>
      </w:r>
    </w:p>
    <w:p>
      <w:pPr>
        <w:pStyle w:val="4"/>
        <w:spacing w:line="417" w:lineRule="auto"/>
        <w:ind w:left="100" w:right="180" w:firstLine="559"/>
        <w:rPr>
          <w:rFonts w:hint="eastAsia"/>
          <w:spacing w:val="-8"/>
          <w:highlight w:val="none"/>
          <w:lang w:val="en-US" w:eastAsia="zh-CN"/>
        </w:rPr>
      </w:pPr>
      <w:r>
        <w:rPr>
          <w:rFonts w:hint="eastAsia"/>
          <w:spacing w:val="-8"/>
          <w:highlight w:val="none"/>
          <w:lang w:val="en-US" w:eastAsia="zh-CN"/>
        </w:rPr>
        <w:t>（5）《水利工程水利计算规范》（SL104－2015）；</w:t>
      </w:r>
    </w:p>
    <w:p>
      <w:pPr>
        <w:pStyle w:val="4"/>
        <w:spacing w:line="417" w:lineRule="auto"/>
        <w:ind w:left="100" w:right="180" w:firstLine="559"/>
        <w:rPr>
          <w:rFonts w:hint="eastAsia"/>
          <w:spacing w:val="-8"/>
          <w:highlight w:val="none"/>
          <w:lang w:val="en-US" w:eastAsia="zh-CN"/>
        </w:rPr>
      </w:pPr>
      <w:r>
        <w:rPr>
          <w:rFonts w:hint="eastAsia"/>
          <w:spacing w:val="-8"/>
          <w:highlight w:val="none"/>
          <w:lang w:val="en-US" w:eastAsia="zh-CN"/>
        </w:rPr>
        <w:t>（6）《小型水利水电工程碾压式土石坝设计规范》（SL189-2013）；</w:t>
      </w:r>
    </w:p>
    <w:p>
      <w:pPr>
        <w:pStyle w:val="4"/>
        <w:spacing w:line="417" w:lineRule="auto"/>
        <w:ind w:left="100" w:right="180" w:firstLine="559"/>
        <w:rPr>
          <w:rFonts w:hint="eastAsia"/>
          <w:spacing w:val="-8"/>
          <w:highlight w:val="none"/>
          <w:lang w:val="en-US" w:eastAsia="zh-CN"/>
        </w:rPr>
      </w:pPr>
      <w:r>
        <w:rPr>
          <w:rFonts w:hint="eastAsia"/>
          <w:spacing w:val="-8"/>
          <w:highlight w:val="none"/>
          <w:lang w:val="en-US" w:eastAsia="zh-CN"/>
        </w:rPr>
        <w:t>（7）《水工建筑物岩石地基开挖施工技术规范》（SL47-2020）；</w:t>
      </w:r>
    </w:p>
    <w:p>
      <w:pPr>
        <w:pStyle w:val="4"/>
        <w:spacing w:line="417" w:lineRule="auto"/>
        <w:ind w:left="100" w:right="180" w:firstLine="559"/>
        <w:rPr>
          <w:rFonts w:hint="eastAsia"/>
          <w:spacing w:val="-8"/>
          <w:highlight w:val="none"/>
          <w:lang w:val="en-US" w:eastAsia="zh-CN"/>
        </w:rPr>
      </w:pPr>
      <w:r>
        <w:rPr>
          <w:rFonts w:hint="eastAsia"/>
          <w:spacing w:val="-8"/>
          <w:highlight w:val="none"/>
          <w:lang w:val="en-US" w:eastAsia="zh-CN"/>
        </w:rPr>
        <w:t>（8）《水工建筑物地基处理设计规范》（SL/T 792-2020）；</w:t>
      </w:r>
    </w:p>
    <w:p>
      <w:pPr>
        <w:pStyle w:val="4"/>
        <w:spacing w:line="417" w:lineRule="auto"/>
        <w:ind w:left="100" w:right="180" w:firstLine="559"/>
        <w:rPr>
          <w:rFonts w:hint="eastAsia"/>
          <w:spacing w:val="-8"/>
          <w:highlight w:val="none"/>
          <w:lang w:val="en-US" w:eastAsia="zh-CN"/>
        </w:rPr>
      </w:pPr>
      <w:r>
        <w:rPr>
          <w:rFonts w:hint="eastAsia"/>
          <w:spacing w:val="-8"/>
          <w:highlight w:val="none"/>
          <w:lang w:val="en-US" w:eastAsia="zh-CN"/>
        </w:rPr>
        <w:t>（9）《碾压式土石坝设计规范》（SL319-2018）；</w:t>
      </w:r>
    </w:p>
    <w:p>
      <w:pPr>
        <w:pStyle w:val="4"/>
        <w:spacing w:line="417" w:lineRule="auto"/>
        <w:ind w:left="100" w:right="180" w:firstLine="559"/>
        <w:rPr>
          <w:rFonts w:hint="eastAsia"/>
          <w:spacing w:val="-8"/>
          <w:highlight w:val="none"/>
          <w:lang w:val="en-US" w:eastAsia="zh-CN"/>
        </w:rPr>
      </w:pPr>
      <w:r>
        <w:rPr>
          <w:rFonts w:hint="eastAsia"/>
          <w:spacing w:val="-8"/>
          <w:highlight w:val="none"/>
          <w:lang w:val="en-US" w:eastAsia="zh-CN"/>
        </w:rPr>
        <w:t>（10）《水工挡土墙设计规范》（SL379-2007）；</w:t>
      </w:r>
    </w:p>
    <w:p>
      <w:pPr>
        <w:pStyle w:val="4"/>
        <w:spacing w:line="417" w:lineRule="auto"/>
        <w:ind w:left="659" w:right="180"/>
        <w:rPr>
          <w:rFonts w:hint="eastAsia" w:eastAsia="黑体"/>
          <w:spacing w:val="-8"/>
          <w:highlight w:val="none"/>
          <w:lang w:val="en-US" w:eastAsia="zh-CN"/>
        </w:rPr>
      </w:pPr>
      <w:r>
        <w:rPr>
          <w:rFonts w:hint="eastAsia"/>
          <w:spacing w:val="-8"/>
          <w:highlight w:val="none"/>
          <w:lang w:val="en-US" w:eastAsia="zh-CN"/>
        </w:rPr>
        <w:t>（11）</w:t>
      </w:r>
      <w:r>
        <w:rPr>
          <w:rFonts w:hint="eastAsia"/>
          <w:spacing w:val="-8"/>
          <w:highlight w:val="none"/>
          <w:lang w:val="en-US"/>
        </w:rPr>
        <w:t>《</w:t>
      </w:r>
      <w:r>
        <w:rPr>
          <w:rFonts w:hint="eastAsia"/>
          <w:spacing w:val="-8"/>
          <w:highlight w:val="none"/>
          <w:lang w:val="en-US" w:eastAsia="zh-CN"/>
        </w:rPr>
        <w:t>溢洪道</w:t>
      </w:r>
      <w:r>
        <w:rPr>
          <w:rFonts w:hint="eastAsia"/>
          <w:spacing w:val="-8"/>
          <w:highlight w:val="none"/>
          <w:lang w:val="en-US"/>
        </w:rPr>
        <w:t>设计规范》（</w:t>
      </w:r>
      <w:r>
        <w:rPr>
          <w:rFonts w:hint="eastAsia"/>
          <w:spacing w:val="-8"/>
          <w:highlight w:val="none"/>
          <w:lang w:val="en-US" w:eastAsia="zh-CN"/>
        </w:rPr>
        <w:t>SL253-2018</w:t>
      </w:r>
      <w:r>
        <w:rPr>
          <w:rFonts w:hint="eastAsia"/>
          <w:spacing w:val="-8"/>
          <w:highlight w:val="none"/>
          <w:lang w:val="en-US"/>
        </w:rPr>
        <w:t>）</w:t>
      </w:r>
      <w:r>
        <w:rPr>
          <w:rFonts w:hint="eastAsia"/>
          <w:spacing w:val="-8"/>
          <w:highlight w:val="none"/>
          <w:lang w:val="en-US" w:eastAsia="zh-CN"/>
        </w:rPr>
        <w:t>；</w:t>
      </w:r>
    </w:p>
    <w:p>
      <w:pPr>
        <w:pStyle w:val="4"/>
        <w:spacing w:line="417" w:lineRule="auto"/>
        <w:ind w:left="659" w:right="180"/>
        <w:rPr>
          <w:rFonts w:hint="eastAsia" w:eastAsia="黑体"/>
          <w:spacing w:val="-8"/>
          <w:highlight w:val="none"/>
          <w:lang w:val="en-US" w:eastAsia="zh-CN"/>
        </w:rPr>
      </w:pPr>
      <w:r>
        <w:rPr>
          <w:rFonts w:hint="eastAsia"/>
          <w:spacing w:val="-8"/>
          <w:highlight w:val="none"/>
          <w:lang w:val="en-US" w:eastAsia="zh-CN"/>
        </w:rPr>
        <w:t>（12）</w:t>
      </w:r>
      <w:r>
        <w:rPr>
          <w:rFonts w:hint="eastAsia"/>
          <w:spacing w:val="-8"/>
          <w:highlight w:val="none"/>
          <w:lang w:val="en-US"/>
        </w:rPr>
        <w:t>《水利水电工程劳动安全与工业卫生设计规范》（GB50</w:t>
      </w:r>
      <w:r>
        <w:rPr>
          <w:rFonts w:hint="eastAsia"/>
          <w:spacing w:val="-8"/>
          <w:highlight w:val="none"/>
          <w:lang w:val="en-US" w:eastAsia="zh-CN"/>
        </w:rPr>
        <w:t>706</w:t>
      </w:r>
      <w:r>
        <w:rPr>
          <w:rFonts w:hint="eastAsia"/>
          <w:spacing w:val="-8"/>
          <w:highlight w:val="none"/>
          <w:lang w:val="en-US"/>
        </w:rPr>
        <w:t>-201</w:t>
      </w:r>
      <w:r>
        <w:rPr>
          <w:rFonts w:hint="eastAsia"/>
          <w:spacing w:val="-8"/>
          <w:highlight w:val="none"/>
          <w:lang w:val="en-US" w:eastAsia="zh-CN"/>
        </w:rPr>
        <w:t>1</w:t>
      </w:r>
      <w:r>
        <w:rPr>
          <w:rFonts w:hint="eastAsia"/>
          <w:spacing w:val="-8"/>
          <w:highlight w:val="none"/>
          <w:lang w:val="en-US"/>
        </w:rPr>
        <w:t>）</w:t>
      </w:r>
      <w:r>
        <w:rPr>
          <w:rFonts w:hint="eastAsia"/>
          <w:spacing w:val="-8"/>
          <w:highlight w:val="none"/>
          <w:lang w:val="en-US" w:eastAsia="zh-CN"/>
        </w:rPr>
        <w:t>。</w:t>
      </w:r>
    </w:p>
    <w:p>
      <w:pPr>
        <w:pStyle w:val="4"/>
        <w:numPr>
          <w:ilvl w:val="0"/>
          <w:numId w:val="1"/>
        </w:numPr>
        <w:spacing w:before="61"/>
        <w:rPr>
          <w:sz w:val="32"/>
          <w:szCs w:val="32"/>
          <w:highlight w:val="none"/>
          <w:lang w:val="en-US"/>
        </w:rPr>
      </w:pPr>
      <w:r>
        <w:rPr>
          <w:rFonts w:hint="eastAsia"/>
          <w:sz w:val="32"/>
          <w:szCs w:val="32"/>
          <w:highlight w:val="none"/>
          <w:lang w:val="en-US"/>
        </w:rPr>
        <w:t>工程设计</w:t>
      </w:r>
    </w:p>
    <w:p>
      <w:pPr>
        <w:pStyle w:val="4"/>
        <w:rPr>
          <w:highlight w:val="none"/>
        </w:rPr>
      </w:pPr>
    </w:p>
    <w:p>
      <w:pPr>
        <w:pStyle w:val="4"/>
        <w:spacing w:line="417" w:lineRule="auto"/>
        <w:ind w:left="100" w:right="180" w:firstLine="559"/>
        <w:rPr>
          <w:color w:val="auto"/>
          <w:spacing w:val="-8"/>
          <w:highlight w:val="none"/>
          <w:lang w:val="en-US"/>
        </w:rPr>
      </w:pPr>
      <w:r>
        <w:rPr>
          <w:rFonts w:hint="eastAsia"/>
          <w:color w:val="auto"/>
          <w:spacing w:val="-8"/>
          <w:highlight w:val="none"/>
          <w:lang w:val="en-US"/>
        </w:rPr>
        <w:t>（一）工程任务</w:t>
      </w:r>
    </w:p>
    <w:p>
      <w:pPr>
        <w:pStyle w:val="4"/>
        <w:keepNext w:val="0"/>
        <w:keepLines w:val="0"/>
        <w:pageBreakBefore w:val="0"/>
        <w:widowControl w:val="0"/>
        <w:kinsoku/>
        <w:wordWrap/>
        <w:overflowPunct/>
        <w:topLinePunct w:val="0"/>
        <w:autoSpaceDE w:val="0"/>
        <w:autoSpaceDN w:val="0"/>
        <w:bidi w:val="0"/>
        <w:adjustRightInd/>
        <w:snapToGrid/>
        <w:spacing w:line="417" w:lineRule="auto"/>
        <w:ind w:right="180" w:firstLine="528" w:firstLineChars="200"/>
        <w:textAlignment w:val="auto"/>
        <w:rPr>
          <w:rFonts w:hint="default"/>
          <w:spacing w:val="-8"/>
          <w:highlight w:val="none"/>
          <w:lang w:val="en-US" w:eastAsia="zh-CN"/>
        </w:rPr>
      </w:pPr>
      <w:r>
        <w:rPr>
          <w:rFonts w:hint="eastAsia"/>
          <w:spacing w:val="-8"/>
          <w:highlight w:val="none"/>
          <w:lang w:val="en-US" w:eastAsia="zh-CN"/>
        </w:rPr>
        <w:t>对水库进行维修养护，保证水库运行安全。</w:t>
      </w:r>
    </w:p>
    <w:p>
      <w:pPr>
        <w:pStyle w:val="4"/>
        <w:keepNext w:val="0"/>
        <w:keepLines w:val="0"/>
        <w:pageBreakBefore w:val="0"/>
        <w:widowControl w:val="0"/>
        <w:kinsoku/>
        <w:wordWrap/>
        <w:overflowPunct/>
        <w:topLinePunct w:val="0"/>
        <w:autoSpaceDE w:val="0"/>
        <w:autoSpaceDN w:val="0"/>
        <w:bidi w:val="0"/>
        <w:adjustRightInd/>
        <w:snapToGrid w:val="0"/>
        <w:spacing w:line="360" w:lineRule="auto"/>
        <w:ind w:left="100" w:right="180" w:firstLine="559"/>
        <w:textAlignment w:val="auto"/>
        <w:rPr>
          <w:spacing w:val="-8"/>
          <w:highlight w:val="none"/>
          <w:lang w:val="en-US"/>
        </w:rPr>
      </w:pPr>
      <w:r>
        <w:rPr>
          <w:rFonts w:hint="eastAsia"/>
          <w:spacing w:val="-8"/>
          <w:highlight w:val="none"/>
          <w:lang w:val="en-US"/>
        </w:rPr>
        <w:t>（二）工程设计</w:t>
      </w:r>
    </w:p>
    <w:p>
      <w:pPr>
        <w:keepNext w:val="0"/>
        <w:keepLines w:val="0"/>
        <w:pageBreakBefore w:val="0"/>
        <w:widowControl w:val="0"/>
        <w:kinsoku/>
        <w:wordWrap/>
        <w:overflowPunct/>
        <w:topLinePunct w:val="0"/>
        <w:autoSpaceDE w:val="0"/>
        <w:autoSpaceDN w:val="0"/>
        <w:bidi w:val="0"/>
        <w:adjustRightInd/>
        <w:snapToGrid w:val="0"/>
        <w:spacing w:line="360" w:lineRule="auto"/>
        <w:ind w:firstLine="792" w:firstLineChars="300"/>
        <w:textAlignment w:val="auto"/>
        <w:rPr>
          <w:rFonts w:hint="default" w:cs="黑体"/>
          <w:spacing w:val="-8"/>
          <w:sz w:val="28"/>
          <w:szCs w:val="28"/>
          <w:highlight w:val="none"/>
          <w:lang w:val="en-US" w:eastAsia="zh-CN" w:bidi="zh-CN"/>
        </w:rPr>
      </w:pPr>
      <w:r>
        <w:rPr>
          <w:rFonts w:hint="eastAsia" w:cs="黑体"/>
          <w:spacing w:val="-8"/>
          <w:sz w:val="28"/>
          <w:szCs w:val="28"/>
          <w:highlight w:val="none"/>
          <w:lang w:val="en-US" w:eastAsia="zh-CN" w:bidi="zh-CN"/>
        </w:rPr>
        <w:t>（1）水爬岩水库</w:t>
      </w:r>
    </w:p>
    <w:p>
      <w:pPr>
        <w:keepNext w:val="0"/>
        <w:keepLines w:val="0"/>
        <w:pageBreakBefore w:val="0"/>
        <w:widowControl w:val="0"/>
        <w:kinsoku/>
        <w:wordWrap/>
        <w:overflowPunct/>
        <w:topLinePunct w:val="0"/>
        <w:autoSpaceDE w:val="0"/>
        <w:autoSpaceDN w:val="0"/>
        <w:bidi w:val="0"/>
        <w:adjustRightInd/>
        <w:snapToGrid w:val="0"/>
        <w:spacing w:line="360" w:lineRule="auto"/>
        <w:ind w:firstLine="792" w:firstLineChars="300"/>
        <w:textAlignment w:val="auto"/>
        <w:rPr>
          <w:rFonts w:hint="default" w:ascii="黑体" w:hAnsi="黑体" w:eastAsia="黑体" w:cs="黑体"/>
          <w:spacing w:val="-8"/>
          <w:sz w:val="28"/>
          <w:szCs w:val="28"/>
          <w:highlight w:val="none"/>
          <w:lang w:val="en-US" w:eastAsia="zh-CN" w:bidi="zh-CN"/>
        </w:rPr>
      </w:pPr>
      <w:r>
        <w:rPr>
          <w:rFonts w:hint="eastAsia" w:cs="黑体"/>
          <w:spacing w:val="-8"/>
          <w:sz w:val="28"/>
          <w:szCs w:val="28"/>
          <w:highlight w:val="none"/>
          <w:lang w:val="en-US" w:eastAsia="zh-CN" w:bidi="zh-CN"/>
        </w:rPr>
        <w:t>1.拆除原坝顶上下游栏杆，采用青石栏杆，栏杆高度为1.2m，总长约240m。</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default" w:cs="黑体"/>
          <w:spacing w:val="-8"/>
          <w:sz w:val="28"/>
          <w:szCs w:val="28"/>
          <w:highlight w:val="none"/>
          <w:lang w:val="en-US" w:eastAsia="zh-CN" w:bidi="zh-CN"/>
        </w:rPr>
      </w:pPr>
      <w:r>
        <w:rPr>
          <w:rFonts w:hint="eastAsia" w:ascii="黑体" w:hAnsi="黑体" w:eastAsia="黑体" w:cs="黑体"/>
          <w:spacing w:val="-8"/>
          <w:sz w:val="28"/>
          <w:szCs w:val="28"/>
          <w:highlight w:val="none"/>
          <w:lang w:val="en-US" w:eastAsia="zh-CN" w:bidi="zh-CN"/>
        </w:rPr>
        <w:t xml:space="preserve"> </w:t>
      </w:r>
      <w:r>
        <w:rPr>
          <w:rFonts w:hint="eastAsia" w:cs="黑体"/>
          <w:spacing w:val="-8"/>
          <w:sz w:val="28"/>
          <w:szCs w:val="28"/>
          <w:highlight w:val="none"/>
          <w:lang w:val="en-US" w:eastAsia="zh-CN" w:bidi="zh-CN"/>
        </w:rPr>
        <w:t xml:space="preserve"> 2.在溢洪道溢流堰右侧边墙至下游农户房屋段增设不锈钢栏杆，以保证行人安全。栏杆为直条型栏杆，304不锈钢，高度1.2m，栏杆立柱为φ75*2mm，间距1.0m，竖向花管为φ20*1.5mm，间距110mm，上下横管为φ38*2mm。栏杆总长约25m，栏杆与墙体采用膨胀螺栓固定。</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default" w:cs="黑体"/>
          <w:spacing w:val="-8"/>
          <w:sz w:val="28"/>
          <w:szCs w:val="28"/>
          <w:highlight w:val="none"/>
          <w:lang w:val="en-US" w:eastAsia="zh-CN" w:bidi="zh-CN"/>
        </w:rPr>
      </w:pPr>
      <w:r>
        <w:rPr>
          <w:rFonts w:hint="eastAsia" w:cs="黑体"/>
          <w:spacing w:val="-8"/>
          <w:sz w:val="28"/>
          <w:szCs w:val="28"/>
          <w:highlight w:val="none"/>
          <w:lang w:val="en-US" w:eastAsia="zh-CN" w:bidi="zh-CN"/>
        </w:rPr>
        <w:t>3.人工清除一级消力池处的石渣，转运至坝顶后采用2.5t载重汽车弃运2km，方量约5m</w:t>
      </w:r>
      <w:r>
        <w:rPr>
          <w:rFonts w:hint="eastAsia" w:cs="黑体"/>
          <w:spacing w:val="-8"/>
          <w:sz w:val="28"/>
          <w:szCs w:val="28"/>
          <w:highlight w:val="none"/>
          <w:vertAlign w:val="superscript"/>
          <w:lang w:val="en-US" w:eastAsia="zh-CN" w:bidi="zh-CN"/>
        </w:rPr>
        <w:t>3</w:t>
      </w:r>
      <w:r>
        <w:rPr>
          <w:rFonts w:hint="eastAsia" w:cs="黑体"/>
          <w:spacing w:val="-8"/>
          <w:sz w:val="28"/>
          <w:szCs w:val="28"/>
          <w:highlight w:val="none"/>
          <w:lang w:val="en-US" w:eastAsia="zh-CN" w:bidi="zh-CN"/>
        </w:rPr>
        <w:t>。</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eastAsia" w:cs="黑体"/>
          <w:spacing w:val="-8"/>
          <w:sz w:val="28"/>
          <w:szCs w:val="28"/>
          <w:highlight w:val="none"/>
          <w:lang w:val="en-US" w:eastAsia="zh-CN" w:bidi="zh-CN"/>
        </w:rPr>
      </w:pPr>
      <w:r>
        <w:rPr>
          <w:rFonts w:hint="eastAsia" w:cs="黑体"/>
          <w:spacing w:val="-8"/>
          <w:sz w:val="28"/>
          <w:szCs w:val="28"/>
          <w:highlight w:val="none"/>
          <w:lang w:val="en-US" w:eastAsia="zh-CN" w:bidi="zh-CN"/>
        </w:rPr>
        <w:t>（2）石河水库</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default" w:cs="黑体"/>
          <w:spacing w:val="-8"/>
          <w:sz w:val="28"/>
          <w:szCs w:val="28"/>
          <w:highlight w:val="none"/>
          <w:lang w:val="en-US" w:eastAsia="zh-CN" w:bidi="zh-CN"/>
        </w:rPr>
      </w:pPr>
      <w:r>
        <w:rPr>
          <w:rFonts w:hint="eastAsia" w:cs="黑体"/>
          <w:spacing w:val="-8"/>
          <w:sz w:val="28"/>
          <w:szCs w:val="28"/>
          <w:highlight w:val="none"/>
          <w:lang w:val="en-US" w:eastAsia="zh-CN" w:bidi="zh-CN"/>
        </w:rPr>
        <w:t>拆除溢洪道进口段与控制段连接处底板，采用C25砼现浇回填，厚度为15cm，底板高程保持不变，面积约15m</w:t>
      </w:r>
      <w:r>
        <w:rPr>
          <w:rFonts w:hint="eastAsia" w:cs="黑体"/>
          <w:spacing w:val="-8"/>
          <w:sz w:val="28"/>
          <w:szCs w:val="28"/>
          <w:highlight w:val="none"/>
          <w:vertAlign w:val="superscript"/>
          <w:lang w:val="en-US" w:eastAsia="zh-CN" w:bidi="zh-CN"/>
        </w:rPr>
        <w:t>2</w:t>
      </w:r>
      <w:r>
        <w:rPr>
          <w:rFonts w:hint="eastAsia" w:cs="黑体"/>
          <w:spacing w:val="-8"/>
          <w:sz w:val="28"/>
          <w:szCs w:val="28"/>
          <w:highlight w:val="none"/>
          <w:lang w:val="en-US" w:eastAsia="zh-CN" w:bidi="zh-CN"/>
        </w:rPr>
        <w:t>。</w:t>
      </w:r>
    </w:p>
    <w:p>
      <w:pPr>
        <w:pStyle w:val="4"/>
        <w:numPr>
          <w:ilvl w:val="0"/>
          <w:numId w:val="1"/>
        </w:numPr>
        <w:spacing w:before="61"/>
        <w:rPr>
          <w:sz w:val="32"/>
          <w:szCs w:val="32"/>
          <w:highlight w:val="none"/>
          <w:lang w:val="en-US"/>
        </w:rPr>
      </w:pPr>
      <w:r>
        <w:rPr>
          <w:rFonts w:hint="eastAsia"/>
          <w:sz w:val="32"/>
          <w:szCs w:val="32"/>
          <w:highlight w:val="none"/>
          <w:lang w:val="en-US"/>
        </w:rPr>
        <w:t>施工技术要求</w:t>
      </w:r>
    </w:p>
    <w:p>
      <w:pPr>
        <w:pStyle w:val="4"/>
        <w:spacing w:before="8"/>
        <w:rPr>
          <w:sz w:val="20"/>
          <w:highlight w:val="none"/>
        </w:rPr>
      </w:pP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eastAsia" w:ascii="黑体" w:hAnsi="黑体" w:eastAsia="黑体" w:cs="黑体"/>
          <w:spacing w:val="-8"/>
          <w:sz w:val="28"/>
          <w:szCs w:val="28"/>
          <w:highlight w:val="none"/>
          <w:lang w:val="en-US" w:eastAsia="zh-CN" w:bidi="zh-CN"/>
        </w:rPr>
      </w:pPr>
      <w:r>
        <w:rPr>
          <w:rFonts w:hint="eastAsia" w:cs="黑体"/>
          <w:spacing w:val="-8"/>
          <w:sz w:val="28"/>
          <w:szCs w:val="28"/>
          <w:highlight w:val="none"/>
          <w:lang w:val="en-US" w:eastAsia="zh-CN" w:bidi="zh-CN"/>
        </w:rPr>
        <w:t>1.砼</w:t>
      </w:r>
      <w:r>
        <w:rPr>
          <w:rFonts w:hint="eastAsia" w:ascii="黑体" w:hAnsi="黑体" w:eastAsia="黑体" w:cs="黑体"/>
          <w:spacing w:val="-8"/>
          <w:sz w:val="28"/>
          <w:szCs w:val="28"/>
          <w:highlight w:val="none"/>
          <w:lang w:val="en-US" w:eastAsia="zh-CN" w:bidi="zh-CN"/>
        </w:rPr>
        <w:t>施工：</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eastAsia" w:ascii="黑体" w:hAnsi="黑体" w:eastAsia="黑体" w:cs="黑体"/>
          <w:spacing w:val="-8"/>
          <w:sz w:val="28"/>
          <w:szCs w:val="28"/>
          <w:highlight w:val="none"/>
          <w:lang w:val="en-US" w:eastAsia="zh-CN" w:bidi="zh-CN"/>
        </w:rPr>
      </w:pPr>
      <w:r>
        <w:rPr>
          <w:rFonts w:hint="eastAsia" w:ascii="黑体" w:hAnsi="黑体" w:eastAsia="黑体" w:cs="黑体"/>
          <w:spacing w:val="-8"/>
          <w:sz w:val="28"/>
          <w:szCs w:val="28"/>
          <w:highlight w:val="none"/>
          <w:lang w:val="en-US" w:eastAsia="zh-CN" w:bidi="zh-CN"/>
        </w:rPr>
        <w:t>主要施工部位包括</w:t>
      </w:r>
      <w:r>
        <w:rPr>
          <w:rFonts w:hint="eastAsia" w:cs="黑体"/>
          <w:spacing w:val="-8"/>
          <w:sz w:val="28"/>
          <w:szCs w:val="28"/>
          <w:highlight w:val="none"/>
          <w:lang w:val="en-US" w:eastAsia="zh-CN" w:bidi="zh-CN"/>
        </w:rPr>
        <w:t>C25砼底板</w:t>
      </w:r>
      <w:r>
        <w:rPr>
          <w:rFonts w:hint="eastAsia" w:ascii="黑体" w:hAnsi="黑体" w:eastAsia="黑体" w:cs="黑体"/>
          <w:spacing w:val="-8"/>
          <w:sz w:val="28"/>
          <w:szCs w:val="28"/>
          <w:highlight w:val="none"/>
          <w:lang w:val="en-US" w:eastAsia="zh-CN" w:bidi="zh-CN"/>
        </w:rPr>
        <w:t>等。</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eastAsia" w:ascii="黑体" w:hAnsi="黑体" w:eastAsia="黑体" w:cs="黑体"/>
          <w:spacing w:val="-8"/>
          <w:sz w:val="28"/>
          <w:szCs w:val="28"/>
          <w:highlight w:val="none"/>
          <w:lang w:val="en-US" w:eastAsia="zh-CN" w:bidi="zh-CN"/>
        </w:rPr>
      </w:pPr>
      <w:r>
        <w:rPr>
          <w:rFonts w:hint="eastAsia" w:ascii="黑体" w:hAnsi="黑体" w:eastAsia="黑体" w:cs="黑体"/>
          <w:spacing w:val="-8"/>
          <w:sz w:val="28"/>
          <w:szCs w:val="28"/>
          <w:highlight w:val="none"/>
          <w:lang w:val="en-US" w:eastAsia="zh-CN" w:bidi="zh-CN"/>
        </w:rPr>
        <w:t>1）水泥：水泥为32.5号或42.5号普通硅酸盐水泥，质量符合规范标准。</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eastAsia" w:ascii="黑体" w:hAnsi="黑体" w:eastAsia="黑体" w:cs="黑体"/>
          <w:spacing w:val="-8"/>
          <w:sz w:val="28"/>
          <w:szCs w:val="28"/>
          <w:highlight w:val="none"/>
          <w:lang w:val="en-US" w:eastAsia="zh-CN" w:bidi="zh-CN"/>
        </w:rPr>
      </w:pPr>
      <w:r>
        <w:rPr>
          <w:rFonts w:hint="eastAsia" w:ascii="黑体" w:hAnsi="黑体" w:eastAsia="黑体" w:cs="黑体"/>
          <w:spacing w:val="-8"/>
          <w:sz w:val="28"/>
          <w:szCs w:val="28"/>
          <w:highlight w:val="none"/>
          <w:lang w:val="en-US" w:eastAsia="zh-CN" w:bidi="zh-CN"/>
        </w:rPr>
        <w:t>2）砂：施工用砂采用颗粒坚硬、强度高、耐久性好的特细砂。</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eastAsia" w:ascii="黑体" w:hAnsi="黑体" w:eastAsia="黑体" w:cs="黑体"/>
          <w:spacing w:val="-8"/>
          <w:sz w:val="28"/>
          <w:szCs w:val="28"/>
          <w:highlight w:val="none"/>
          <w:lang w:val="en-US" w:eastAsia="zh-CN" w:bidi="zh-CN"/>
        </w:rPr>
      </w:pPr>
      <w:r>
        <w:rPr>
          <w:rFonts w:hint="eastAsia" w:ascii="黑体" w:hAnsi="黑体" w:eastAsia="黑体" w:cs="黑体"/>
          <w:spacing w:val="-8"/>
          <w:sz w:val="28"/>
          <w:szCs w:val="28"/>
          <w:highlight w:val="none"/>
          <w:lang w:val="en-US" w:eastAsia="zh-CN" w:bidi="zh-CN"/>
        </w:rPr>
        <w:t>3）石子：砼拌制所用的石子应质地坚硬、清洁、级配良好。</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eastAsia" w:ascii="黑体" w:hAnsi="黑体" w:eastAsia="黑体" w:cs="黑体"/>
          <w:spacing w:val="-8"/>
          <w:sz w:val="28"/>
          <w:szCs w:val="28"/>
          <w:highlight w:val="none"/>
          <w:lang w:val="en-US" w:eastAsia="zh-CN" w:bidi="zh-CN"/>
        </w:rPr>
      </w:pPr>
      <w:r>
        <w:rPr>
          <w:rFonts w:hint="eastAsia" w:ascii="黑体" w:hAnsi="黑体" w:eastAsia="黑体" w:cs="黑体"/>
          <w:spacing w:val="-8"/>
          <w:sz w:val="28"/>
          <w:szCs w:val="28"/>
          <w:highlight w:val="none"/>
          <w:lang w:val="en-US" w:eastAsia="zh-CN" w:bidi="zh-CN"/>
        </w:rPr>
        <w:t>4）水：清洗骨料以及拌制砼的用水不得含有害物质及化学物质。</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eastAsia" w:ascii="黑体" w:hAnsi="黑体" w:eastAsia="黑体" w:cs="黑体"/>
          <w:spacing w:val="-8"/>
          <w:sz w:val="28"/>
          <w:szCs w:val="28"/>
          <w:highlight w:val="none"/>
          <w:lang w:val="en-US" w:eastAsia="zh-CN" w:bidi="zh-CN"/>
        </w:rPr>
      </w:pPr>
      <w:r>
        <w:rPr>
          <w:rFonts w:hint="eastAsia" w:ascii="黑体" w:hAnsi="黑体" w:eastAsia="黑体" w:cs="黑体"/>
          <w:spacing w:val="-8"/>
          <w:sz w:val="28"/>
          <w:szCs w:val="28"/>
          <w:highlight w:val="none"/>
          <w:lang w:val="en-US" w:eastAsia="zh-CN" w:bidi="zh-CN"/>
        </w:rPr>
        <w:t>5）模板：模板要求表面光洁平整，接缝严密、不漏浆。</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eastAsia" w:ascii="黑体" w:hAnsi="黑体" w:eastAsia="黑体" w:cs="黑体"/>
          <w:spacing w:val="-8"/>
          <w:sz w:val="28"/>
          <w:szCs w:val="28"/>
          <w:highlight w:val="none"/>
          <w:lang w:val="en-US" w:eastAsia="zh-CN" w:bidi="zh-CN"/>
        </w:rPr>
      </w:pPr>
      <w:r>
        <w:rPr>
          <w:rFonts w:hint="eastAsia" w:ascii="黑体" w:hAnsi="黑体" w:eastAsia="黑体" w:cs="黑体"/>
          <w:spacing w:val="-8"/>
          <w:sz w:val="28"/>
          <w:szCs w:val="28"/>
          <w:highlight w:val="none"/>
          <w:lang w:val="en-US" w:eastAsia="zh-CN" w:bidi="zh-CN"/>
        </w:rPr>
        <w:t>6）拌和：砼拌和加入料斗的顺序为石子→水泥→砂。拌和时间不少于2分钟。</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eastAsia" w:ascii="黑体" w:hAnsi="黑体" w:eastAsia="黑体" w:cs="黑体"/>
          <w:spacing w:val="-8"/>
          <w:sz w:val="28"/>
          <w:szCs w:val="28"/>
          <w:highlight w:val="none"/>
          <w:lang w:val="en-US" w:eastAsia="zh-CN" w:bidi="zh-CN"/>
        </w:rPr>
      </w:pPr>
      <w:r>
        <w:rPr>
          <w:rFonts w:hint="eastAsia" w:ascii="黑体" w:hAnsi="黑体" w:eastAsia="黑体" w:cs="黑体"/>
          <w:spacing w:val="-8"/>
          <w:sz w:val="28"/>
          <w:szCs w:val="28"/>
          <w:highlight w:val="none"/>
          <w:lang w:val="en-US" w:eastAsia="zh-CN" w:bidi="zh-CN"/>
        </w:rPr>
        <w:t>7）砼运输及入仓：砼用动力翻斗车和手拉车运输，按各部位砼分别运输到浇筑点的平台上，利用人工入仓平仓。</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eastAsia" w:ascii="黑体" w:hAnsi="黑体" w:eastAsia="黑体" w:cs="黑体"/>
          <w:spacing w:val="-8"/>
          <w:sz w:val="28"/>
          <w:szCs w:val="28"/>
          <w:highlight w:val="none"/>
          <w:lang w:val="en-US" w:eastAsia="zh-CN" w:bidi="zh-CN"/>
        </w:rPr>
      </w:pPr>
      <w:r>
        <w:rPr>
          <w:rFonts w:hint="eastAsia" w:ascii="黑体" w:hAnsi="黑体" w:eastAsia="黑体" w:cs="黑体"/>
          <w:spacing w:val="-8"/>
          <w:sz w:val="28"/>
          <w:szCs w:val="28"/>
          <w:highlight w:val="none"/>
          <w:lang w:val="en-US" w:eastAsia="zh-CN" w:bidi="zh-CN"/>
        </w:rPr>
        <w:t>8）砼振捣：砼入仓每层厚度控制在30cm左右。</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eastAsia" w:ascii="黑体" w:hAnsi="黑体" w:eastAsia="黑体" w:cs="黑体"/>
          <w:spacing w:val="-8"/>
          <w:sz w:val="28"/>
          <w:szCs w:val="28"/>
          <w:highlight w:val="none"/>
          <w:lang w:val="en-US" w:eastAsia="zh-CN" w:bidi="zh-CN"/>
        </w:rPr>
      </w:pPr>
      <w:r>
        <w:rPr>
          <w:rFonts w:hint="eastAsia" w:ascii="黑体" w:hAnsi="黑体" w:eastAsia="黑体" w:cs="黑体"/>
          <w:spacing w:val="-8"/>
          <w:sz w:val="28"/>
          <w:szCs w:val="28"/>
          <w:highlight w:val="none"/>
          <w:lang w:val="en-US" w:eastAsia="zh-CN" w:bidi="zh-CN"/>
        </w:rPr>
        <w:t>9）砼养护：砼浇筑后根据气候情况及时洒水养护，洒水养护时间不少于14天。</w:t>
      </w:r>
    </w:p>
    <w:p>
      <w:pPr>
        <w:keepNext w:val="0"/>
        <w:keepLines w:val="0"/>
        <w:pageBreakBefore w:val="0"/>
        <w:widowControl w:val="0"/>
        <w:kinsoku/>
        <w:wordWrap/>
        <w:overflowPunct/>
        <w:topLinePunct w:val="0"/>
        <w:autoSpaceDE w:val="0"/>
        <w:autoSpaceDN w:val="0"/>
        <w:bidi w:val="0"/>
        <w:adjustRightInd/>
        <w:snapToGrid w:val="0"/>
        <w:spacing w:line="360" w:lineRule="auto"/>
        <w:ind w:firstLine="528" w:firstLineChars="200"/>
        <w:textAlignment w:val="auto"/>
        <w:rPr>
          <w:rFonts w:hint="eastAsia" w:ascii="黑体" w:hAnsi="黑体" w:eastAsia="黑体" w:cs="黑体"/>
          <w:spacing w:val="-8"/>
          <w:sz w:val="28"/>
          <w:szCs w:val="28"/>
          <w:highlight w:val="none"/>
          <w:lang w:val="en-US" w:eastAsia="zh-CN" w:bidi="zh-CN"/>
        </w:rPr>
      </w:pPr>
      <w:r>
        <w:rPr>
          <w:rFonts w:hint="eastAsia" w:ascii="黑体" w:hAnsi="黑体" w:eastAsia="黑体" w:cs="黑体"/>
          <w:spacing w:val="-8"/>
          <w:sz w:val="28"/>
          <w:szCs w:val="28"/>
          <w:highlight w:val="none"/>
          <w:lang w:val="en-US" w:eastAsia="zh-CN" w:bidi="zh-CN"/>
        </w:rPr>
        <w:t>六、其他主要建筑材料要求</w:t>
      </w:r>
    </w:p>
    <w:p>
      <w:pPr>
        <w:pStyle w:val="4"/>
        <w:numPr>
          <w:ilvl w:val="0"/>
          <w:numId w:val="3"/>
        </w:numPr>
        <w:spacing w:before="1" w:line="417" w:lineRule="auto"/>
        <w:ind w:left="100" w:right="252" w:firstLine="559"/>
        <w:jc w:val="both"/>
        <w:rPr>
          <w:highlight w:val="none"/>
        </w:rPr>
      </w:pPr>
      <w:r>
        <w:rPr>
          <w:highlight w:val="none"/>
        </w:rPr>
        <w:t>砂</w:t>
      </w:r>
    </w:p>
    <w:p>
      <w:pPr>
        <w:keepNext w:val="0"/>
        <w:keepLines w:val="0"/>
        <w:pageBreakBefore w:val="0"/>
        <w:widowControl w:val="0"/>
        <w:kinsoku/>
        <w:wordWrap/>
        <w:overflowPunct/>
        <w:topLinePunct w:val="0"/>
        <w:autoSpaceDE w:val="0"/>
        <w:autoSpaceDN w:val="0"/>
        <w:bidi w:val="0"/>
        <w:adjustRightInd/>
        <w:snapToGrid/>
        <w:spacing w:line="360" w:lineRule="auto"/>
        <w:ind w:firstLine="532" w:firstLineChars="200"/>
        <w:textAlignment w:val="auto"/>
        <w:rPr>
          <w:rFonts w:hint="eastAsia" w:ascii="黑体" w:hAnsi="黑体" w:eastAsia="黑体" w:cs="黑体"/>
          <w:spacing w:val="-7"/>
          <w:sz w:val="28"/>
          <w:szCs w:val="28"/>
          <w:highlight w:val="none"/>
          <w:lang w:val="en-US" w:eastAsia="zh-CN" w:bidi="zh-CN"/>
        </w:rPr>
      </w:pPr>
      <w:r>
        <w:rPr>
          <w:rFonts w:hint="eastAsia" w:ascii="黑体" w:hAnsi="黑体" w:eastAsia="黑体" w:cs="黑体"/>
          <w:spacing w:val="-7"/>
          <w:sz w:val="28"/>
          <w:szCs w:val="28"/>
          <w:highlight w:val="none"/>
          <w:lang w:val="en-US" w:eastAsia="zh-CN" w:bidi="zh-CN"/>
        </w:rPr>
        <w:t>砂的质量应符合《浆砌石坝施工技术规定》（SD120-84）表 2.1.2 和表 2.1.3 的规定。砂浆采用的砂料，要求粒径为 0.15～5mm，细度模数为 2.5～3.0。</w:t>
      </w:r>
    </w:p>
    <w:p>
      <w:pPr>
        <w:pStyle w:val="4"/>
        <w:numPr>
          <w:ilvl w:val="0"/>
          <w:numId w:val="3"/>
        </w:numPr>
        <w:spacing w:before="1" w:line="417" w:lineRule="auto"/>
        <w:ind w:left="100" w:right="252" w:firstLine="559"/>
        <w:jc w:val="both"/>
        <w:rPr>
          <w:highlight w:val="none"/>
        </w:rPr>
      </w:pPr>
      <w:r>
        <w:rPr>
          <w:highlight w:val="none"/>
        </w:rPr>
        <w:t>碎石</w:t>
      </w:r>
    </w:p>
    <w:p>
      <w:pPr>
        <w:pStyle w:val="4"/>
        <w:spacing w:before="1" w:line="417" w:lineRule="auto"/>
        <w:ind w:left="100" w:right="252" w:firstLine="559"/>
        <w:jc w:val="both"/>
        <w:rPr>
          <w:highlight w:val="none"/>
        </w:rPr>
      </w:pPr>
      <w:r>
        <w:rPr>
          <w:rFonts w:hint="eastAsia"/>
          <w:highlight w:val="none"/>
        </w:rPr>
        <w:t>原则采用石灰石或 Mu50 号以上的砂岩由破碎机破碎呈立方体的成型碎石，薄片、针状碎石含量不得大于 15％。碎石的粒径分成 5～20mm 和 20～40mm，最大粒径为40mm。其他粗骨料的质量要求应符合《水工混凝土施工规范》（SL677-2014）中的相关规定。</w:t>
      </w:r>
    </w:p>
    <w:p>
      <w:pPr>
        <w:pStyle w:val="4"/>
        <w:spacing w:before="61"/>
        <w:ind w:firstLine="320" w:firstLineChars="100"/>
        <w:rPr>
          <w:sz w:val="32"/>
          <w:szCs w:val="32"/>
          <w:highlight w:val="none"/>
          <w:lang w:val="en-US"/>
        </w:rPr>
      </w:pPr>
      <w:r>
        <w:rPr>
          <w:rFonts w:hint="eastAsia"/>
          <w:sz w:val="32"/>
          <w:szCs w:val="32"/>
          <w:highlight w:val="none"/>
          <w:lang w:val="en-US"/>
        </w:rPr>
        <w:t>七、其他</w:t>
      </w:r>
    </w:p>
    <w:p>
      <w:pPr>
        <w:pStyle w:val="4"/>
        <w:spacing w:before="1" w:line="417" w:lineRule="auto"/>
        <w:ind w:left="100" w:right="252" w:firstLine="559"/>
        <w:jc w:val="both"/>
        <w:rPr>
          <w:highlight w:val="none"/>
        </w:rPr>
      </w:pPr>
      <w:r>
        <w:rPr>
          <w:rFonts w:hint="eastAsia"/>
          <w:highlight w:val="none"/>
        </w:rPr>
        <w:t>（1）施工时应严格按照监理审批的施工方案施工。若施工中，实际情况与设计出现不相符的情况时，请按基本建设程序和要求完善变更设计。</w:t>
      </w:r>
    </w:p>
    <w:p>
      <w:pPr>
        <w:pStyle w:val="4"/>
        <w:spacing w:before="1" w:line="417" w:lineRule="auto"/>
        <w:ind w:left="100" w:right="252" w:firstLine="559"/>
        <w:jc w:val="both"/>
        <w:rPr>
          <w:highlight w:val="none"/>
        </w:rPr>
      </w:pPr>
      <w:r>
        <w:rPr>
          <w:rFonts w:hint="eastAsia"/>
          <w:highlight w:val="none"/>
        </w:rPr>
        <w:t>（</w:t>
      </w:r>
      <w:r>
        <w:rPr>
          <w:rFonts w:hint="eastAsia"/>
          <w:highlight w:val="none"/>
          <w:lang w:val="en-US"/>
        </w:rPr>
        <w:t>2</w:t>
      </w:r>
      <w:r>
        <w:rPr>
          <w:rFonts w:hint="eastAsia"/>
          <w:highlight w:val="none"/>
        </w:rPr>
        <w:t>）未详尽部分，按照有关规程规范、《招标文件》的相关条款及监理工程师的要求执行。</w:t>
      </w:r>
    </w:p>
    <w:p>
      <w:pPr>
        <w:pStyle w:val="4"/>
        <w:spacing w:before="61"/>
        <w:ind w:firstLine="320" w:firstLineChars="100"/>
        <w:rPr>
          <w:sz w:val="32"/>
          <w:szCs w:val="32"/>
          <w:highlight w:val="none"/>
          <w:lang w:val="en-US"/>
        </w:rPr>
      </w:pPr>
      <w:r>
        <w:rPr>
          <w:rFonts w:hint="eastAsia"/>
          <w:sz w:val="32"/>
          <w:szCs w:val="32"/>
          <w:highlight w:val="none"/>
          <w:lang w:val="en-US"/>
        </w:rPr>
        <w:t>八、工程预算</w:t>
      </w:r>
    </w:p>
    <w:p>
      <w:pPr>
        <w:pStyle w:val="14"/>
        <w:tabs>
          <w:tab w:val="left" w:pos="1362"/>
        </w:tabs>
        <w:spacing w:before="62"/>
        <w:ind w:left="0" w:firstLine="0"/>
        <w:rPr>
          <w:b/>
          <w:bCs/>
          <w:sz w:val="28"/>
          <w:highlight w:val="none"/>
        </w:rPr>
      </w:pPr>
      <w:r>
        <w:rPr>
          <w:rFonts w:hint="eastAsia"/>
          <w:b/>
          <w:bCs/>
          <w:sz w:val="28"/>
          <w:highlight w:val="none"/>
        </w:rPr>
        <w:t>（</w:t>
      </w:r>
      <w:r>
        <w:rPr>
          <w:rFonts w:hint="eastAsia"/>
          <w:b/>
          <w:bCs/>
          <w:sz w:val="28"/>
          <w:highlight w:val="none"/>
          <w:lang w:val="en-US"/>
        </w:rPr>
        <w:t>一</w:t>
      </w:r>
      <w:r>
        <w:rPr>
          <w:rFonts w:hint="eastAsia"/>
          <w:b/>
          <w:bCs/>
          <w:sz w:val="28"/>
          <w:highlight w:val="none"/>
        </w:rPr>
        <w:t>）编制定额及有关规定</w:t>
      </w:r>
    </w:p>
    <w:p>
      <w:pPr>
        <w:pStyle w:val="4"/>
        <w:spacing w:line="417" w:lineRule="auto"/>
        <w:ind w:left="100" w:right="253" w:firstLine="559"/>
        <w:jc w:val="both"/>
        <w:rPr>
          <w:spacing w:val="-7"/>
          <w:highlight w:val="none"/>
        </w:rPr>
      </w:pPr>
      <w:r>
        <w:rPr>
          <w:rFonts w:hint="eastAsia"/>
          <w:spacing w:val="-7"/>
          <w:highlight w:val="none"/>
        </w:rPr>
        <w:t>（</w:t>
      </w:r>
      <w:r>
        <w:rPr>
          <w:rFonts w:hint="eastAsia"/>
          <w:spacing w:val="-7"/>
          <w:highlight w:val="none"/>
          <w:lang w:val="en-US"/>
        </w:rPr>
        <w:t>1</w:t>
      </w:r>
      <w:r>
        <w:rPr>
          <w:rFonts w:hint="eastAsia"/>
          <w:spacing w:val="-7"/>
          <w:highlight w:val="none"/>
        </w:rPr>
        <w:t>）采用有关规定及依据</w:t>
      </w:r>
    </w:p>
    <w:p>
      <w:pPr>
        <w:pStyle w:val="4"/>
        <w:spacing w:line="417" w:lineRule="auto"/>
        <w:ind w:left="100" w:right="253" w:firstLine="559"/>
        <w:jc w:val="both"/>
        <w:rPr>
          <w:spacing w:val="-7"/>
          <w:highlight w:val="none"/>
          <w:lang w:val="en-US"/>
        </w:rPr>
      </w:pPr>
      <w:r>
        <w:rPr>
          <w:rFonts w:hint="eastAsia"/>
          <w:spacing w:val="-7"/>
          <w:highlight w:val="none"/>
        </w:rPr>
        <w:t>重庆市水利局、重庆市发展和改革委员会关于发布2021版《重庆市水利建筑工程设计概（估）算编制规定》的通知（渝水建[2021]7号）及重庆市水利局关于发布2021版《重庆市水利建筑工程概算定额》《重庆市水利建筑工程预算定额》《重庆市水利工程机械台式费定额》的通知（渝水建[2021]8号）</w:t>
      </w:r>
      <w:r>
        <w:rPr>
          <w:rFonts w:hint="eastAsia"/>
          <w:spacing w:val="-7"/>
          <w:highlight w:val="none"/>
          <w:lang w:eastAsia="zh-CN"/>
        </w:rPr>
        <w:t>，</w:t>
      </w:r>
      <w:r>
        <w:rPr>
          <w:rFonts w:hint="eastAsia"/>
          <w:spacing w:val="-7"/>
          <w:highlight w:val="none"/>
        </w:rPr>
        <w:t>《关于水利工程营业税改增值税后计价依据调整通知》（渝水[2016]151号），重庆市水利局关于重新调整水利工程和水土保持工程计价依据中增值税税率的通知（渝水[2019]55号）。</w:t>
      </w:r>
      <w:r>
        <w:rPr>
          <w:rFonts w:hint="eastAsia"/>
          <w:spacing w:val="-7"/>
          <w:highlight w:val="none"/>
          <w:lang w:val="en-US"/>
        </w:rPr>
        <w:t xml:space="preserve"> </w:t>
      </w:r>
    </w:p>
    <w:p>
      <w:pPr>
        <w:pStyle w:val="4"/>
        <w:spacing w:line="417" w:lineRule="auto"/>
        <w:ind w:left="100" w:right="253" w:firstLine="559"/>
        <w:jc w:val="both"/>
        <w:rPr>
          <w:spacing w:val="-7"/>
          <w:highlight w:val="none"/>
          <w:lang w:val="en-US"/>
        </w:rPr>
      </w:pPr>
      <w:r>
        <w:rPr>
          <w:rFonts w:hint="eastAsia"/>
          <w:spacing w:val="-7"/>
          <w:highlight w:val="none"/>
          <w:lang w:val="en-US"/>
        </w:rPr>
        <w:t>（2）编制设计预算采用的定额</w:t>
      </w:r>
    </w:p>
    <w:p>
      <w:pPr>
        <w:pStyle w:val="4"/>
        <w:spacing w:line="417" w:lineRule="auto"/>
        <w:ind w:left="100" w:right="253" w:firstLine="559"/>
        <w:jc w:val="both"/>
        <w:rPr>
          <w:spacing w:val="-7"/>
          <w:highlight w:val="none"/>
          <w:lang w:val="en-US"/>
        </w:rPr>
      </w:pPr>
      <w:r>
        <w:rPr>
          <w:rFonts w:hint="eastAsia"/>
          <w:spacing w:val="-7"/>
          <w:highlight w:val="none"/>
          <w:lang w:val="en-US"/>
        </w:rPr>
        <w:t>建筑工程：渝水基[2021]8号发布的《重庆市水利建筑工程预算定额》、《重庆市水利工程机械台时费定额》</w:t>
      </w:r>
      <w:r>
        <w:rPr>
          <w:rFonts w:hint="eastAsia"/>
          <w:highlight w:val="none"/>
        </w:rPr>
        <w:t>及重庆市工民建2018定额</w:t>
      </w:r>
      <w:r>
        <w:rPr>
          <w:rFonts w:hint="eastAsia"/>
          <w:highlight w:val="none"/>
          <w:lang w:val="en-US"/>
        </w:rPr>
        <w:t>。</w:t>
      </w:r>
    </w:p>
    <w:p>
      <w:pPr>
        <w:pStyle w:val="4"/>
        <w:spacing w:before="1" w:line="417" w:lineRule="auto"/>
        <w:ind w:left="100" w:right="252" w:firstLine="559"/>
        <w:jc w:val="both"/>
        <w:rPr>
          <w:highlight w:val="none"/>
          <w:lang w:val="en-US"/>
        </w:rPr>
      </w:pPr>
      <w:r>
        <w:rPr>
          <w:rFonts w:hint="eastAsia"/>
          <w:spacing w:val="-7"/>
          <w:highlight w:val="none"/>
          <w:lang w:val="en-US"/>
        </w:rPr>
        <w:t>安装工程：《重庆市水利工程机械台时费定额》（2021年版）、《重庆市中小型水利水电设备安装工程预算定额》（2008 年版）</w:t>
      </w:r>
      <w:r>
        <w:rPr>
          <w:rFonts w:hint="eastAsia"/>
          <w:highlight w:val="none"/>
        </w:rPr>
        <w:t>及重庆市工民建2018定额</w:t>
      </w:r>
      <w:r>
        <w:rPr>
          <w:rFonts w:hint="eastAsia"/>
          <w:highlight w:val="none"/>
          <w:lang w:val="en-US"/>
        </w:rPr>
        <w:t>。</w:t>
      </w:r>
    </w:p>
    <w:p>
      <w:pPr>
        <w:pStyle w:val="4"/>
        <w:spacing w:before="1" w:line="417" w:lineRule="auto"/>
        <w:ind w:left="100" w:right="252" w:firstLine="559"/>
        <w:jc w:val="both"/>
        <w:rPr>
          <w:highlight w:val="none"/>
          <w:lang w:val="en-US"/>
        </w:rPr>
      </w:pPr>
      <w:r>
        <w:rPr>
          <w:rFonts w:hint="eastAsia"/>
          <w:highlight w:val="none"/>
          <w:lang w:val="en-US"/>
        </w:rPr>
        <w:t>（二）基础资料</w:t>
      </w:r>
    </w:p>
    <w:p>
      <w:pPr>
        <w:spacing w:line="360" w:lineRule="auto"/>
        <w:ind w:firstLine="562" w:firstLineChars="200"/>
        <w:rPr>
          <w:rFonts w:ascii="宋体" w:hAnsi="宋体"/>
          <w:b/>
          <w:snapToGrid w:val="0"/>
          <w:sz w:val="28"/>
          <w:szCs w:val="28"/>
          <w:highlight w:val="none"/>
        </w:rPr>
      </w:pPr>
      <w:r>
        <w:rPr>
          <w:rFonts w:hint="eastAsia" w:ascii="宋体" w:hAnsi="宋体"/>
          <w:b/>
          <w:snapToGrid w:val="0"/>
          <w:sz w:val="28"/>
          <w:szCs w:val="28"/>
          <w:highlight w:val="none"/>
        </w:rPr>
        <w:t>1）人工预算单价</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① 人工基价</w:t>
      </w:r>
    </w:p>
    <w:p>
      <w:pPr>
        <w:spacing w:line="360" w:lineRule="auto"/>
        <w:ind w:firstLine="560" w:firstLineChars="200"/>
        <w:rPr>
          <w:rFonts w:hint="eastAsia" w:ascii="宋体" w:hAnsi="宋体"/>
          <w:sz w:val="28"/>
          <w:szCs w:val="28"/>
          <w:highlight w:val="none"/>
        </w:rPr>
      </w:pPr>
      <w:r>
        <w:rPr>
          <w:rFonts w:hint="eastAsia" w:ascii="宋体" w:hAnsi="宋体"/>
          <w:sz w:val="28"/>
          <w:szCs w:val="28"/>
          <w:highlight w:val="none"/>
        </w:rPr>
        <w:t>根据重庆市水利局、重庆市发展和改革委员会文件“渝水建[2021]7号” 文颁发的《重庆市水利工程设计概（估）算编制规定》计算人工预算单价如下：</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枢纽工程及引水工程：工长12.12元/工时，高级工11.26元/工时，中级工9.59元/工时，初级工5.19元/工时。</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② 市场人工价格</w:t>
      </w:r>
    </w:p>
    <w:p>
      <w:pPr>
        <w:spacing w:line="360" w:lineRule="auto"/>
        <w:ind w:firstLine="560" w:firstLineChars="200"/>
        <w:rPr>
          <w:rFonts w:ascii="宋体" w:hAnsi="宋体"/>
          <w:bCs/>
          <w:color w:val="000000"/>
          <w:sz w:val="28"/>
          <w:szCs w:val="28"/>
          <w:highlight w:val="none"/>
        </w:rPr>
      </w:pPr>
      <w:r>
        <w:rPr>
          <w:rFonts w:hint="eastAsia" w:ascii="宋体" w:hAnsi="宋体"/>
          <w:bCs/>
          <w:color w:val="000000"/>
          <w:sz w:val="28"/>
          <w:szCs w:val="28"/>
          <w:highlight w:val="none"/>
        </w:rPr>
        <w:t>采用由重庆市水利工程造价管理站公布的重庆市水利工程202</w:t>
      </w:r>
      <w:r>
        <w:rPr>
          <w:rFonts w:hint="eastAsia" w:ascii="宋体" w:hAnsi="宋体"/>
          <w:bCs/>
          <w:color w:val="000000"/>
          <w:sz w:val="28"/>
          <w:szCs w:val="28"/>
          <w:highlight w:val="none"/>
          <w:lang w:val="en-US" w:eastAsia="zh-CN"/>
        </w:rPr>
        <w:t>3</w:t>
      </w:r>
      <w:r>
        <w:rPr>
          <w:rFonts w:hint="eastAsia" w:ascii="宋体" w:hAnsi="宋体"/>
          <w:bCs/>
          <w:color w:val="000000"/>
          <w:sz w:val="28"/>
          <w:szCs w:val="28"/>
          <w:highlight w:val="none"/>
          <w:lang w:val="en-US"/>
        </w:rPr>
        <w:t>年</w:t>
      </w:r>
      <w:r>
        <w:rPr>
          <w:rFonts w:hint="eastAsia" w:ascii="宋体" w:hAnsi="宋体"/>
          <w:bCs/>
          <w:color w:val="000000"/>
          <w:sz w:val="28"/>
          <w:szCs w:val="28"/>
          <w:highlight w:val="none"/>
        </w:rPr>
        <w:t>第</w:t>
      </w:r>
      <w:r>
        <w:rPr>
          <w:rFonts w:hint="eastAsia" w:ascii="宋体" w:hAnsi="宋体"/>
          <w:bCs/>
          <w:color w:val="000000"/>
          <w:sz w:val="28"/>
          <w:szCs w:val="28"/>
          <w:highlight w:val="none"/>
          <w:lang w:val="en-US" w:eastAsia="zh-CN"/>
        </w:rPr>
        <w:t>一</w:t>
      </w:r>
      <w:r>
        <w:rPr>
          <w:rFonts w:hint="eastAsia" w:ascii="宋体" w:hAnsi="宋体"/>
          <w:bCs/>
          <w:color w:val="000000"/>
          <w:sz w:val="28"/>
          <w:szCs w:val="28"/>
          <w:highlight w:val="none"/>
        </w:rPr>
        <w:t>期人工费价格信息（渝水造价[202</w:t>
      </w:r>
      <w:r>
        <w:rPr>
          <w:rFonts w:hint="eastAsia" w:ascii="宋体" w:hAnsi="宋体"/>
          <w:bCs/>
          <w:color w:val="000000"/>
          <w:sz w:val="28"/>
          <w:szCs w:val="28"/>
          <w:highlight w:val="none"/>
          <w:lang w:val="en-US" w:eastAsia="zh-CN"/>
        </w:rPr>
        <w:t>3</w:t>
      </w:r>
      <w:r>
        <w:rPr>
          <w:rFonts w:hint="eastAsia" w:ascii="宋体" w:hAnsi="宋体"/>
          <w:bCs/>
          <w:color w:val="000000"/>
          <w:sz w:val="28"/>
          <w:szCs w:val="28"/>
          <w:highlight w:val="none"/>
        </w:rPr>
        <w:t>]</w:t>
      </w:r>
      <w:r>
        <w:rPr>
          <w:rFonts w:hint="eastAsia" w:ascii="宋体" w:hAnsi="宋体"/>
          <w:bCs/>
          <w:color w:val="000000"/>
          <w:sz w:val="28"/>
          <w:szCs w:val="28"/>
          <w:highlight w:val="none"/>
          <w:lang w:val="en-US" w:eastAsia="zh-CN"/>
        </w:rPr>
        <w:t>2</w:t>
      </w:r>
      <w:r>
        <w:rPr>
          <w:rFonts w:hint="eastAsia" w:ascii="宋体" w:hAnsi="宋体"/>
          <w:bCs/>
          <w:color w:val="000000"/>
          <w:sz w:val="28"/>
          <w:szCs w:val="28"/>
          <w:highlight w:val="none"/>
        </w:rPr>
        <w:t>号）：</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lang w:val="en-US"/>
        </w:rPr>
        <w:t>枢纽</w:t>
      </w:r>
      <w:r>
        <w:rPr>
          <w:rFonts w:hint="eastAsia" w:ascii="宋体" w:hAnsi="宋体"/>
          <w:snapToGrid w:val="0"/>
          <w:color w:val="000000"/>
          <w:sz w:val="28"/>
          <w:szCs w:val="28"/>
          <w:highlight w:val="none"/>
        </w:rPr>
        <w:t>工程：工长</w:t>
      </w:r>
      <w:r>
        <w:rPr>
          <w:rFonts w:hint="eastAsia" w:ascii="宋体" w:hAnsi="宋体"/>
          <w:snapToGrid w:val="0"/>
          <w:color w:val="000000"/>
          <w:sz w:val="28"/>
          <w:szCs w:val="28"/>
          <w:highlight w:val="none"/>
          <w:lang w:val="en-US"/>
        </w:rPr>
        <w:t>12.12</w:t>
      </w:r>
      <w:r>
        <w:rPr>
          <w:rFonts w:hint="eastAsia" w:ascii="宋体" w:hAnsi="宋体"/>
          <w:snapToGrid w:val="0"/>
          <w:color w:val="000000"/>
          <w:sz w:val="28"/>
          <w:szCs w:val="28"/>
          <w:highlight w:val="none"/>
        </w:rPr>
        <w:t>元/工时，高级工</w:t>
      </w:r>
      <w:r>
        <w:rPr>
          <w:rFonts w:hint="eastAsia" w:ascii="宋体" w:hAnsi="宋体"/>
          <w:snapToGrid w:val="0"/>
          <w:color w:val="000000"/>
          <w:sz w:val="28"/>
          <w:szCs w:val="28"/>
          <w:highlight w:val="none"/>
          <w:lang w:val="en-US"/>
        </w:rPr>
        <w:t>11.26</w:t>
      </w:r>
      <w:r>
        <w:rPr>
          <w:rFonts w:hint="eastAsia" w:ascii="宋体" w:hAnsi="宋体"/>
          <w:snapToGrid w:val="0"/>
          <w:color w:val="000000"/>
          <w:sz w:val="28"/>
          <w:szCs w:val="28"/>
          <w:highlight w:val="none"/>
        </w:rPr>
        <w:t>元/工时，中级工</w:t>
      </w:r>
      <w:r>
        <w:rPr>
          <w:rFonts w:hint="eastAsia" w:ascii="宋体" w:hAnsi="宋体"/>
          <w:snapToGrid w:val="0"/>
          <w:color w:val="000000"/>
          <w:sz w:val="28"/>
          <w:szCs w:val="28"/>
          <w:highlight w:val="none"/>
          <w:lang w:val="en-US"/>
        </w:rPr>
        <w:t>9.59</w:t>
      </w:r>
      <w:r>
        <w:rPr>
          <w:rFonts w:hint="eastAsia" w:ascii="宋体" w:hAnsi="宋体"/>
          <w:snapToGrid w:val="0"/>
          <w:color w:val="000000"/>
          <w:sz w:val="28"/>
          <w:szCs w:val="28"/>
          <w:highlight w:val="none"/>
        </w:rPr>
        <w:t>元/工时，初级工</w:t>
      </w:r>
      <w:r>
        <w:rPr>
          <w:rFonts w:hint="eastAsia" w:ascii="宋体" w:hAnsi="宋体"/>
          <w:snapToGrid w:val="0"/>
          <w:color w:val="000000"/>
          <w:sz w:val="28"/>
          <w:szCs w:val="28"/>
          <w:highlight w:val="none"/>
          <w:lang w:val="en-US"/>
        </w:rPr>
        <w:t>5.19</w:t>
      </w:r>
      <w:r>
        <w:rPr>
          <w:rFonts w:hint="eastAsia" w:ascii="宋体" w:hAnsi="宋体"/>
          <w:snapToGrid w:val="0"/>
          <w:color w:val="000000"/>
          <w:sz w:val="28"/>
          <w:szCs w:val="28"/>
          <w:highlight w:val="none"/>
        </w:rPr>
        <w:t>元/工时</w:t>
      </w:r>
      <w:r>
        <w:rPr>
          <w:rFonts w:ascii="宋体" w:hAnsi="宋体"/>
          <w:sz w:val="28"/>
          <w:szCs w:val="28"/>
          <w:highlight w:val="none"/>
        </w:rPr>
        <w:t>。</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人工费以限价计入，市场人工价超过限价部分人工费需调差。</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价差：根据</w:t>
      </w:r>
      <w:r>
        <w:rPr>
          <w:rFonts w:ascii="宋体" w:hAnsi="宋体"/>
          <w:sz w:val="28"/>
          <w:szCs w:val="28"/>
          <w:highlight w:val="none"/>
        </w:rPr>
        <w:t>《重庆市水利工程设计概（估）算编制规定》</w:t>
      </w:r>
      <w:r>
        <w:rPr>
          <w:rFonts w:hint="eastAsia" w:ascii="宋体" w:hAnsi="宋体"/>
          <w:sz w:val="28"/>
          <w:szCs w:val="28"/>
          <w:highlight w:val="none"/>
        </w:rPr>
        <w:t>，在编制概算文件时，人工按基价进入定额，参与各项费率的计算，其预算价（或市场价）与基价的差值按价差处理。即人工价差=人工工时耗量×（信息价-基价）。</w:t>
      </w:r>
    </w:p>
    <w:p>
      <w:pPr>
        <w:spacing w:line="360" w:lineRule="auto"/>
        <w:ind w:firstLine="562" w:firstLineChars="200"/>
        <w:rPr>
          <w:rFonts w:ascii="宋体" w:hAnsi="宋体"/>
          <w:b/>
          <w:snapToGrid w:val="0"/>
          <w:sz w:val="28"/>
          <w:szCs w:val="28"/>
          <w:highlight w:val="none"/>
        </w:rPr>
      </w:pPr>
      <w:r>
        <w:rPr>
          <w:rFonts w:hint="eastAsia" w:ascii="宋体" w:hAnsi="宋体"/>
          <w:b/>
          <w:snapToGrid w:val="0"/>
          <w:sz w:val="28"/>
          <w:szCs w:val="28"/>
          <w:highlight w:val="none"/>
        </w:rPr>
        <w:t>2）材料预算价格</w:t>
      </w:r>
    </w:p>
    <w:p>
      <w:pPr>
        <w:spacing w:line="480" w:lineRule="exact"/>
        <w:ind w:firstLine="560" w:firstLineChars="200"/>
        <w:rPr>
          <w:rFonts w:ascii="宋体" w:hAnsi="宋体"/>
          <w:sz w:val="28"/>
          <w:szCs w:val="28"/>
          <w:highlight w:val="none"/>
        </w:rPr>
      </w:pPr>
      <w:r>
        <w:rPr>
          <w:rFonts w:ascii="宋体" w:hAnsi="宋体"/>
          <w:sz w:val="28"/>
          <w:szCs w:val="28"/>
          <w:highlight w:val="none"/>
        </w:rPr>
        <w:t>材料预算价格包括材料</w:t>
      </w:r>
      <w:r>
        <w:rPr>
          <w:rFonts w:hint="eastAsia" w:ascii="宋体" w:hAnsi="宋体"/>
          <w:sz w:val="28"/>
          <w:szCs w:val="28"/>
          <w:highlight w:val="none"/>
        </w:rPr>
        <w:t>信息价</w:t>
      </w:r>
      <w:r>
        <w:rPr>
          <w:rFonts w:ascii="宋体" w:hAnsi="宋体"/>
          <w:sz w:val="28"/>
          <w:szCs w:val="28"/>
          <w:highlight w:val="none"/>
        </w:rPr>
        <w:t>、</w:t>
      </w:r>
      <w:r>
        <w:rPr>
          <w:rFonts w:hint="eastAsia" w:ascii="宋体" w:hAnsi="宋体"/>
          <w:sz w:val="28"/>
          <w:szCs w:val="28"/>
          <w:highlight w:val="none"/>
        </w:rPr>
        <w:t>运杂费、</w:t>
      </w:r>
      <w:r>
        <w:rPr>
          <w:rFonts w:ascii="宋体" w:hAnsi="宋体"/>
          <w:sz w:val="28"/>
          <w:szCs w:val="28"/>
          <w:highlight w:val="none"/>
        </w:rPr>
        <w:t>采购及保管费</w:t>
      </w:r>
      <w:r>
        <w:rPr>
          <w:rFonts w:hint="eastAsia" w:ascii="宋体" w:hAnsi="宋体"/>
          <w:sz w:val="28"/>
          <w:szCs w:val="28"/>
          <w:highlight w:val="none"/>
        </w:rPr>
        <w:t>三</w:t>
      </w:r>
      <w:r>
        <w:rPr>
          <w:rFonts w:ascii="宋体" w:hAnsi="宋体"/>
          <w:sz w:val="28"/>
          <w:szCs w:val="28"/>
          <w:highlight w:val="none"/>
        </w:rPr>
        <w:t>项。</w:t>
      </w:r>
    </w:p>
    <w:p>
      <w:pPr>
        <w:spacing w:line="480" w:lineRule="exact"/>
        <w:ind w:firstLine="560" w:firstLineChars="200"/>
        <w:rPr>
          <w:rFonts w:ascii="宋体" w:hAnsi="宋体"/>
          <w:sz w:val="28"/>
          <w:szCs w:val="28"/>
          <w:highlight w:val="none"/>
        </w:rPr>
      </w:pPr>
      <w:r>
        <w:rPr>
          <w:rFonts w:hint="eastAsia" w:ascii="宋体" w:hAnsi="宋体"/>
          <w:sz w:val="28"/>
          <w:szCs w:val="28"/>
          <w:highlight w:val="none"/>
        </w:rPr>
        <w:t>① 主要材料预算价格</w:t>
      </w:r>
    </w:p>
    <w:p>
      <w:pPr>
        <w:spacing w:line="480" w:lineRule="exact"/>
        <w:ind w:firstLine="560" w:firstLineChars="200"/>
        <w:rPr>
          <w:rFonts w:ascii="宋体" w:hAnsi="宋体" w:eastAsia="宋体"/>
          <w:sz w:val="28"/>
          <w:szCs w:val="28"/>
          <w:highlight w:val="none"/>
          <w:lang w:val="en-US"/>
        </w:rPr>
      </w:pPr>
      <w:r>
        <w:rPr>
          <w:rFonts w:ascii="宋体" w:hAnsi="宋体"/>
          <w:sz w:val="28"/>
          <w:szCs w:val="28"/>
          <w:highlight w:val="none"/>
        </w:rPr>
        <w:t>材料</w:t>
      </w:r>
      <w:r>
        <w:rPr>
          <w:rFonts w:hint="eastAsia" w:ascii="宋体" w:hAnsi="宋体"/>
          <w:sz w:val="28"/>
          <w:szCs w:val="28"/>
          <w:highlight w:val="none"/>
        </w:rPr>
        <w:t>信息价</w:t>
      </w:r>
      <w:r>
        <w:rPr>
          <w:rFonts w:ascii="宋体" w:hAnsi="宋体"/>
          <w:sz w:val="28"/>
          <w:szCs w:val="28"/>
          <w:highlight w:val="none"/>
        </w:rPr>
        <w:t>：</w:t>
      </w:r>
      <w:r>
        <w:rPr>
          <w:rFonts w:hint="eastAsia" w:ascii="宋体" w:hAnsi="宋体"/>
          <w:snapToGrid w:val="0"/>
          <w:color w:val="000000"/>
          <w:sz w:val="28"/>
          <w:szCs w:val="28"/>
          <w:highlight w:val="none"/>
        </w:rPr>
        <w:t>按20</w:t>
      </w:r>
      <w:r>
        <w:rPr>
          <w:rFonts w:hint="eastAsia" w:ascii="宋体" w:hAnsi="宋体"/>
          <w:snapToGrid w:val="0"/>
          <w:color w:val="000000"/>
          <w:sz w:val="28"/>
          <w:szCs w:val="28"/>
          <w:highlight w:val="none"/>
          <w:lang w:val="en-US"/>
        </w:rPr>
        <w:t>2</w:t>
      </w:r>
      <w:r>
        <w:rPr>
          <w:rFonts w:hint="eastAsia" w:ascii="宋体" w:hAnsi="宋体"/>
          <w:snapToGrid w:val="0"/>
          <w:color w:val="000000"/>
          <w:sz w:val="28"/>
          <w:szCs w:val="28"/>
          <w:highlight w:val="none"/>
          <w:lang w:val="en-US" w:eastAsia="zh-CN"/>
        </w:rPr>
        <w:t>3</w:t>
      </w:r>
      <w:r>
        <w:rPr>
          <w:rFonts w:hint="eastAsia" w:ascii="宋体" w:hAnsi="宋体"/>
          <w:snapToGrid w:val="0"/>
          <w:color w:val="000000"/>
          <w:sz w:val="28"/>
          <w:szCs w:val="28"/>
          <w:highlight w:val="none"/>
        </w:rPr>
        <w:t>年</w:t>
      </w:r>
      <w:r>
        <w:rPr>
          <w:rFonts w:hint="eastAsia" w:ascii="宋体" w:hAnsi="宋体"/>
          <w:snapToGrid w:val="0"/>
          <w:color w:val="000000"/>
          <w:sz w:val="28"/>
          <w:szCs w:val="28"/>
          <w:highlight w:val="none"/>
          <w:lang w:val="en-US" w:eastAsia="zh-CN"/>
        </w:rPr>
        <w:t>9月璧山区主要材料价格信息汇总表</w:t>
      </w:r>
      <w:r>
        <w:rPr>
          <w:rFonts w:hint="eastAsia" w:ascii="宋体" w:hAnsi="宋体"/>
          <w:snapToGrid w:val="0"/>
          <w:color w:val="000000"/>
          <w:sz w:val="28"/>
          <w:szCs w:val="28"/>
          <w:highlight w:val="none"/>
        </w:rPr>
        <w:t>、《重庆工程造价信息》20</w:t>
      </w:r>
      <w:r>
        <w:rPr>
          <w:rFonts w:hint="eastAsia" w:ascii="宋体" w:hAnsi="宋体"/>
          <w:snapToGrid w:val="0"/>
          <w:color w:val="000000"/>
          <w:sz w:val="28"/>
          <w:szCs w:val="28"/>
          <w:highlight w:val="none"/>
          <w:lang w:val="en-US"/>
        </w:rPr>
        <w:t>2</w:t>
      </w:r>
      <w:r>
        <w:rPr>
          <w:rFonts w:hint="eastAsia" w:ascii="宋体" w:hAnsi="宋体"/>
          <w:snapToGrid w:val="0"/>
          <w:color w:val="000000"/>
          <w:sz w:val="28"/>
          <w:szCs w:val="28"/>
          <w:highlight w:val="none"/>
          <w:lang w:val="en-US" w:eastAsia="zh-CN"/>
        </w:rPr>
        <w:t>3</w:t>
      </w:r>
      <w:r>
        <w:rPr>
          <w:rFonts w:hint="eastAsia" w:ascii="宋体" w:hAnsi="宋体"/>
          <w:snapToGrid w:val="0"/>
          <w:color w:val="000000"/>
          <w:sz w:val="28"/>
          <w:szCs w:val="28"/>
          <w:highlight w:val="none"/>
        </w:rPr>
        <w:t>年</w:t>
      </w:r>
      <w:r>
        <w:rPr>
          <w:rFonts w:hint="eastAsia" w:ascii="宋体" w:hAnsi="宋体"/>
          <w:snapToGrid w:val="0"/>
          <w:color w:val="000000"/>
          <w:sz w:val="28"/>
          <w:szCs w:val="28"/>
          <w:highlight w:val="none"/>
          <w:lang w:val="en-US" w:eastAsia="zh-CN"/>
        </w:rPr>
        <w:t>第十</w:t>
      </w:r>
      <w:r>
        <w:rPr>
          <w:rFonts w:hint="eastAsia" w:ascii="宋体" w:hAnsi="宋体"/>
          <w:snapToGrid w:val="0"/>
          <w:color w:val="000000"/>
          <w:sz w:val="28"/>
          <w:szCs w:val="28"/>
          <w:highlight w:val="none"/>
          <w:lang w:val="en-US"/>
        </w:rPr>
        <w:t>期</w:t>
      </w:r>
      <w:r>
        <w:rPr>
          <w:rFonts w:hint="eastAsia" w:ascii="宋体" w:hAnsi="宋体"/>
          <w:snapToGrid w:val="0"/>
          <w:color w:val="000000"/>
          <w:sz w:val="28"/>
          <w:szCs w:val="28"/>
          <w:highlight w:val="none"/>
        </w:rPr>
        <w:t>公布的璧山</w:t>
      </w:r>
      <w:r>
        <w:rPr>
          <w:rFonts w:hint="eastAsia" w:ascii="宋体" w:hAnsi="宋体"/>
          <w:snapToGrid w:val="0"/>
          <w:color w:val="000000"/>
          <w:sz w:val="28"/>
          <w:szCs w:val="28"/>
          <w:highlight w:val="none"/>
          <w:lang w:val="en-US"/>
        </w:rPr>
        <w:t>区</w:t>
      </w:r>
      <w:r>
        <w:rPr>
          <w:rFonts w:hint="eastAsia" w:ascii="宋体" w:hAnsi="宋体"/>
          <w:snapToGrid w:val="0"/>
          <w:color w:val="000000"/>
          <w:sz w:val="28"/>
          <w:szCs w:val="28"/>
          <w:highlight w:val="none"/>
        </w:rPr>
        <w:t>主要建筑材料价格</w:t>
      </w:r>
      <w:r>
        <w:rPr>
          <w:rFonts w:hint="eastAsia" w:ascii="宋体" w:hAnsi="宋体"/>
          <w:snapToGrid w:val="0"/>
          <w:color w:val="000000"/>
          <w:sz w:val="28"/>
          <w:szCs w:val="28"/>
          <w:highlight w:val="none"/>
          <w:lang w:val="en-US"/>
        </w:rPr>
        <w:t>以及市场询价</w:t>
      </w:r>
      <w:r>
        <w:rPr>
          <w:rFonts w:hint="eastAsia" w:ascii="宋体" w:hAnsi="宋体"/>
          <w:snapToGrid w:val="0"/>
          <w:color w:val="000000"/>
          <w:sz w:val="28"/>
          <w:szCs w:val="28"/>
          <w:highlight w:val="none"/>
        </w:rPr>
        <w:t>。其中已包含20km运杂费、运输保险费，未计算采购及保管费。运输价格按市场价1.00元/t•km计算。本工程所用主要建筑材料运距均未超过20km，则不计算附加运杂费</w:t>
      </w:r>
      <w:r>
        <w:rPr>
          <w:rFonts w:hint="eastAsia" w:ascii="宋体" w:hAnsi="宋体"/>
          <w:sz w:val="28"/>
          <w:szCs w:val="28"/>
          <w:highlight w:val="none"/>
        </w:rPr>
        <w:t>。</w:t>
      </w:r>
    </w:p>
    <w:p>
      <w:pPr>
        <w:spacing w:line="480" w:lineRule="exact"/>
        <w:ind w:firstLine="560" w:firstLineChars="200"/>
        <w:rPr>
          <w:rFonts w:ascii="宋体" w:hAnsi="宋体"/>
          <w:sz w:val="28"/>
          <w:szCs w:val="28"/>
          <w:highlight w:val="none"/>
        </w:rPr>
      </w:pPr>
      <w:r>
        <w:rPr>
          <w:rFonts w:hint="eastAsia" w:ascii="宋体" w:hAnsi="宋体"/>
          <w:sz w:val="28"/>
          <w:szCs w:val="28"/>
          <w:highlight w:val="none"/>
        </w:rPr>
        <w:t>② 主要材料基价</w:t>
      </w:r>
    </w:p>
    <w:p>
      <w:pPr>
        <w:spacing w:line="480" w:lineRule="exact"/>
        <w:ind w:firstLine="560" w:firstLineChars="200"/>
        <w:rPr>
          <w:rFonts w:ascii="宋体" w:hAnsi="宋体"/>
          <w:sz w:val="24"/>
          <w:highlight w:val="none"/>
        </w:rPr>
      </w:pPr>
      <w:r>
        <w:rPr>
          <w:rFonts w:ascii="宋体" w:hAnsi="宋体"/>
          <w:sz w:val="28"/>
          <w:szCs w:val="28"/>
          <w:highlight w:val="none"/>
        </w:rPr>
        <w:t>《重庆市水利工程设计概（估）算编制规定》</w:t>
      </w:r>
      <w:r>
        <w:rPr>
          <w:rFonts w:hint="eastAsia" w:ascii="宋体" w:hAnsi="宋体"/>
          <w:sz w:val="28"/>
          <w:szCs w:val="28"/>
          <w:highlight w:val="none"/>
        </w:rPr>
        <w:t>对主要材料包括钢筋、炸药、汽柴油、水泥、砂、碎石、条块石等规定了基价，其主要材料预算价格详见表</w:t>
      </w:r>
      <w:r>
        <w:rPr>
          <w:rFonts w:hint="eastAsia" w:ascii="宋体" w:hAnsi="宋体"/>
          <w:sz w:val="28"/>
          <w:szCs w:val="28"/>
          <w:highlight w:val="none"/>
          <w:lang w:val="en-US"/>
        </w:rPr>
        <w:t>8</w:t>
      </w:r>
      <w:r>
        <w:rPr>
          <w:rFonts w:hint="eastAsia" w:ascii="宋体" w:hAnsi="宋体"/>
          <w:sz w:val="28"/>
          <w:szCs w:val="28"/>
          <w:highlight w:val="none"/>
        </w:rPr>
        <w:t>-</w:t>
      </w:r>
      <w:r>
        <w:rPr>
          <w:rFonts w:ascii="宋体" w:hAnsi="宋体"/>
          <w:sz w:val="28"/>
          <w:szCs w:val="28"/>
          <w:highlight w:val="none"/>
        </w:rPr>
        <w:t>1</w:t>
      </w:r>
      <w:r>
        <w:rPr>
          <w:rFonts w:hint="eastAsia" w:ascii="宋体" w:hAnsi="宋体"/>
          <w:sz w:val="28"/>
          <w:szCs w:val="28"/>
          <w:highlight w:val="none"/>
        </w:rPr>
        <w:t>。</w:t>
      </w:r>
    </w:p>
    <w:p>
      <w:pPr>
        <w:pStyle w:val="16"/>
        <w:spacing w:line="520" w:lineRule="exact"/>
        <w:jc w:val="center"/>
        <w:rPr>
          <w:rFonts w:hint="eastAsia"/>
          <w:b/>
          <w:bCs/>
          <w:sz w:val="24"/>
          <w:szCs w:val="24"/>
          <w:highlight w:val="none"/>
        </w:rPr>
      </w:pPr>
      <w:r>
        <w:rPr>
          <w:rFonts w:hint="eastAsia"/>
          <w:b/>
          <w:bCs/>
          <w:sz w:val="24"/>
          <w:szCs w:val="24"/>
          <w:highlight w:val="none"/>
        </w:rPr>
        <w:t>表</w:t>
      </w:r>
      <w:r>
        <w:rPr>
          <w:rFonts w:hint="eastAsia"/>
          <w:b/>
          <w:bCs/>
          <w:sz w:val="24"/>
          <w:szCs w:val="24"/>
          <w:highlight w:val="none"/>
          <w:lang w:val="en-US"/>
        </w:rPr>
        <w:t>8</w:t>
      </w:r>
      <w:r>
        <w:rPr>
          <w:rFonts w:hint="eastAsia"/>
          <w:b/>
          <w:bCs/>
          <w:sz w:val="24"/>
          <w:szCs w:val="24"/>
          <w:highlight w:val="none"/>
        </w:rPr>
        <w:t>-1</w:t>
      </w:r>
      <w:r>
        <w:rPr>
          <w:rFonts w:hint="eastAsia"/>
          <w:b/>
          <w:bCs/>
          <w:sz w:val="24"/>
          <w:szCs w:val="24"/>
          <w:highlight w:val="none"/>
          <w:lang w:val="en-US" w:eastAsia="zh-CN"/>
        </w:rPr>
        <w:t xml:space="preserve">   </w:t>
      </w:r>
      <w:r>
        <w:rPr>
          <w:rFonts w:hint="eastAsia"/>
          <w:b/>
          <w:bCs/>
          <w:sz w:val="24"/>
          <w:szCs w:val="24"/>
          <w:highlight w:val="none"/>
        </w:rPr>
        <w:t>主要材料预算价格表</w:t>
      </w:r>
    </w:p>
    <w:tbl>
      <w:tblPr>
        <w:tblStyle w:val="9"/>
        <w:tblW w:w="452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484"/>
        <w:gridCol w:w="2640"/>
        <w:gridCol w:w="1188"/>
        <w:gridCol w:w="1634"/>
        <w:gridCol w:w="279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4" w:hRule="exact"/>
          <w:jc w:val="center"/>
        </w:trPr>
        <w:tc>
          <w:tcPr>
            <w:tcW w:w="762" w:type="pct"/>
            <w:tcBorders>
              <w:tl2br w:val="nil"/>
              <w:tr2bl w:val="nil"/>
            </w:tcBorders>
            <w:vAlign w:val="center"/>
          </w:tcPr>
          <w:p>
            <w:pPr>
              <w:widowControl/>
              <w:adjustRightInd w:val="0"/>
              <w:snapToGrid w:val="0"/>
              <w:spacing w:line="360" w:lineRule="auto"/>
              <w:ind w:firstLine="420"/>
              <w:jc w:val="both"/>
              <w:rPr>
                <w:szCs w:val="21"/>
              </w:rPr>
            </w:pPr>
            <w:r>
              <w:rPr>
                <w:szCs w:val="21"/>
              </w:rPr>
              <w:t>序号</w:t>
            </w:r>
          </w:p>
        </w:tc>
        <w:tc>
          <w:tcPr>
            <w:tcW w:w="1355" w:type="pct"/>
            <w:tcBorders>
              <w:tl2br w:val="nil"/>
              <w:tr2bl w:val="nil"/>
            </w:tcBorders>
            <w:vAlign w:val="center"/>
          </w:tcPr>
          <w:p>
            <w:pPr>
              <w:widowControl/>
              <w:adjustRightInd w:val="0"/>
              <w:snapToGrid w:val="0"/>
              <w:spacing w:line="360" w:lineRule="auto"/>
              <w:ind w:firstLine="420"/>
              <w:jc w:val="center"/>
              <w:rPr>
                <w:szCs w:val="21"/>
              </w:rPr>
            </w:pPr>
            <w:r>
              <w:rPr>
                <w:szCs w:val="21"/>
              </w:rPr>
              <w:t>名称及规格</w:t>
            </w:r>
          </w:p>
        </w:tc>
        <w:tc>
          <w:tcPr>
            <w:tcW w:w="610" w:type="pct"/>
            <w:tcBorders>
              <w:tl2br w:val="nil"/>
              <w:tr2bl w:val="nil"/>
            </w:tcBorders>
            <w:vAlign w:val="center"/>
          </w:tcPr>
          <w:p>
            <w:pPr>
              <w:widowControl/>
              <w:adjustRightInd w:val="0"/>
              <w:snapToGrid w:val="0"/>
              <w:spacing w:line="360" w:lineRule="auto"/>
              <w:jc w:val="center"/>
              <w:rPr>
                <w:szCs w:val="21"/>
              </w:rPr>
            </w:pPr>
            <w:r>
              <w:rPr>
                <w:szCs w:val="21"/>
              </w:rPr>
              <w:t>单位</w:t>
            </w:r>
          </w:p>
        </w:tc>
        <w:tc>
          <w:tcPr>
            <w:tcW w:w="839" w:type="pct"/>
            <w:tcBorders>
              <w:tl2br w:val="nil"/>
              <w:tr2bl w:val="nil"/>
            </w:tcBorders>
            <w:vAlign w:val="center"/>
          </w:tcPr>
          <w:p>
            <w:pPr>
              <w:widowControl/>
              <w:adjustRightInd w:val="0"/>
              <w:snapToGrid w:val="0"/>
              <w:spacing w:line="360" w:lineRule="auto"/>
              <w:ind w:firstLine="420"/>
              <w:jc w:val="both"/>
              <w:rPr>
                <w:szCs w:val="21"/>
              </w:rPr>
            </w:pPr>
            <w:r>
              <w:rPr>
                <w:szCs w:val="21"/>
              </w:rPr>
              <w:t>基价</w:t>
            </w:r>
          </w:p>
        </w:tc>
        <w:tc>
          <w:tcPr>
            <w:tcW w:w="1432" w:type="pct"/>
            <w:tcBorders>
              <w:tl2br w:val="nil"/>
              <w:tr2bl w:val="nil"/>
            </w:tcBorders>
            <w:vAlign w:val="center"/>
          </w:tcPr>
          <w:p>
            <w:pPr>
              <w:adjustRightInd w:val="0"/>
              <w:snapToGrid w:val="0"/>
              <w:spacing w:line="360" w:lineRule="auto"/>
              <w:jc w:val="center"/>
              <w:rPr>
                <w:szCs w:val="21"/>
              </w:rPr>
            </w:pPr>
            <w:r>
              <w:rPr>
                <w:szCs w:val="21"/>
              </w:rPr>
              <w:t>预算价格（除税价）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4" w:hRule="exact"/>
          <w:jc w:val="center"/>
        </w:trPr>
        <w:tc>
          <w:tcPr>
            <w:tcW w:w="762" w:type="pct"/>
            <w:tcBorders>
              <w:tl2br w:val="nil"/>
              <w:tr2bl w:val="nil"/>
            </w:tcBorders>
            <w:vAlign w:val="center"/>
          </w:tcPr>
          <w:p>
            <w:pPr>
              <w:adjustRightInd w:val="0"/>
              <w:snapToGrid w:val="0"/>
              <w:spacing w:line="360" w:lineRule="auto"/>
              <w:ind w:firstLine="660" w:firstLineChars="300"/>
              <w:jc w:val="both"/>
              <w:rPr>
                <w:szCs w:val="21"/>
              </w:rPr>
            </w:pPr>
            <w:r>
              <w:rPr>
                <w:szCs w:val="21"/>
              </w:rPr>
              <w:t>1</w:t>
            </w:r>
          </w:p>
        </w:tc>
        <w:tc>
          <w:tcPr>
            <w:tcW w:w="1355" w:type="pct"/>
            <w:tcBorders>
              <w:tl2br w:val="nil"/>
              <w:tr2bl w:val="nil"/>
            </w:tcBorders>
            <w:vAlign w:val="center"/>
          </w:tcPr>
          <w:p>
            <w:pPr>
              <w:spacing w:line="360" w:lineRule="auto"/>
              <w:ind w:firstLine="420"/>
              <w:jc w:val="center"/>
              <w:rPr>
                <w:szCs w:val="21"/>
              </w:rPr>
            </w:pPr>
            <w:r>
              <w:rPr>
                <w:szCs w:val="21"/>
              </w:rPr>
              <w:t>砂</w:t>
            </w:r>
          </w:p>
        </w:tc>
        <w:tc>
          <w:tcPr>
            <w:tcW w:w="610" w:type="pct"/>
            <w:tcBorders>
              <w:tl2br w:val="nil"/>
              <w:tr2bl w:val="nil"/>
            </w:tcBorders>
            <w:vAlign w:val="center"/>
          </w:tcPr>
          <w:p>
            <w:pPr>
              <w:spacing w:line="360" w:lineRule="auto"/>
              <w:ind w:firstLine="420"/>
              <w:jc w:val="both"/>
              <w:rPr>
                <w:szCs w:val="21"/>
              </w:rPr>
            </w:pPr>
            <w:r>
              <w:rPr>
                <w:szCs w:val="21"/>
              </w:rPr>
              <w:t>m³</w:t>
            </w:r>
          </w:p>
        </w:tc>
        <w:tc>
          <w:tcPr>
            <w:tcW w:w="839" w:type="pct"/>
            <w:tcBorders>
              <w:tl2br w:val="nil"/>
              <w:tr2bl w:val="nil"/>
            </w:tcBorders>
            <w:vAlign w:val="center"/>
          </w:tcPr>
          <w:p>
            <w:pPr>
              <w:spacing w:line="360" w:lineRule="auto"/>
              <w:ind w:firstLine="638" w:firstLineChars="290"/>
              <w:jc w:val="both"/>
              <w:rPr>
                <w:szCs w:val="21"/>
              </w:rPr>
            </w:pPr>
            <w:r>
              <w:rPr>
                <w:szCs w:val="21"/>
              </w:rPr>
              <w:t>50</w:t>
            </w:r>
          </w:p>
        </w:tc>
        <w:tc>
          <w:tcPr>
            <w:tcW w:w="1432" w:type="pct"/>
            <w:tcBorders>
              <w:tl2br w:val="nil"/>
              <w:tr2bl w:val="nil"/>
            </w:tcBorders>
            <w:vAlign w:val="center"/>
          </w:tcPr>
          <w:p>
            <w:pPr>
              <w:spacing w:line="360" w:lineRule="auto"/>
              <w:ind w:left="0" w:leftChars="0" w:right="0" w:rightChars="0" w:firstLine="858" w:firstLineChars="390"/>
              <w:jc w:val="both"/>
              <w:rPr>
                <w:rFonts w:hint="default" w:eastAsia="黑体"/>
                <w:szCs w:val="21"/>
                <w:lang w:val="en-US" w:eastAsia="zh-CN"/>
              </w:rPr>
            </w:pPr>
            <w:r>
              <w:rPr>
                <w:rFonts w:hint="eastAsia"/>
                <w:szCs w:val="21"/>
                <w:lang w:val="en-US" w:eastAsia="zh-CN"/>
              </w:rPr>
              <w:t>258.25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4" w:hRule="exact"/>
          <w:jc w:val="center"/>
        </w:trPr>
        <w:tc>
          <w:tcPr>
            <w:tcW w:w="762" w:type="pct"/>
            <w:tcBorders>
              <w:tl2br w:val="nil"/>
              <w:tr2bl w:val="nil"/>
            </w:tcBorders>
            <w:vAlign w:val="center"/>
          </w:tcPr>
          <w:p>
            <w:pPr>
              <w:adjustRightInd w:val="0"/>
              <w:snapToGrid w:val="0"/>
              <w:spacing w:line="360" w:lineRule="auto"/>
              <w:ind w:firstLine="660" w:firstLineChars="300"/>
              <w:jc w:val="both"/>
              <w:rPr>
                <w:szCs w:val="21"/>
              </w:rPr>
            </w:pPr>
            <w:r>
              <w:rPr>
                <w:szCs w:val="21"/>
              </w:rPr>
              <w:t>2</w:t>
            </w:r>
          </w:p>
        </w:tc>
        <w:tc>
          <w:tcPr>
            <w:tcW w:w="1355" w:type="pct"/>
            <w:tcBorders>
              <w:tl2br w:val="nil"/>
              <w:tr2bl w:val="nil"/>
            </w:tcBorders>
            <w:vAlign w:val="center"/>
          </w:tcPr>
          <w:p>
            <w:pPr>
              <w:spacing w:line="360" w:lineRule="auto"/>
              <w:ind w:left="0" w:leftChars="0" w:right="0" w:rightChars="0" w:firstLine="420" w:firstLineChars="0"/>
              <w:jc w:val="center"/>
              <w:rPr>
                <w:rFonts w:ascii="黑体" w:hAnsi="黑体" w:eastAsia="黑体" w:cs="黑体"/>
                <w:sz w:val="22"/>
                <w:szCs w:val="21"/>
                <w:lang w:val="zh-CN" w:eastAsia="zh-CN" w:bidi="zh-CN"/>
              </w:rPr>
            </w:pPr>
            <w:r>
              <w:rPr>
                <w:rFonts w:hint="eastAsia"/>
                <w:szCs w:val="21"/>
              </w:rPr>
              <w:t>碎石</w:t>
            </w:r>
          </w:p>
        </w:tc>
        <w:tc>
          <w:tcPr>
            <w:tcW w:w="610" w:type="pct"/>
            <w:tcBorders>
              <w:tl2br w:val="nil"/>
              <w:tr2bl w:val="nil"/>
            </w:tcBorders>
            <w:vAlign w:val="center"/>
          </w:tcPr>
          <w:p>
            <w:pPr>
              <w:spacing w:line="360" w:lineRule="auto"/>
              <w:ind w:left="0" w:leftChars="0" w:right="0" w:rightChars="0" w:firstLine="420" w:firstLineChars="0"/>
              <w:jc w:val="both"/>
              <w:rPr>
                <w:rFonts w:ascii="黑体" w:hAnsi="黑体" w:eastAsia="黑体" w:cs="黑体"/>
                <w:sz w:val="22"/>
                <w:szCs w:val="21"/>
                <w:lang w:val="zh-CN" w:eastAsia="zh-CN" w:bidi="zh-CN"/>
              </w:rPr>
            </w:pPr>
            <w:r>
              <w:rPr>
                <w:szCs w:val="21"/>
              </w:rPr>
              <w:t>m³</w:t>
            </w:r>
          </w:p>
        </w:tc>
        <w:tc>
          <w:tcPr>
            <w:tcW w:w="839" w:type="pct"/>
            <w:tcBorders>
              <w:tl2br w:val="nil"/>
              <w:tr2bl w:val="nil"/>
            </w:tcBorders>
            <w:vAlign w:val="center"/>
          </w:tcPr>
          <w:p>
            <w:pPr>
              <w:spacing w:line="360" w:lineRule="auto"/>
              <w:ind w:left="0" w:leftChars="0" w:right="0" w:rightChars="0" w:firstLine="638" w:firstLineChars="290"/>
              <w:jc w:val="both"/>
              <w:rPr>
                <w:rFonts w:ascii="黑体" w:hAnsi="黑体" w:eastAsia="黑体" w:cs="黑体"/>
                <w:sz w:val="22"/>
                <w:szCs w:val="21"/>
                <w:lang w:val="zh-CN" w:eastAsia="zh-CN" w:bidi="zh-CN"/>
              </w:rPr>
            </w:pPr>
            <w:r>
              <w:rPr>
                <w:rFonts w:hint="eastAsia"/>
                <w:szCs w:val="21"/>
              </w:rPr>
              <w:t>40</w:t>
            </w:r>
          </w:p>
        </w:tc>
        <w:tc>
          <w:tcPr>
            <w:tcW w:w="1432" w:type="pct"/>
            <w:tcBorders>
              <w:tl2br w:val="nil"/>
              <w:tr2bl w:val="nil"/>
            </w:tcBorders>
            <w:vAlign w:val="center"/>
          </w:tcPr>
          <w:p>
            <w:pPr>
              <w:spacing w:line="360" w:lineRule="auto"/>
              <w:ind w:left="0" w:leftChars="0" w:right="0" w:rightChars="0" w:firstLine="880" w:firstLineChars="400"/>
              <w:jc w:val="both"/>
              <w:rPr>
                <w:rFonts w:hint="default" w:ascii="黑体" w:hAnsi="黑体" w:eastAsia="黑体" w:cs="黑体"/>
                <w:sz w:val="22"/>
                <w:szCs w:val="21"/>
                <w:lang w:val="en-US" w:eastAsia="zh-CN" w:bidi="zh-CN"/>
              </w:rPr>
            </w:pPr>
            <w:r>
              <w:rPr>
                <w:rFonts w:hint="eastAsia"/>
                <w:szCs w:val="21"/>
                <w:lang w:val="en-US" w:eastAsia="zh-CN"/>
              </w:rPr>
              <w:t>129.61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4" w:hRule="exact"/>
          <w:jc w:val="center"/>
        </w:trPr>
        <w:tc>
          <w:tcPr>
            <w:tcW w:w="762" w:type="pct"/>
            <w:tcBorders>
              <w:tl2br w:val="nil"/>
              <w:tr2bl w:val="nil"/>
            </w:tcBorders>
            <w:vAlign w:val="center"/>
          </w:tcPr>
          <w:p>
            <w:pPr>
              <w:adjustRightInd w:val="0"/>
              <w:snapToGrid w:val="0"/>
              <w:spacing w:line="360" w:lineRule="auto"/>
              <w:ind w:firstLine="660" w:firstLineChars="300"/>
              <w:jc w:val="both"/>
              <w:rPr>
                <w:szCs w:val="21"/>
              </w:rPr>
            </w:pPr>
            <w:r>
              <w:rPr>
                <w:rFonts w:hint="eastAsia"/>
                <w:szCs w:val="21"/>
              </w:rPr>
              <w:t>3</w:t>
            </w:r>
          </w:p>
        </w:tc>
        <w:tc>
          <w:tcPr>
            <w:tcW w:w="1355" w:type="pct"/>
            <w:tcBorders>
              <w:tl2br w:val="nil"/>
              <w:tr2bl w:val="nil"/>
            </w:tcBorders>
            <w:vAlign w:val="center"/>
          </w:tcPr>
          <w:p>
            <w:pPr>
              <w:spacing w:line="360" w:lineRule="auto"/>
              <w:ind w:left="0" w:leftChars="0" w:right="0" w:rightChars="0" w:firstLine="420" w:firstLineChars="0"/>
              <w:jc w:val="center"/>
              <w:rPr>
                <w:rFonts w:ascii="黑体" w:hAnsi="黑体" w:eastAsia="黑体" w:cs="黑体"/>
                <w:sz w:val="22"/>
                <w:szCs w:val="21"/>
                <w:lang w:val="zh-CN" w:eastAsia="zh-CN" w:bidi="zh-CN"/>
              </w:rPr>
            </w:pPr>
            <w:r>
              <w:rPr>
                <w:szCs w:val="21"/>
              </w:rPr>
              <w:t>钢筋</w:t>
            </w:r>
          </w:p>
        </w:tc>
        <w:tc>
          <w:tcPr>
            <w:tcW w:w="610" w:type="pct"/>
            <w:tcBorders>
              <w:tl2br w:val="nil"/>
              <w:tr2bl w:val="nil"/>
            </w:tcBorders>
            <w:vAlign w:val="center"/>
          </w:tcPr>
          <w:p>
            <w:pPr>
              <w:spacing w:line="360" w:lineRule="auto"/>
              <w:ind w:left="0" w:leftChars="0" w:right="0" w:rightChars="0" w:firstLine="420" w:firstLineChars="0"/>
              <w:jc w:val="both"/>
              <w:rPr>
                <w:rFonts w:ascii="黑体" w:hAnsi="黑体" w:eastAsia="黑体" w:cs="黑体"/>
                <w:sz w:val="22"/>
                <w:szCs w:val="21"/>
                <w:lang w:val="zh-CN" w:eastAsia="zh-CN" w:bidi="zh-CN"/>
              </w:rPr>
            </w:pPr>
            <w:r>
              <w:rPr>
                <w:szCs w:val="21"/>
              </w:rPr>
              <w:t>t</w:t>
            </w:r>
          </w:p>
        </w:tc>
        <w:tc>
          <w:tcPr>
            <w:tcW w:w="839" w:type="pct"/>
            <w:tcBorders>
              <w:tl2br w:val="nil"/>
              <w:tr2bl w:val="nil"/>
            </w:tcBorders>
            <w:vAlign w:val="center"/>
          </w:tcPr>
          <w:p>
            <w:pPr>
              <w:spacing w:line="360" w:lineRule="auto"/>
              <w:ind w:left="0" w:leftChars="0" w:right="0" w:rightChars="0" w:firstLine="440" w:firstLineChars="200"/>
              <w:jc w:val="both"/>
              <w:rPr>
                <w:rFonts w:ascii="黑体" w:hAnsi="黑体" w:eastAsia="黑体" w:cs="黑体"/>
                <w:sz w:val="22"/>
                <w:szCs w:val="21"/>
                <w:lang w:val="zh-CN" w:eastAsia="zh-CN" w:bidi="zh-CN"/>
              </w:rPr>
            </w:pPr>
            <w:r>
              <w:rPr>
                <w:szCs w:val="21"/>
              </w:rPr>
              <w:t>3500</w:t>
            </w:r>
          </w:p>
        </w:tc>
        <w:tc>
          <w:tcPr>
            <w:tcW w:w="1432" w:type="pct"/>
            <w:tcBorders>
              <w:tl2br w:val="nil"/>
              <w:tr2bl w:val="nil"/>
            </w:tcBorders>
            <w:vAlign w:val="center"/>
          </w:tcPr>
          <w:p>
            <w:pPr>
              <w:spacing w:line="360" w:lineRule="auto"/>
              <w:ind w:left="0" w:leftChars="0" w:right="0" w:rightChars="0" w:firstLine="880" w:firstLineChars="400"/>
              <w:jc w:val="both"/>
              <w:rPr>
                <w:rFonts w:hint="default" w:ascii="黑体" w:hAnsi="黑体" w:eastAsia="黑体" w:cs="黑体"/>
                <w:sz w:val="22"/>
                <w:szCs w:val="21"/>
                <w:lang w:val="en-US" w:eastAsia="zh-CN" w:bidi="zh-CN"/>
              </w:rPr>
            </w:pPr>
            <w:r>
              <w:rPr>
                <w:rFonts w:hint="eastAsia"/>
                <w:szCs w:val="21"/>
                <w:lang w:val="en-US" w:eastAsia="zh-CN"/>
              </w:rPr>
              <w:t>3964.6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4" w:hRule="exact"/>
          <w:jc w:val="center"/>
        </w:trPr>
        <w:tc>
          <w:tcPr>
            <w:tcW w:w="762" w:type="pct"/>
            <w:tcBorders>
              <w:tl2br w:val="nil"/>
              <w:tr2bl w:val="nil"/>
            </w:tcBorders>
            <w:vAlign w:val="center"/>
          </w:tcPr>
          <w:p>
            <w:pPr>
              <w:adjustRightInd w:val="0"/>
              <w:snapToGrid w:val="0"/>
              <w:spacing w:line="360" w:lineRule="auto"/>
              <w:ind w:firstLine="660" w:firstLineChars="300"/>
              <w:jc w:val="both"/>
              <w:rPr>
                <w:szCs w:val="21"/>
              </w:rPr>
            </w:pPr>
            <w:r>
              <w:rPr>
                <w:rFonts w:hint="eastAsia"/>
                <w:szCs w:val="21"/>
              </w:rPr>
              <w:t>4</w:t>
            </w:r>
          </w:p>
        </w:tc>
        <w:tc>
          <w:tcPr>
            <w:tcW w:w="1355" w:type="pct"/>
            <w:tcBorders>
              <w:tl2br w:val="nil"/>
              <w:tr2bl w:val="nil"/>
            </w:tcBorders>
            <w:vAlign w:val="center"/>
          </w:tcPr>
          <w:p>
            <w:pPr>
              <w:spacing w:line="360" w:lineRule="auto"/>
              <w:ind w:left="0" w:leftChars="0" w:right="0" w:rightChars="0" w:firstLine="420" w:firstLineChars="0"/>
              <w:jc w:val="center"/>
              <w:rPr>
                <w:rFonts w:ascii="黑体" w:hAnsi="黑体" w:eastAsia="黑体" w:cs="黑体"/>
                <w:sz w:val="22"/>
                <w:szCs w:val="21"/>
                <w:lang w:val="zh-CN" w:eastAsia="zh-CN" w:bidi="zh-CN"/>
              </w:rPr>
            </w:pPr>
            <w:r>
              <w:rPr>
                <w:szCs w:val="21"/>
              </w:rPr>
              <w:t>锯材</w:t>
            </w:r>
          </w:p>
        </w:tc>
        <w:tc>
          <w:tcPr>
            <w:tcW w:w="610" w:type="pct"/>
            <w:tcBorders>
              <w:tl2br w:val="nil"/>
              <w:tr2bl w:val="nil"/>
            </w:tcBorders>
            <w:vAlign w:val="center"/>
          </w:tcPr>
          <w:p>
            <w:pPr>
              <w:spacing w:line="360" w:lineRule="auto"/>
              <w:ind w:left="0" w:leftChars="0" w:right="0" w:rightChars="0" w:firstLine="420" w:firstLineChars="0"/>
              <w:jc w:val="both"/>
              <w:rPr>
                <w:rFonts w:ascii="黑体" w:hAnsi="黑体" w:eastAsia="黑体" w:cs="黑体"/>
                <w:sz w:val="22"/>
                <w:szCs w:val="21"/>
                <w:lang w:val="zh-CN" w:eastAsia="zh-CN" w:bidi="zh-CN"/>
              </w:rPr>
            </w:pPr>
            <w:r>
              <w:rPr>
                <w:szCs w:val="21"/>
              </w:rPr>
              <w:t>m³</w:t>
            </w:r>
          </w:p>
        </w:tc>
        <w:tc>
          <w:tcPr>
            <w:tcW w:w="839" w:type="pct"/>
            <w:tcBorders>
              <w:tl2br w:val="nil"/>
              <w:tr2bl w:val="nil"/>
            </w:tcBorders>
            <w:vAlign w:val="center"/>
          </w:tcPr>
          <w:p>
            <w:pPr>
              <w:spacing w:line="360" w:lineRule="auto"/>
              <w:ind w:left="0" w:leftChars="0" w:right="0" w:rightChars="0" w:firstLine="440" w:firstLineChars="200"/>
              <w:jc w:val="both"/>
              <w:rPr>
                <w:rFonts w:ascii="黑体" w:hAnsi="黑体" w:eastAsia="黑体" w:cs="黑体"/>
                <w:sz w:val="22"/>
                <w:szCs w:val="21"/>
                <w:lang w:val="zh-CN" w:eastAsia="zh-CN" w:bidi="zh-CN"/>
              </w:rPr>
            </w:pPr>
            <w:r>
              <w:rPr>
                <w:szCs w:val="21"/>
              </w:rPr>
              <w:t>—</w:t>
            </w:r>
          </w:p>
        </w:tc>
        <w:tc>
          <w:tcPr>
            <w:tcW w:w="1432" w:type="pct"/>
            <w:tcBorders>
              <w:tl2br w:val="nil"/>
              <w:tr2bl w:val="nil"/>
            </w:tcBorders>
            <w:vAlign w:val="center"/>
          </w:tcPr>
          <w:p>
            <w:pPr>
              <w:spacing w:line="360" w:lineRule="auto"/>
              <w:ind w:left="0" w:leftChars="0" w:right="0" w:rightChars="0" w:firstLine="880" w:firstLineChars="400"/>
              <w:jc w:val="both"/>
              <w:rPr>
                <w:rFonts w:hint="default" w:ascii="黑体" w:hAnsi="黑体" w:eastAsia="黑体" w:cs="黑体"/>
                <w:sz w:val="22"/>
                <w:szCs w:val="21"/>
                <w:lang w:val="en-US" w:eastAsia="zh-CN" w:bidi="zh-CN"/>
              </w:rPr>
            </w:pPr>
            <w:r>
              <w:rPr>
                <w:rFonts w:hint="eastAsia"/>
                <w:szCs w:val="21"/>
                <w:lang w:val="en-US" w:eastAsia="zh-CN"/>
              </w:rPr>
              <w:t>1637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4" w:hRule="exact"/>
          <w:jc w:val="center"/>
        </w:trPr>
        <w:tc>
          <w:tcPr>
            <w:tcW w:w="762" w:type="pct"/>
            <w:tcBorders>
              <w:tl2br w:val="nil"/>
              <w:tr2bl w:val="nil"/>
            </w:tcBorders>
            <w:vAlign w:val="center"/>
          </w:tcPr>
          <w:p>
            <w:pPr>
              <w:adjustRightInd w:val="0"/>
              <w:snapToGrid w:val="0"/>
              <w:spacing w:line="360" w:lineRule="auto"/>
              <w:ind w:firstLine="660" w:firstLineChars="300"/>
              <w:jc w:val="both"/>
              <w:rPr>
                <w:szCs w:val="21"/>
              </w:rPr>
            </w:pPr>
            <w:r>
              <w:rPr>
                <w:rFonts w:hint="eastAsia"/>
                <w:szCs w:val="21"/>
              </w:rPr>
              <w:t>5</w:t>
            </w:r>
          </w:p>
        </w:tc>
        <w:tc>
          <w:tcPr>
            <w:tcW w:w="1355" w:type="pct"/>
            <w:tcBorders>
              <w:tl2br w:val="nil"/>
              <w:tr2bl w:val="nil"/>
            </w:tcBorders>
            <w:vAlign w:val="center"/>
          </w:tcPr>
          <w:p>
            <w:pPr>
              <w:spacing w:line="360" w:lineRule="auto"/>
              <w:ind w:left="0" w:leftChars="0" w:right="0" w:rightChars="0" w:firstLine="420" w:firstLineChars="0"/>
              <w:jc w:val="center"/>
              <w:rPr>
                <w:rFonts w:ascii="黑体" w:hAnsi="黑体" w:eastAsia="黑体" w:cs="黑体"/>
                <w:sz w:val="22"/>
                <w:szCs w:val="21"/>
                <w:lang w:val="zh-CN" w:eastAsia="zh-CN" w:bidi="zh-CN"/>
              </w:rPr>
            </w:pPr>
            <w:r>
              <w:rPr>
                <w:szCs w:val="21"/>
              </w:rPr>
              <w:t>汽油</w:t>
            </w:r>
          </w:p>
        </w:tc>
        <w:tc>
          <w:tcPr>
            <w:tcW w:w="610" w:type="pct"/>
            <w:tcBorders>
              <w:tl2br w:val="nil"/>
              <w:tr2bl w:val="nil"/>
            </w:tcBorders>
            <w:vAlign w:val="center"/>
          </w:tcPr>
          <w:p>
            <w:pPr>
              <w:spacing w:line="360" w:lineRule="auto"/>
              <w:ind w:left="0" w:leftChars="0" w:right="0" w:rightChars="0" w:firstLine="420" w:firstLineChars="0"/>
              <w:jc w:val="both"/>
              <w:rPr>
                <w:rFonts w:ascii="黑体" w:hAnsi="黑体" w:eastAsia="黑体" w:cs="黑体"/>
                <w:sz w:val="22"/>
                <w:szCs w:val="21"/>
                <w:lang w:val="zh-CN" w:eastAsia="zh-CN" w:bidi="zh-CN"/>
              </w:rPr>
            </w:pPr>
            <w:r>
              <w:rPr>
                <w:szCs w:val="21"/>
              </w:rPr>
              <w:t>t</w:t>
            </w:r>
          </w:p>
        </w:tc>
        <w:tc>
          <w:tcPr>
            <w:tcW w:w="839" w:type="pct"/>
            <w:tcBorders>
              <w:tl2br w:val="nil"/>
              <w:tr2bl w:val="nil"/>
            </w:tcBorders>
            <w:vAlign w:val="center"/>
          </w:tcPr>
          <w:p>
            <w:pPr>
              <w:spacing w:line="360" w:lineRule="auto"/>
              <w:ind w:left="0" w:leftChars="0" w:right="0" w:rightChars="0" w:firstLine="440" w:firstLineChars="200"/>
              <w:jc w:val="both"/>
              <w:rPr>
                <w:rFonts w:ascii="黑体" w:hAnsi="黑体" w:eastAsia="黑体" w:cs="黑体"/>
                <w:sz w:val="22"/>
                <w:szCs w:val="21"/>
                <w:lang w:val="zh-CN" w:eastAsia="zh-CN" w:bidi="zh-CN"/>
              </w:rPr>
            </w:pPr>
            <w:r>
              <w:rPr>
                <w:szCs w:val="21"/>
              </w:rPr>
              <w:t>5000</w:t>
            </w:r>
          </w:p>
        </w:tc>
        <w:tc>
          <w:tcPr>
            <w:tcW w:w="1432" w:type="pct"/>
            <w:tcBorders>
              <w:tl2br w:val="nil"/>
              <w:tr2bl w:val="nil"/>
            </w:tcBorders>
            <w:vAlign w:val="center"/>
          </w:tcPr>
          <w:p>
            <w:pPr>
              <w:spacing w:line="360" w:lineRule="auto"/>
              <w:ind w:left="0" w:leftChars="0" w:right="0" w:rightChars="0" w:firstLine="880" w:firstLineChars="400"/>
              <w:jc w:val="both"/>
              <w:rPr>
                <w:rFonts w:hint="default" w:ascii="黑体" w:hAnsi="黑体" w:eastAsia="黑体" w:cs="黑体"/>
                <w:sz w:val="22"/>
                <w:szCs w:val="21"/>
                <w:lang w:val="en-US" w:eastAsia="zh-CN" w:bidi="zh-CN"/>
              </w:rPr>
            </w:pPr>
            <w:r>
              <w:rPr>
                <w:rFonts w:hint="eastAsia"/>
                <w:szCs w:val="21"/>
                <w:lang w:val="en-US" w:eastAsia="zh-CN"/>
              </w:rPr>
              <w:t>9620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4" w:hRule="exact"/>
          <w:jc w:val="center"/>
        </w:trPr>
        <w:tc>
          <w:tcPr>
            <w:tcW w:w="762" w:type="pct"/>
            <w:tcBorders>
              <w:tl2br w:val="nil"/>
              <w:tr2bl w:val="nil"/>
            </w:tcBorders>
            <w:vAlign w:val="center"/>
          </w:tcPr>
          <w:p>
            <w:pPr>
              <w:adjustRightInd w:val="0"/>
              <w:snapToGrid w:val="0"/>
              <w:spacing w:line="360" w:lineRule="auto"/>
              <w:ind w:firstLine="660" w:firstLineChars="300"/>
              <w:jc w:val="both"/>
              <w:rPr>
                <w:szCs w:val="21"/>
              </w:rPr>
            </w:pPr>
            <w:r>
              <w:rPr>
                <w:rFonts w:hint="eastAsia"/>
                <w:szCs w:val="21"/>
              </w:rPr>
              <w:t>6</w:t>
            </w:r>
          </w:p>
        </w:tc>
        <w:tc>
          <w:tcPr>
            <w:tcW w:w="1355" w:type="pct"/>
            <w:tcBorders>
              <w:tl2br w:val="nil"/>
              <w:tr2bl w:val="nil"/>
            </w:tcBorders>
            <w:vAlign w:val="center"/>
          </w:tcPr>
          <w:p>
            <w:pPr>
              <w:spacing w:line="360" w:lineRule="auto"/>
              <w:ind w:left="0" w:leftChars="0" w:right="0" w:rightChars="0" w:firstLine="420" w:firstLineChars="0"/>
              <w:jc w:val="center"/>
              <w:rPr>
                <w:rFonts w:ascii="黑体" w:hAnsi="黑体" w:eastAsia="黑体" w:cs="黑体"/>
                <w:sz w:val="22"/>
                <w:szCs w:val="21"/>
                <w:lang w:val="zh-CN" w:eastAsia="zh-CN" w:bidi="zh-CN"/>
              </w:rPr>
            </w:pPr>
            <w:r>
              <w:rPr>
                <w:szCs w:val="21"/>
              </w:rPr>
              <w:t>柴油</w:t>
            </w:r>
          </w:p>
        </w:tc>
        <w:tc>
          <w:tcPr>
            <w:tcW w:w="610" w:type="pct"/>
            <w:tcBorders>
              <w:tl2br w:val="nil"/>
              <w:tr2bl w:val="nil"/>
            </w:tcBorders>
            <w:vAlign w:val="center"/>
          </w:tcPr>
          <w:p>
            <w:pPr>
              <w:spacing w:line="360" w:lineRule="auto"/>
              <w:ind w:left="0" w:leftChars="0" w:right="0" w:rightChars="0" w:firstLine="420" w:firstLineChars="0"/>
              <w:jc w:val="both"/>
              <w:rPr>
                <w:rFonts w:ascii="黑体" w:hAnsi="黑体" w:eastAsia="黑体" w:cs="黑体"/>
                <w:sz w:val="22"/>
                <w:szCs w:val="21"/>
                <w:lang w:val="zh-CN" w:eastAsia="zh-CN" w:bidi="zh-CN"/>
              </w:rPr>
            </w:pPr>
            <w:r>
              <w:rPr>
                <w:szCs w:val="21"/>
              </w:rPr>
              <w:t>t</w:t>
            </w:r>
          </w:p>
        </w:tc>
        <w:tc>
          <w:tcPr>
            <w:tcW w:w="839" w:type="pct"/>
            <w:tcBorders>
              <w:tl2br w:val="nil"/>
              <w:tr2bl w:val="nil"/>
            </w:tcBorders>
            <w:vAlign w:val="center"/>
          </w:tcPr>
          <w:p>
            <w:pPr>
              <w:spacing w:line="360" w:lineRule="auto"/>
              <w:ind w:left="0" w:leftChars="0" w:right="0" w:rightChars="0" w:firstLine="440" w:firstLineChars="200"/>
              <w:jc w:val="both"/>
              <w:rPr>
                <w:rFonts w:ascii="黑体" w:hAnsi="黑体" w:eastAsia="黑体" w:cs="黑体"/>
                <w:sz w:val="22"/>
                <w:szCs w:val="21"/>
                <w:lang w:val="zh-CN" w:eastAsia="zh-CN" w:bidi="zh-CN"/>
              </w:rPr>
            </w:pPr>
            <w:r>
              <w:rPr>
                <w:szCs w:val="21"/>
              </w:rPr>
              <w:t>5000</w:t>
            </w:r>
          </w:p>
        </w:tc>
        <w:tc>
          <w:tcPr>
            <w:tcW w:w="1432" w:type="pct"/>
            <w:tcBorders>
              <w:tl2br w:val="nil"/>
              <w:tr2bl w:val="nil"/>
            </w:tcBorders>
            <w:vAlign w:val="center"/>
          </w:tcPr>
          <w:p>
            <w:pPr>
              <w:spacing w:line="360" w:lineRule="auto"/>
              <w:ind w:left="0" w:leftChars="0" w:right="0" w:rightChars="0" w:firstLine="880" w:firstLineChars="400"/>
              <w:jc w:val="both"/>
              <w:rPr>
                <w:rFonts w:hint="default" w:ascii="黑体" w:hAnsi="黑体" w:eastAsia="黑体" w:cs="黑体"/>
                <w:sz w:val="22"/>
                <w:szCs w:val="21"/>
                <w:lang w:val="en-US" w:eastAsia="zh-CN" w:bidi="zh-CN"/>
              </w:rPr>
            </w:pPr>
            <w:r>
              <w:rPr>
                <w:rFonts w:hint="eastAsia"/>
                <w:szCs w:val="21"/>
                <w:lang w:val="en-US" w:eastAsia="zh-CN"/>
              </w:rPr>
              <w:t>8290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4" w:hRule="exact"/>
          <w:jc w:val="center"/>
        </w:trPr>
        <w:tc>
          <w:tcPr>
            <w:tcW w:w="762" w:type="pct"/>
            <w:tcBorders>
              <w:tl2br w:val="nil"/>
              <w:tr2bl w:val="nil"/>
            </w:tcBorders>
            <w:vAlign w:val="center"/>
          </w:tcPr>
          <w:p>
            <w:pPr>
              <w:adjustRightInd w:val="0"/>
              <w:snapToGrid w:val="0"/>
              <w:spacing w:line="360" w:lineRule="auto"/>
              <w:ind w:firstLine="660" w:firstLineChars="300"/>
              <w:jc w:val="both"/>
              <w:rPr>
                <w:szCs w:val="21"/>
              </w:rPr>
            </w:pPr>
            <w:r>
              <w:rPr>
                <w:rFonts w:hint="eastAsia"/>
                <w:szCs w:val="21"/>
              </w:rPr>
              <w:t>7</w:t>
            </w:r>
          </w:p>
        </w:tc>
        <w:tc>
          <w:tcPr>
            <w:tcW w:w="1355" w:type="pct"/>
            <w:tcBorders>
              <w:tl2br w:val="nil"/>
              <w:tr2bl w:val="nil"/>
            </w:tcBorders>
            <w:vAlign w:val="center"/>
          </w:tcPr>
          <w:p>
            <w:pPr>
              <w:spacing w:line="360" w:lineRule="auto"/>
              <w:ind w:left="0" w:leftChars="0" w:right="0" w:rightChars="0" w:firstLine="420" w:firstLineChars="0"/>
              <w:jc w:val="center"/>
              <w:rPr>
                <w:rFonts w:ascii="黑体" w:hAnsi="黑体" w:eastAsia="黑体" w:cs="黑体"/>
                <w:sz w:val="22"/>
                <w:szCs w:val="21"/>
                <w:lang w:val="zh-CN" w:eastAsia="zh-CN" w:bidi="zh-CN"/>
              </w:rPr>
            </w:pPr>
            <w:r>
              <w:rPr>
                <w:szCs w:val="21"/>
              </w:rPr>
              <w:t>水泥</w:t>
            </w:r>
            <w:r>
              <w:rPr>
                <w:rFonts w:hint="eastAsia"/>
                <w:szCs w:val="21"/>
              </w:rPr>
              <w:t>32.5</w:t>
            </w:r>
          </w:p>
        </w:tc>
        <w:tc>
          <w:tcPr>
            <w:tcW w:w="610" w:type="pct"/>
            <w:tcBorders>
              <w:tl2br w:val="nil"/>
              <w:tr2bl w:val="nil"/>
            </w:tcBorders>
            <w:vAlign w:val="center"/>
          </w:tcPr>
          <w:p>
            <w:pPr>
              <w:spacing w:line="360" w:lineRule="auto"/>
              <w:ind w:left="0" w:leftChars="0" w:right="0" w:rightChars="0" w:firstLine="420" w:firstLineChars="0"/>
              <w:jc w:val="both"/>
              <w:rPr>
                <w:rFonts w:ascii="黑体" w:hAnsi="黑体" w:eastAsia="黑体" w:cs="黑体"/>
                <w:sz w:val="22"/>
                <w:szCs w:val="21"/>
                <w:lang w:val="zh-CN" w:eastAsia="zh-CN" w:bidi="zh-CN"/>
              </w:rPr>
            </w:pPr>
            <w:r>
              <w:rPr>
                <w:szCs w:val="21"/>
              </w:rPr>
              <w:t>t</w:t>
            </w:r>
          </w:p>
        </w:tc>
        <w:tc>
          <w:tcPr>
            <w:tcW w:w="839" w:type="pct"/>
            <w:tcBorders>
              <w:tl2br w:val="nil"/>
              <w:tr2bl w:val="nil"/>
            </w:tcBorders>
            <w:vAlign w:val="center"/>
          </w:tcPr>
          <w:p>
            <w:pPr>
              <w:spacing w:line="360" w:lineRule="auto"/>
              <w:ind w:left="0" w:leftChars="0" w:right="0" w:rightChars="0" w:firstLine="440" w:firstLineChars="200"/>
              <w:jc w:val="both"/>
              <w:rPr>
                <w:rFonts w:ascii="黑体" w:hAnsi="黑体" w:eastAsia="黑体" w:cs="黑体"/>
                <w:sz w:val="22"/>
                <w:szCs w:val="21"/>
                <w:lang w:val="zh-CN" w:eastAsia="zh-CN" w:bidi="zh-CN"/>
              </w:rPr>
            </w:pPr>
            <w:r>
              <w:rPr>
                <w:szCs w:val="21"/>
              </w:rPr>
              <w:t>300</w:t>
            </w:r>
          </w:p>
        </w:tc>
        <w:tc>
          <w:tcPr>
            <w:tcW w:w="1432" w:type="pct"/>
            <w:tcBorders>
              <w:tl2br w:val="nil"/>
              <w:tr2bl w:val="nil"/>
            </w:tcBorders>
            <w:vAlign w:val="center"/>
          </w:tcPr>
          <w:p>
            <w:pPr>
              <w:spacing w:line="360" w:lineRule="auto"/>
              <w:ind w:left="0" w:leftChars="0" w:right="0" w:rightChars="0" w:firstLine="880" w:firstLineChars="400"/>
              <w:jc w:val="both"/>
              <w:rPr>
                <w:rFonts w:hint="default" w:ascii="黑体" w:hAnsi="黑体" w:eastAsia="黑体" w:cs="黑体"/>
                <w:sz w:val="22"/>
                <w:szCs w:val="21"/>
                <w:lang w:val="en-US" w:eastAsia="zh-CN" w:bidi="zh-CN"/>
              </w:rPr>
            </w:pPr>
            <w:r>
              <w:rPr>
                <w:rFonts w:hint="eastAsia"/>
                <w:szCs w:val="21"/>
                <w:lang w:val="en-US" w:eastAsia="zh-CN"/>
              </w:rPr>
              <w:t>319</w:t>
            </w:r>
          </w:p>
        </w:tc>
      </w:tr>
    </w:tbl>
    <w:p>
      <w:pPr>
        <w:spacing w:line="360" w:lineRule="auto"/>
        <w:ind w:firstLine="700" w:firstLineChars="250"/>
        <w:rPr>
          <w:rFonts w:ascii="宋体" w:hAnsi="宋体"/>
          <w:sz w:val="28"/>
          <w:szCs w:val="28"/>
          <w:highlight w:val="none"/>
        </w:rPr>
      </w:pPr>
      <w:r>
        <w:rPr>
          <w:rFonts w:hint="eastAsia" w:ascii="宋体" w:hAnsi="宋体"/>
          <w:sz w:val="28"/>
          <w:szCs w:val="28"/>
          <w:highlight w:val="none"/>
        </w:rPr>
        <w:t>其它材料：参照近期其它工程结合市场行情分析确定。</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主要材料价格有基价的以基价计入，预算价超过基价部分材料费进行调差。</w:t>
      </w:r>
    </w:p>
    <w:p>
      <w:pPr>
        <w:spacing w:line="360" w:lineRule="auto"/>
        <w:ind w:firstLine="560" w:firstLineChars="200"/>
        <w:rPr>
          <w:rFonts w:ascii="宋体" w:hAnsi="宋体"/>
          <w:sz w:val="24"/>
          <w:highlight w:val="none"/>
        </w:rPr>
      </w:pPr>
      <w:r>
        <w:rPr>
          <w:rFonts w:hint="eastAsia" w:ascii="宋体" w:hAnsi="宋体"/>
          <w:sz w:val="28"/>
          <w:szCs w:val="28"/>
          <w:highlight w:val="none"/>
        </w:rPr>
        <w:t>价差：根据</w:t>
      </w:r>
      <w:r>
        <w:rPr>
          <w:rFonts w:ascii="宋体" w:hAnsi="宋体"/>
          <w:sz w:val="28"/>
          <w:szCs w:val="28"/>
          <w:highlight w:val="none"/>
        </w:rPr>
        <w:t>《重庆市水利工程设计概（估）算编制规定》</w:t>
      </w:r>
      <w:r>
        <w:rPr>
          <w:rFonts w:hint="eastAsia" w:ascii="宋体" w:hAnsi="宋体"/>
          <w:sz w:val="28"/>
          <w:szCs w:val="28"/>
          <w:highlight w:val="none"/>
        </w:rPr>
        <w:t>，在编制概算文件时，材料按基价进入定额，参与各项费率的计算，其预算价（或市场价）与基价的差值按价差处理。即材料价差=主材耗量×（预算价或市场价-基价）。</w:t>
      </w:r>
    </w:p>
    <w:p>
      <w:pPr>
        <w:spacing w:line="360" w:lineRule="auto"/>
        <w:ind w:firstLine="562" w:firstLineChars="200"/>
        <w:rPr>
          <w:rFonts w:ascii="宋体" w:hAnsi="宋体"/>
          <w:b/>
          <w:snapToGrid w:val="0"/>
          <w:sz w:val="28"/>
          <w:szCs w:val="28"/>
          <w:highlight w:val="none"/>
        </w:rPr>
      </w:pPr>
      <w:r>
        <w:rPr>
          <w:rFonts w:hint="eastAsia" w:ascii="宋体" w:hAnsi="宋体"/>
          <w:b/>
          <w:snapToGrid w:val="0"/>
          <w:sz w:val="28"/>
          <w:szCs w:val="28"/>
          <w:highlight w:val="none"/>
        </w:rPr>
        <w:t>3）施工机械台时费</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根据渝水建[2021]8号发布的《重庆市水利工程施工机械台时费定额》计算。</w:t>
      </w:r>
    </w:p>
    <w:p>
      <w:pPr>
        <w:spacing w:line="360" w:lineRule="auto"/>
        <w:ind w:firstLine="562" w:firstLineChars="200"/>
        <w:rPr>
          <w:rFonts w:ascii="宋体" w:hAnsi="宋体"/>
          <w:b/>
          <w:snapToGrid w:val="0"/>
          <w:sz w:val="28"/>
          <w:szCs w:val="28"/>
          <w:highlight w:val="none"/>
        </w:rPr>
      </w:pPr>
      <w:r>
        <w:rPr>
          <w:rFonts w:hint="eastAsia" w:ascii="宋体" w:hAnsi="宋体"/>
          <w:b/>
          <w:snapToGrid w:val="0"/>
          <w:sz w:val="28"/>
          <w:szCs w:val="28"/>
          <w:highlight w:val="none"/>
        </w:rPr>
        <w:t>4）施工用风、水、电价格</w:t>
      </w:r>
    </w:p>
    <w:p>
      <w:pPr>
        <w:spacing w:line="480" w:lineRule="exact"/>
        <w:ind w:firstLine="560" w:firstLineChars="200"/>
        <w:rPr>
          <w:rFonts w:ascii="宋体" w:hAnsi="宋体"/>
          <w:sz w:val="28"/>
          <w:szCs w:val="28"/>
          <w:highlight w:val="none"/>
        </w:rPr>
      </w:pPr>
      <w:r>
        <w:rPr>
          <w:rFonts w:hint="eastAsia" w:ascii="宋体" w:hAnsi="宋体"/>
          <w:sz w:val="28"/>
          <w:szCs w:val="28"/>
          <w:highlight w:val="none"/>
        </w:rPr>
        <w:t>（1）施工用电：本工程施工用电为</w:t>
      </w:r>
      <w:r>
        <w:rPr>
          <w:rFonts w:hint="eastAsia" w:ascii="宋体" w:hAnsi="宋体"/>
          <w:sz w:val="28"/>
          <w:szCs w:val="28"/>
          <w:highlight w:val="none"/>
          <w:lang w:val="en-US" w:eastAsia="zh-CN"/>
        </w:rPr>
        <w:t>电网</w:t>
      </w:r>
      <w:r>
        <w:rPr>
          <w:rFonts w:hint="eastAsia" w:ascii="宋体" w:hAnsi="宋体"/>
          <w:sz w:val="28"/>
          <w:szCs w:val="28"/>
          <w:highlight w:val="none"/>
          <w:lang w:val="en-US"/>
        </w:rPr>
        <w:t>供电</w:t>
      </w:r>
      <w:r>
        <w:rPr>
          <w:rFonts w:hint="eastAsia" w:ascii="宋体" w:hAnsi="宋体"/>
          <w:sz w:val="28"/>
          <w:szCs w:val="28"/>
          <w:highlight w:val="none"/>
        </w:rPr>
        <w:t>，施工用电单价为</w:t>
      </w:r>
      <w:r>
        <w:rPr>
          <w:rFonts w:hint="eastAsia" w:ascii="宋体" w:hAnsi="宋体"/>
          <w:sz w:val="28"/>
          <w:szCs w:val="28"/>
          <w:highlight w:val="none"/>
          <w:lang w:val="en-US" w:eastAsia="zh-CN"/>
        </w:rPr>
        <w:t>0.95</w:t>
      </w:r>
      <w:r>
        <w:rPr>
          <w:rFonts w:hint="eastAsia" w:ascii="宋体" w:hAnsi="宋体"/>
          <w:sz w:val="28"/>
          <w:szCs w:val="28"/>
          <w:highlight w:val="none"/>
        </w:rPr>
        <w:t>元/</w:t>
      </w:r>
      <w:r>
        <w:rPr>
          <w:rFonts w:ascii="宋体" w:hAnsi="宋体"/>
          <w:sz w:val="28"/>
          <w:szCs w:val="28"/>
          <w:highlight w:val="none"/>
        </w:rPr>
        <w:t>kwh</w:t>
      </w:r>
      <w:r>
        <w:rPr>
          <w:rFonts w:hint="eastAsia" w:ascii="宋体" w:hAnsi="宋体"/>
          <w:sz w:val="28"/>
          <w:szCs w:val="28"/>
          <w:highlight w:val="none"/>
        </w:rPr>
        <w:t>。</w:t>
      </w:r>
    </w:p>
    <w:p>
      <w:pPr>
        <w:spacing w:line="480" w:lineRule="exact"/>
        <w:ind w:firstLine="560" w:firstLineChars="200"/>
        <w:rPr>
          <w:rFonts w:ascii="宋体" w:hAnsi="宋体"/>
          <w:sz w:val="28"/>
          <w:szCs w:val="28"/>
          <w:highlight w:val="none"/>
        </w:rPr>
      </w:pPr>
      <w:r>
        <w:rPr>
          <w:rFonts w:hint="eastAsia" w:ascii="宋体" w:hAnsi="宋体"/>
          <w:sz w:val="28"/>
          <w:szCs w:val="28"/>
          <w:highlight w:val="none"/>
        </w:rPr>
        <w:t>（2）施工用风：根据施工组织设计提供资料，本工程施工用风拟采用移动式空压机供风，施工用风单价为</w:t>
      </w:r>
      <w:r>
        <w:rPr>
          <w:rFonts w:ascii="宋体" w:hAnsi="宋体"/>
          <w:sz w:val="28"/>
          <w:szCs w:val="28"/>
          <w:highlight w:val="none"/>
        </w:rPr>
        <w:t>0.</w:t>
      </w:r>
      <w:r>
        <w:rPr>
          <w:rFonts w:hint="eastAsia" w:ascii="宋体" w:hAnsi="宋体"/>
          <w:sz w:val="28"/>
          <w:szCs w:val="28"/>
          <w:highlight w:val="none"/>
          <w:lang w:val="en-US"/>
        </w:rPr>
        <w:t>4</w:t>
      </w:r>
      <w:r>
        <w:rPr>
          <w:rFonts w:hint="eastAsia" w:ascii="宋体" w:hAnsi="宋体"/>
          <w:sz w:val="28"/>
          <w:szCs w:val="28"/>
          <w:highlight w:val="none"/>
          <w:lang w:val="en-US" w:eastAsia="zh-CN"/>
        </w:rPr>
        <w:t>9</w:t>
      </w:r>
      <w:r>
        <w:rPr>
          <w:rFonts w:hint="eastAsia" w:ascii="宋体" w:hAnsi="宋体"/>
          <w:sz w:val="28"/>
          <w:szCs w:val="28"/>
          <w:highlight w:val="none"/>
        </w:rPr>
        <w:t>元/</w:t>
      </w:r>
      <w:r>
        <w:rPr>
          <w:rFonts w:ascii="宋体" w:hAnsi="宋体"/>
          <w:sz w:val="28"/>
          <w:szCs w:val="28"/>
          <w:highlight w:val="none"/>
        </w:rPr>
        <w:t>m³</w:t>
      </w:r>
      <w:r>
        <w:rPr>
          <w:rFonts w:hint="eastAsia" w:ascii="宋体" w:hAnsi="宋体"/>
          <w:sz w:val="28"/>
          <w:szCs w:val="28"/>
          <w:highlight w:val="none"/>
        </w:rPr>
        <w:t>。</w:t>
      </w:r>
    </w:p>
    <w:p>
      <w:pPr>
        <w:spacing w:line="480" w:lineRule="exact"/>
        <w:ind w:firstLine="560" w:firstLineChars="200"/>
        <w:rPr>
          <w:rFonts w:ascii="宋体" w:hAnsi="宋体"/>
          <w:sz w:val="28"/>
          <w:szCs w:val="28"/>
          <w:highlight w:val="none"/>
        </w:rPr>
      </w:pPr>
      <w:r>
        <w:rPr>
          <w:rFonts w:hint="eastAsia" w:ascii="宋体" w:hAnsi="宋体"/>
          <w:sz w:val="28"/>
          <w:szCs w:val="28"/>
          <w:highlight w:val="none"/>
        </w:rPr>
        <w:t>（3）施工用水：本工程施工用水拟采用</w:t>
      </w:r>
      <w:r>
        <w:rPr>
          <w:rFonts w:hint="eastAsia" w:ascii="宋体" w:hAnsi="宋体"/>
          <w:sz w:val="28"/>
          <w:szCs w:val="28"/>
          <w:highlight w:val="none"/>
          <w:lang w:val="en-US"/>
        </w:rPr>
        <w:t>离心水泵 单级单吸 5-10kW于水库中抽水</w:t>
      </w:r>
      <w:r>
        <w:rPr>
          <w:rFonts w:hint="eastAsia" w:ascii="宋体" w:hAnsi="宋体"/>
          <w:sz w:val="28"/>
          <w:szCs w:val="28"/>
          <w:highlight w:val="none"/>
        </w:rPr>
        <w:t>，施工用水单价为</w:t>
      </w:r>
      <w:r>
        <w:rPr>
          <w:rFonts w:hint="eastAsia" w:ascii="宋体" w:hAnsi="宋体"/>
          <w:sz w:val="28"/>
          <w:szCs w:val="28"/>
          <w:highlight w:val="none"/>
          <w:lang w:val="en-US" w:eastAsia="zh-CN"/>
        </w:rPr>
        <w:t>1.66</w:t>
      </w:r>
      <w:r>
        <w:rPr>
          <w:rFonts w:hint="eastAsia" w:ascii="宋体" w:hAnsi="宋体"/>
          <w:sz w:val="28"/>
          <w:szCs w:val="28"/>
          <w:highlight w:val="none"/>
        </w:rPr>
        <w:t>元/</w:t>
      </w:r>
      <w:r>
        <w:rPr>
          <w:rFonts w:ascii="宋体" w:hAnsi="宋体"/>
          <w:sz w:val="28"/>
          <w:szCs w:val="28"/>
          <w:highlight w:val="none"/>
        </w:rPr>
        <w:t>m³</w:t>
      </w:r>
      <w:r>
        <w:rPr>
          <w:rFonts w:hint="eastAsia" w:ascii="宋体" w:hAnsi="宋体"/>
          <w:sz w:val="28"/>
          <w:szCs w:val="28"/>
          <w:highlight w:val="none"/>
        </w:rPr>
        <w:t>。</w:t>
      </w:r>
    </w:p>
    <w:p>
      <w:pPr>
        <w:spacing w:line="360" w:lineRule="auto"/>
        <w:ind w:firstLine="562" w:firstLineChars="200"/>
        <w:rPr>
          <w:rFonts w:ascii="宋体" w:hAnsi="宋体"/>
          <w:b/>
          <w:snapToGrid w:val="0"/>
          <w:sz w:val="28"/>
          <w:szCs w:val="28"/>
          <w:highlight w:val="none"/>
        </w:rPr>
      </w:pPr>
      <w:r>
        <w:rPr>
          <w:rFonts w:hint="eastAsia" w:ascii="宋体" w:hAnsi="宋体"/>
          <w:b/>
          <w:snapToGrid w:val="0"/>
          <w:sz w:val="28"/>
          <w:szCs w:val="28"/>
          <w:highlight w:val="none"/>
        </w:rPr>
        <w:t>5）混凝土及砂浆材料价格</w:t>
      </w:r>
    </w:p>
    <w:p>
      <w:pPr>
        <w:pStyle w:val="4"/>
        <w:spacing w:before="1" w:line="417" w:lineRule="auto"/>
        <w:ind w:left="100" w:right="252" w:firstLine="559"/>
        <w:jc w:val="both"/>
        <w:rPr>
          <w:rFonts w:ascii="宋体" w:hAnsi="宋体"/>
          <w:highlight w:val="none"/>
          <w:lang w:val="en-US"/>
        </w:rPr>
      </w:pPr>
      <w:r>
        <w:rPr>
          <w:rFonts w:hint="eastAsia" w:ascii="宋体" w:hAnsi="宋体"/>
          <w:highlight w:val="none"/>
        </w:rPr>
        <w:t>根据渝水建[2021]8号发布的《重庆市水利建筑工程概算定额》附录7混凝土、砂浆配合比及材料用量表计算</w:t>
      </w:r>
      <w:r>
        <w:rPr>
          <w:rFonts w:hint="eastAsia" w:ascii="宋体" w:hAnsi="宋体"/>
          <w:highlight w:val="none"/>
          <w:lang w:val="en-US"/>
        </w:rPr>
        <w:t>。</w:t>
      </w:r>
    </w:p>
    <w:p>
      <w:pPr>
        <w:spacing w:line="360" w:lineRule="auto"/>
        <w:ind w:firstLine="562" w:firstLineChars="200"/>
        <w:rPr>
          <w:rFonts w:hint="eastAsia" w:ascii="宋体" w:hAnsi="宋体"/>
          <w:b/>
          <w:snapToGrid w:val="0"/>
          <w:sz w:val="28"/>
          <w:szCs w:val="28"/>
          <w:highlight w:val="none"/>
        </w:rPr>
      </w:pPr>
      <w:r>
        <w:rPr>
          <w:rFonts w:hint="eastAsia" w:ascii="宋体" w:hAnsi="宋体"/>
          <w:b/>
          <w:snapToGrid w:val="0"/>
          <w:sz w:val="28"/>
          <w:szCs w:val="28"/>
          <w:highlight w:val="none"/>
          <w:lang w:val="en-US" w:eastAsia="zh-CN"/>
        </w:rPr>
        <w:t>6</w:t>
      </w:r>
      <w:r>
        <w:rPr>
          <w:rFonts w:hint="eastAsia" w:ascii="宋体" w:hAnsi="宋体"/>
          <w:b/>
          <w:snapToGrid w:val="0"/>
          <w:sz w:val="28"/>
          <w:szCs w:val="28"/>
          <w:highlight w:val="none"/>
        </w:rPr>
        <w:t>）费用计算标准及依据</w:t>
      </w:r>
    </w:p>
    <w:p>
      <w:pPr>
        <w:spacing w:line="360" w:lineRule="auto"/>
        <w:ind w:firstLine="560" w:firstLineChars="200"/>
        <w:rPr>
          <w:rFonts w:ascii="宋体" w:hAnsi="宋体"/>
          <w:sz w:val="24"/>
          <w:highlight w:val="none"/>
        </w:rPr>
      </w:pPr>
      <w:r>
        <w:rPr>
          <w:rFonts w:hint="eastAsia"/>
          <w:sz w:val="28"/>
          <w:szCs w:val="28"/>
          <w:highlight w:val="none"/>
        </w:rPr>
        <w:t>工程的项目划分和编制方法依据重庆市水利局、重庆市发展和改革委员会，关于发布《重庆市水利工程设计概（估）算编制规定》（2021年版）的通知渝水建[2021]8号。工程建筑、安装工程取费费率见表</w:t>
      </w:r>
      <w:r>
        <w:rPr>
          <w:rFonts w:hint="eastAsia"/>
          <w:sz w:val="28"/>
          <w:szCs w:val="28"/>
          <w:highlight w:val="none"/>
          <w:lang w:val="en-US" w:eastAsia="zh-CN"/>
        </w:rPr>
        <w:t>8-2</w:t>
      </w:r>
      <w:r>
        <w:rPr>
          <w:rFonts w:hint="eastAsia" w:ascii="宋体" w:hAnsi="宋体"/>
          <w:sz w:val="28"/>
          <w:szCs w:val="28"/>
          <w:highlight w:val="none"/>
        </w:rPr>
        <w:t>。</w:t>
      </w:r>
    </w:p>
    <w:p>
      <w:pPr>
        <w:pStyle w:val="16"/>
        <w:jc w:val="center"/>
        <w:rPr>
          <w:b/>
          <w:bCs/>
          <w:sz w:val="24"/>
          <w:szCs w:val="24"/>
          <w:highlight w:val="none"/>
        </w:rPr>
      </w:pPr>
      <w:r>
        <w:rPr>
          <w:rFonts w:hint="eastAsia"/>
          <w:b/>
          <w:bCs/>
          <w:sz w:val="24"/>
          <w:szCs w:val="24"/>
          <w:highlight w:val="none"/>
          <w:lang w:val="en-US"/>
        </w:rPr>
        <w:t>表8-2</w:t>
      </w:r>
      <w:r>
        <w:rPr>
          <w:rFonts w:hint="eastAsia"/>
          <w:b/>
          <w:bCs/>
          <w:sz w:val="24"/>
          <w:szCs w:val="24"/>
          <w:highlight w:val="none"/>
          <w:lang w:val="en-US" w:eastAsia="zh-CN"/>
        </w:rPr>
        <w:t xml:space="preserve">    </w:t>
      </w:r>
      <w:r>
        <w:rPr>
          <w:rFonts w:hint="eastAsia"/>
          <w:b/>
          <w:bCs/>
          <w:sz w:val="24"/>
          <w:szCs w:val="24"/>
          <w:highlight w:val="none"/>
        </w:rPr>
        <w:t>工程取费费率表</w:t>
      </w:r>
    </w:p>
    <w:p>
      <w:pPr>
        <w:pStyle w:val="16"/>
        <w:ind w:left="251" w:leftChars="114"/>
        <w:jc w:val="both"/>
        <w:rPr>
          <w:rFonts w:hint="eastAsia"/>
          <w:b/>
          <w:bCs/>
          <w:sz w:val="24"/>
          <w:szCs w:val="24"/>
          <w:highlight w:val="none"/>
        </w:rPr>
      </w:pPr>
      <w:r>
        <w:rPr>
          <w:rFonts w:hint="eastAsia"/>
          <w:b/>
          <w:bCs/>
          <w:sz w:val="24"/>
          <w:szCs w:val="24"/>
          <w:highlight w:val="none"/>
          <w:lang w:val="en-US"/>
        </w:rPr>
        <w:t xml:space="preserve">                                                     </w:t>
      </w:r>
      <w:r>
        <w:rPr>
          <w:rFonts w:hint="eastAsia"/>
          <w:b/>
          <w:bCs/>
          <w:sz w:val="24"/>
          <w:szCs w:val="24"/>
          <w:highlight w:val="none"/>
          <w:lang w:val="en-US" w:eastAsia="zh-CN"/>
        </w:rPr>
        <w:t xml:space="preserve">              </w:t>
      </w:r>
      <w:r>
        <w:rPr>
          <w:rFonts w:hint="eastAsia"/>
          <w:b/>
          <w:bCs/>
          <w:sz w:val="24"/>
          <w:szCs w:val="24"/>
          <w:highlight w:val="none"/>
        </w:rPr>
        <w:t>单位%</w:t>
      </w:r>
    </w:p>
    <w:tbl>
      <w:tblPr>
        <w:tblStyle w:val="9"/>
        <w:tblW w:w="5012" w:type="pct"/>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01"/>
        <w:gridCol w:w="1537"/>
        <w:gridCol w:w="1307"/>
        <w:gridCol w:w="748"/>
        <w:gridCol w:w="763"/>
        <w:gridCol w:w="937"/>
        <w:gridCol w:w="937"/>
        <w:gridCol w:w="941"/>
        <w:gridCol w:w="941"/>
        <w:gridCol w:w="941"/>
        <w:gridCol w:w="9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23" w:hRule="atLeast"/>
        </w:trPr>
        <w:tc>
          <w:tcPr>
            <w:tcW w:w="284" w:type="pct"/>
            <w:vAlign w:val="center"/>
          </w:tcPr>
          <w:p>
            <w:pPr>
              <w:widowControl/>
              <w:spacing w:line="360" w:lineRule="auto"/>
              <w:jc w:val="center"/>
              <w:rPr>
                <w:szCs w:val="21"/>
              </w:rPr>
            </w:pPr>
            <w:r>
              <w:rPr>
                <w:szCs w:val="21"/>
              </w:rPr>
              <w:t>编号</w:t>
            </w:r>
          </w:p>
        </w:tc>
        <w:tc>
          <w:tcPr>
            <w:tcW w:w="726" w:type="pct"/>
            <w:vAlign w:val="center"/>
          </w:tcPr>
          <w:p>
            <w:pPr>
              <w:adjustRightInd w:val="0"/>
              <w:snapToGrid w:val="0"/>
              <w:spacing w:line="360" w:lineRule="auto"/>
              <w:jc w:val="center"/>
              <w:rPr>
                <w:szCs w:val="21"/>
              </w:rPr>
            </w:pPr>
            <w:r>
              <w:rPr>
                <w:szCs w:val="21"/>
              </w:rPr>
              <w:t>项目</w:t>
            </w:r>
          </w:p>
        </w:tc>
        <w:tc>
          <w:tcPr>
            <w:tcW w:w="617" w:type="pct"/>
            <w:vAlign w:val="center"/>
          </w:tcPr>
          <w:p>
            <w:pPr>
              <w:adjustRightInd w:val="0"/>
              <w:snapToGrid w:val="0"/>
              <w:spacing w:line="360" w:lineRule="auto"/>
              <w:rPr>
                <w:szCs w:val="21"/>
              </w:rPr>
            </w:pPr>
            <w:r>
              <w:rPr>
                <w:szCs w:val="21"/>
              </w:rPr>
              <w:t>计 算</w:t>
            </w:r>
          </w:p>
          <w:p>
            <w:pPr>
              <w:adjustRightInd w:val="0"/>
              <w:snapToGrid w:val="0"/>
              <w:spacing w:line="360" w:lineRule="auto"/>
              <w:rPr>
                <w:szCs w:val="21"/>
              </w:rPr>
            </w:pPr>
            <w:r>
              <w:rPr>
                <w:szCs w:val="21"/>
              </w:rPr>
              <w:t>基 础</w:t>
            </w:r>
          </w:p>
        </w:tc>
        <w:tc>
          <w:tcPr>
            <w:tcW w:w="353" w:type="pct"/>
            <w:vAlign w:val="center"/>
          </w:tcPr>
          <w:p>
            <w:pPr>
              <w:adjustRightInd w:val="0"/>
              <w:snapToGrid w:val="0"/>
              <w:spacing w:line="360" w:lineRule="auto"/>
              <w:rPr>
                <w:szCs w:val="21"/>
              </w:rPr>
            </w:pPr>
            <w:r>
              <w:rPr>
                <w:szCs w:val="21"/>
              </w:rPr>
              <w:t>土方</w:t>
            </w:r>
          </w:p>
          <w:p>
            <w:pPr>
              <w:adjustRightInd w:val="0"/>
              <w:snapToGrid w:val="0"/>
              <w:spacing w:line="360" w:lineRule="auto"/>
              <w:rPr>
                <w:szCs w:val="21"/>
              </w:rPr>
            </w:pPr>
            <w:r>
              <w:rPr>
                <w:szCs w:val="21"/>
              </w:rPr>
              <w:t>工程</w:t>
            </w:r>
          </w:p>
        </w:tc>
        <w:tc>
          <w:tcPr>
            <w:tcW w:w="360" w:type="pct"/>
            <w:vAlign w:val="center"/>
          </w:tcPr>
          <w:p>
            <w:pPr>
              <w:adjustRightInd w:val="0"/>
              <w:snapToGrid w:val="0"/>
              <w:spacing w:line="360" w:lineRule="auto"/>
              <w:rPr>
                <w:szCs w:val="21"/>
              </w:rPr>
            </w:pPr>
            <w:r>
              <w:rPr>
                <w:szCs w:val="21"/>
              </w:rPr>
              <w:t>石方    工程</w:t>
            </w:r>
          </w:p>
        </w:tc>
        <w:tc>
          <w:tcPr>
            <w:tcW w:w="442" w:type="pct"/>
            <w:vAlign w:val="center"/>
          </w:tcPr>
          <w:p>
            <w:pPr>
              <w:adjustRightInd w:val="0"/>
              <w:snapToGrid w:val="0"/>
              <w:spacing w:line="360" w:lineRule="auto"/>
              <w:rPr>
                <w:szCs w:val="21"/>
              </w:rPr>
            </w:pPr>
            <w:r>
              <w:rPr>
                <w:szCs w:val="21"/>
              </w:rPr>
              <w:t>混凝土</w:t>
            </w:r>
            <w:r>
              <w:rPr>
                <w:rFonts w:hint="eastAsia"/>
                <w:szCs w:val="21"/>
              </w:rPr>
              <w:t>浇筑</w:t>
            </w:r>
            <w:r>
              <w:rPr>
                <w:szCs w:val="21"/>
              </w:rPr>
              <w:t>工程</w:t>
            </w:r>
          </w:p>
        </w:tc>
        <w:tc>
          <w:tcPr>
            <w:tcW w:w="442" w:type="pct"/>
            <w:vAlign w:val="center"/>
          </w:tcPr>
          <w:p>
            <w:pPr>
              <w:adjustRightInd w:val="0"/>
              <w:snapToGrid w:val="0"/>
              <w:spacing w:line="360" w:lineRule="auto"/>
              <w:rPr>
                <w:szCs w:val="21"/>
              </w:rPr>
            </w:pPr>
            <w:r>
              <w:rPr>
                <w:rFonts w:hint="eastAsia"/>
                <w:szCs w:val="21"/>
              </w:rPr>
              <w:t>钻孔</w:t>
            </w:r>
            <w:r>
              <w:rPr>
                <w:szCs w:val="21"/>
              </w:rPr>
              <w:t>灌浆工程</w:t>
            </w:r>
          </w:p>
        </w:tc>
        <w:tc>
          <w:tcPr>
            <w:tcW w:w="444" w:type="pct"/>
            <w:vAlign w:val="center"/>
          </w:tcPr>
          <w:p>
            <w:pPr>
              <w:adjustRightInd w:val="0"/>
              <w:snapToGrid w:val="0"/>
              <w:spacing w:line="360" w:lineRule="auto"/>
              <w:rPr>
                <w:szCs w:val="21"/>
              </w:rPr>
            </w:pPr>
            <w:r>
              <w:rPr>
                <w:rFonts w:hint="eastAsia"/>
                <w:szCs w:val="21"/>
              </w:rPr>
              <w:t>挖掘机施工隧洞工程（顶管）</w:t>
            </w:r>
          </w:p>
        </w:tc>
        <w:tc>
          <w:tcPr>
            <w:tcW w:w="444" w:type="pct"/>
            <w:vAlign w:val="center"/>
          </w:tcPr>
          <w:p>
            <w:pPr>
              <w:adjustRightInd w:val="0"/>
              <w:snapToGrid w:val="0"/>
              <w:spacing w:line="360" w:lineRule="auto"/>
              <w:rPr>
                <w:szCs w:val="21"/>
              </w:rPr>
            </w:pPr>
            <w:r>
              <w:rPr>
                <w:rFonts w:hint="eastAsia"/>
                <w:szCs w:val="21"/>
              </w:rPr>
              <w:t>挖掘机施工隧洞工程（其他）</w:t>
            </w:r>
          </w:p>
        </w:tc>
        <w:tc>
          <w:tcPr>
            <w:tcW w:w="444" w:type="pct"/>
            <w:vAlign w:val="center"/>
          </w:tcPr>
          <w:p>
            <w:pPr>
              <w:adjustRightInd w:val="0"/>
              <w:snapToGrid w:val="0"/>
              <w:spacing w:line="360" w:lineRule="auto"/>
              <w:rPr>
                <w:szCs w:val="21"/>
              </w:rPr>
            </w:pPr>
            <w:r>
              <w:rPr>
                <w:szCs w:val="21"/>
              </w:rPr>
              <w:t>其他</w:t>
            </w:r>
          </w:p>
          <w:p>
            <w:pPr>
              <w:adjustRightInd w:val="0"/>
              <w:snapToGrid w:val="0"/>
              <w:spacing w:line="360" w:lineRule="auto"/>
              <w:rPr>
                <w:szCs w:val="21"/>
              </w:rPr>
            </w:pPr>
            <w:r>
              <w:rPr>
                <w:szCs w:val="21"/>
              </w:rPr>
              <w:t>工程</w:t>
            </w:r>
          </w:p>
        </w:tc>
        <w:tc>
          <w:tcPr>
            <w:tcW w:w="443" w:type="pct"/>
            <w:vAlign w:val="center"/>
          </w:tcPr>
          <w:p>
            <w:pPr>
              <w:adjustRightInd w:val="0"/>
              <w:snapToGrid w:val="0"/>
              <w:spacing w:line="360" w:lineRule="auto"/>
              <w:rPr>
                <w:szCs w:val="21"/>
              </w:rPr>
            </w:pPr>
            <w:r>
              <w:rPr>
                <w:szCs w:val="21"/>
              </w:rPr>
              <w:t>安装</w:t>
            </w:r>
          </w:p>
          <w:p>
            <w:pPr>
              <w:adjustRightInd w:val="0"/>
              <w:snapToGrid w:val="0"/>
              <w:spacing w:line="360" w:lineRule="auto"/>
              <w:rPr>
                <w:szCs w:val="21"/>
              </w:rPr>
            </w:pPr>
            <w:r>
              <w:rPr>
                <w:szCs w:val="21"/>
              </w:rPr>
              <w:t>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1" w:hRule="exact"/>
        </w:trPr>
        <w:tc>
          <w:tcPr>
            <w:tcW w:w="284" w:type="pct"/>
            <w:vAlign w:val="center"/>
          </w:tcPr>
          <w:p>
            <w:pPr>
              <w:widowControl/>
              <w:spacing w:line="360" w:lineRule="auto"/>
              <w:jc w:val="center"/>
              <w:rPr>
                <w:szCs w:val="21"/>
              </w:rPr>
            </w:pPr>
            <w:r>
              <w:rPr>
                <w:szCs w:val="21"/>
              </w:rPr>
              <w:t>一</w:t>
            </w:r>
          </w:p>
        </w:tc>
        <w:tc>
          <w:tcPr>
            <w:tcW w:w="726" w:type="pct"/>
            <w:vAlign w:val="center"/>
          </w:tcPr>
          <w:p>
            <w:pPr>
              <w:widowControl/>
              <w:spacing w:line="360" w:lineRule="auto"/>
              <w:jc w:val="center"/>
              <w:rPr>
                <w:szCs w:val="21"/>
              </w:rPr>
            </w:pPr>
            <w:r>
              <w:rPr>
                <w:szCs w:val="21"/>
              </w:rPr>
              <w:t>直接工程费</w:t>
            </w:r>
          </w:p>
        </w:tc>
        <w:tc>
          <w:tcPr>
            <w:tcW w:w="617" w:type="pct"/>
            <w:vAlign w:val="center"/>
          </w:tcPr>
          <w:p>
            <w:pPr>
              <w:widowControl/>
              <w:spacing w:line="360" w:lineRule="auto"/>
              <w:jc w:val="center"/>
              <w:rPr>
                <w:szCs w:val="21"/>
              </w:rPr>
            </w:pPr>
          </w:p>
        </w:tc>
        <w:tc>
          <w:tcPr>
            <w:tcW w:w="353" w:type="pct"/>
            <w:vAlign w:val="center"/>
          </w:tcPr>
          <w:p>
            <w:pPr>
              <w:widowControl/>
              <w:spacing w:line="360" w:lineRule="auto"/>
              <w:jc w:val="center"/>
              <w:rPr>
                <w:szCs w:val="21"/>
              </w:rPr>
            </w:pPr>
          </w:p>
        </w:tc>
        <w:tc>
          <w:tcPr>
            <w:tcW w:w="360" w:type="pct"/>
            <w:vAlign w:val="center"/>
          </w:tcPr>
          <w:p>
            <w:pPr>
              <w:widowControl/>
              <w:spacing w:line="360" w:lineRule="auto"/>
              <w:jc w:val="center"/>
              <w:rPr>
                <w:szCs w:val="21"/>
              </w:rPr>
            </w:pPr>
          </w:p>
        </w:tc>
        <w:tc>
          <w:tcPr>
            <w:tcW w:w="442" w:type="pct"/>
            <w:vAlign w:val="center"/>
          </w:tcPr>
          <w:p>
            <w:pPr>
              <w:widowControl/>
              <w:spacing w:line="360" w:lineRule="auto"/>
              <w:jc w:val="center"/>
              <w:rPr>
                <w:szCs w:val="21"/>
              </w:rPr>
            </w:pPr>
          </w:p>
        </w:tc>
        <w:tc>
          <w:tcPr>
            <w:tcW w:w="442" w:type="pct"/>
            <w:vAlign w:val="center"/>
          </w:tcPr>
          <w:p>
            <w:pPr>
              <w:widowControl/>
              <w:spacing w:line="360" w:lineRule="auto"/>
              <w:jc w:val="center"/>
              <w:rPr>
                <w:szCs w:val="21"/>
              </w:rPr>
            </w:pPr>
          </w:p>
        </w:tc>
        <w:tc>
          <w:tcPr>
            <w:tcW w:w="444" w:type="pct"/>
            <w:vAlign w:val="center"/>
          </w:tcPr>
          <w:p>
            <w:pPr>
              <w:widowControl/>
              <w:spacing w:line="360" w:lineRule="auto"/>
              <w:jc w:val="center"/>
              <w:rPr>
                <w:szCs w:val="21"/>
              </w:rPr>
            </w:pPr>
          </w:p>
        </w:tc>
        <w:tc>
          <w:tcPr>
            <w:tcW w:w="444" w:type="pct"/>
            <w:vAlign w:val="center"/>
          </w:tcPr>
          <w:p>
            <w:pPr>
              <w:widowControl/>
              <w:spacing w:line="360" w:lineRule="auto"/>
              <w:jc w:val="center"/>
              <w:rPr>
                <w:szCs w:val="21"/>
              </w:rPr>
            </w:pPr>
          </w:p>
        </w:tc>
        <w:tc>
          <w:tcPr>
            <w:tcW w:w="444" w:type="pct"/>
            <w:vAlign w:val="center"/>
          </w:tcPr>
          <w:p>
            <w:pPr>
              <w:widowControl/>
              <w:spacing w:line="360" w:lineRule="auto"/>
              <w:jc w:val="center"/>
              <w:rPr>
                <w:szCs w:val="21"/>
              </w:rPr>
            </w:pPr>
          </w:p>
        </w:tc>
        <w:tc>
          <w:tcPr>
            <w:tcW w:w="443" w:type="pct"/>
            <w:vAlign w:val="center"/>
          </w:tcPr>
          <w:p>
            <w:pPr>
              <w:widowControl/>
              <w:spacing w:line="360" w:lineRule="auto"/>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61" w:hRule="exact"/>
        </w:trPr>
        <w:tc>
          <w:tcPr>
            <w:tcW w:w="284" w:type="pct"/>
            <w:vAlign w:val="center"/>
          </w:tcPr>
          <w:p>
            <w:pPr>
              <w:widowControl/>
              <w:spacing w:line="360" w:lineRule="auto"/>
              <w:jc w:val="center"/>
              <w:rPr>
                <w:szCs w:val="21"/>
              </w:rPr>
            </w:pPr>
            <w:r>
              <w:rPr>
                <w:szCs w:val="21"/>
              </w:rPr>
              <w:t>1</w:t>
            </w:r>
          </w:p>
        </w:tc>
        <w:tc>
          <w:tcPr>
            <w:tcW w:w="726" w:type="pct"/>
            <w:vAlign w:val="center"/>
          </w:tcPr>
          <w:p>
            <w:pPr>
              <w:widowControl/>
              <w:spacing w:line="360" w:lineRule="auto"/>
              <w:jc w:val="center"/>
              <w:rPr>
                <w:szCs w:val="21"/>
              </w:rPr>
            </w:pPr>
            <w:r>
              <w:rPr>
                <w:szCs w:val="21"/>
              </w:rPr>
              <w:t>直接费</w:t>
            </w:r>
          </w:p>
        </w:tc>
        <w:tc>
          <w:tcPr>
            <w:tcW w:w="617" w:type="pct"/>
            <w:vAlign w:val="center"/>
          </w:tcPr>
          <w:p>
            <w:pPr>
              <w:widowControl/>
              <w:spacing w:line="360" w:lineRule="auto"/>
              <w:jc w:val="center"/>
              <w:rPr>
                <w:szCs w:val="21"/>
              </w:rPr>
            </w:pPr>
          </w:p>
        </w:tc>
        <w:tc>
          <w:tcPr>
            <w:tcW w:w="353" w:type="pct"/>
            <w:vAlign w:val="center"/>
          </w:tcPr>
          <w:p>
            <w:pPr>
              <w:widowControl/>
              <w:spacing w:line="360" w:lineRule="auto"/>
              <w:jc w:val="center"/>
              <w:rPr>
                <w:szCs w:val="21"/>
              </w:rPr>
            </w:pPr>
          </w:p>
        </w:tc>
        <w:tc>
          <w:tcPr>
            <w:tcW w:w="360" w:type="pct"/>
            <w:vAlign w:val="center"/>
          </w:tcPr>
          <w:p>
            <w:pPr>
              <w:widowControl/>
              <w:spacing w:line="360" w:lineRule="auto"/>
              <w:jc w:val="center"/>
              <w:rPr>
                <w:szCs w:val="21"/>
              </w:rPr>
            </w:pPr>
          </w:p>
        </w:tc>
        <w:tc>
          <w:tcPr>
            <w:tcW w:w="442" w:type="pct"/>
            <w:vAlign w:val="center"/>
          </w:tcPr>
          <w:p>
            <w:pPr>
              <w:widowControl/>
              <w:spacing w:line="360" w:lineRule="auto"/>
              <w:jc w:val="center"/>
              <w:rPr>
                <w:szCs w:val="21"/>
              </w:rPr>
            </w:pPr>
          </w:p>
        </w:tc>
        <w:tc>
          <w:tcPr>
            <w:tcW w:w="442" w:type="pct"/>
            <w:vAlign w:val="center"/>
          </w:tcPr>
          <w:p>
            <w:pPr>
              <w:widowControl/>
              <w:spacing w:line="360" w:lineRule="auto"/>
              <w:jc w:val="center"/>
              <w:rPr>
                <w:szCs w:val="21"/>
              </w:rPr>
            </w:pPr>
          </w:p>
        </w:tc>
        <w:tc>
          <w:tcPr>
            <w:tcW w:w="444" w:type="pct"/>
            <w:vAlign w:val="center"/>
          </w:tcPr>
          <w:p>
            <w:pPr>
              <w:widowControl/>
              <w:spacing w:line="360" w:lineRule="auto"/>
              <w:jc w:val="center"/>
              <w:rPr>
                <w:szCs w:val="21"/>
              </w:rPr>
            </w:pPr>
          </w:p>
        </w:tc>
        <w:tc>
          <w:tcPr>
            <w:tcW w:w="444" w:type="pct"/>
            <w:vAlign w:val="center"/>
          </w:tcPr>
          <w:p>
            <w:pPr>
              <w:widowControl/>
              <w:spacing w:line="360" w:lineRule="auto"/>
              <w:jc w:val="center"/>
              <w:rPr>
                <w:szCs w:val="21"/>
              </w:rPr>
            </w:pPr>
          </w:p>
        </w:tc>
        <w:tc>
          <w:tcPr>
            <w:tcW w:w="444" w:type="pct"/>
            <w:vAlign w:val="center"/>
          </w:tcPr>
          <w:p>
            <w:pPr>
              <w:widowControl/>
              <w:spacing w:line="360" w:lineRule="auto"/>
              <w:jc w:val="center"/>
              <w:rPr>
                <w:szCs w:val="21"/>
              </w:rPr>
            </w:pPr>
          </w:p>
        </w:tc>
        <w:tc>
          <w:tcPr>
            <w:tcW w:w="443" w:type="pct"/>
            <w:vAlign w:val="center"/>
          </w:tcPr>
          <w:p>
            <w:pPr>
              <w:widowControl/>
              <w:spacing w:line="360" w:lineRule="auto"/>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1" w:hRule="exact"/>
        </w:trPr>
        <w:tc>
          <w:tcPr>
            <w:tcW w:w="284" w:type="pct"/>
            <w:vAlign w:val="center"/>
          </w:tcPr>
          <w:p>
            <w:pPr>
              <w:widowControl/>
              <w:spacing w:line="360" w:lineRule="auto"/>
              <w:jc w:val="center"/>
              <w:rPr>
                <w:szCs w:val="21"/>
              </w:rPr>
            </w:pPr>
            <w:r>
              <w:rPr>
                <w:szCs w:val="21"/>
              </w:rPr>
              <w:t>2</w:t>
            </w:r>
          </w:p>
        </w:tc>
        <w:tc>
          <w:tcPr>
            <w:tcW w:w="726" w:type="pct"/>
            <w:vAlign w:val="center"/>
          </w:tcPr>
          <w:p>
            <w:pPr>
              <w:widowControl/>
              <w:spacing w:line="360" w:lineRule="auto"/>
              <w:jc w:val="center"/>
              <w:rPr>
                <w:szCs w:val="21"/>
              </w:rPr>
            </w:pPr>
            <w:r>
              <w:rPr>
                <w:szCs w:val="21"/>
              </w:rPr>
              <w:t>其他直接费</w:t>
            </w:r>
          </w:p>
        </w:tc>
        <w:tc>
          <w:tcPr>
            <w:tcW w:w="617" w:type="pct"/>
            <w:vAlign w:val="center"/>
          </w:tcPr>
          <w:p>
            <w:pPr>
              <w:widowControl/>
              <w:spacing w:line="360" w:lineRule="auto"/>
              <w:jc w:val="center"/>
              <w:rPr>
                <w:szCs w:val="21"/>
              </w:rPr>
            </w:pPr>
            <w:r>
              <w:rPr>
                <w:szCs w:val="21"/>
              </w:rPr>
              <w:t>直接费</w:t>
            </w:r>
          </w:p>
        </w:tc>
        <w:tc>
          <w:tcPr>
            <w:tcW w:w="353" w:type="pct"/>
            <w:vAlign w:val="center"/>
          </w:tcPr>
          <w:p>
            <w:pPr>
              <w:widowControl/>
              <w:spacing w:line="360" w:lineRule="auto"/>
              <w:jc w:val="center"/>
              <w:rPr>
                <w:rFonts w:hint="default" w:eastAsia="黑体"/>
                <w:szCs w:val="21"/>
                <w:lang w:val="en-US" w:eastAsia="zh-CN"/>
              </w:rPr>
            </w:pPr>
            <w:r>
              <w:rPr>
                <w:rFonts w:hint="eastAsia"/>
                <w:szCs w:val="21"/>
              </w:rPr>
              <w:t>1</w:t>
            </w:r>
            <w:r>
              <w:rPr>
                <w:rFonts w:hint="eastAsia"/>
                <w:szCs w:val="21"/>
                <w:lang w:val="en-US" w:eastAsia="zh-CN"/>
              </w:rPr>
              <w:t>1.3</w:t>
            </w:r>
          </w:p>
        </w:tc>
        <w:tc>
          <w:tcPr>
            <w:tcW w:w="360" w:type="pct"/>
            <w:vAlign w:val="center"/>
          </w:tcPr>
          <w:p>
            <w:pPr>
              <w:widowControl/>
              <w:spacing w:line="360" w:lineRule="auto"/>
              <w:jc w:val="center"/>
              <w:rPr>
                <w:rFonts w:hint="default" w:eastAsia="黑体"/>
                <w:szCs w:val="21"/>
                <w:lang w:val="en-US" w:eastAsia="zh-CN"/>
              </w:rPr>
            </w:pPr>
            <w:r>
              <w:rPr>
                <w:rFonts w:hint="eastAsia"/>
                <w:szCs w:val="21"/>
                <w:lang w:val="en-US" w:eastAsia="zh-CN"/>
              </w:rPr>
              <w:t>11.3</w:t>
            </w:r>
          </w:p>
        </w:tc>
        <w:tc>
          <w:tcPr>
            <w:tcW w:w="442" w:type="pct"/>
            <w:vAlign w:val="center"/>
          </w:tcPr>
          <w:p>
            <w:pPr>
              <w:widowControl/>
              <w:spacing w:line="360" w:lineRule="auto"/>
              <w:jc w:val="center"/>
              <w:rPr>
                <w:rFonts w:hint="default" w:eastAsia="黑体"/>
                <w:szCs w:val="21"/>
                <w:lang w:val="en-US" w:eastAsia="zh-CN"/>
              </w:rPr>
            </w:pPr>
            <w:r>
              <w:rPr>
                <w:rFonts w:hint="eastAsia"/>
                <w:szCs w:val="21"/>
                <w:lang w:val="en-US" w:eastAsia="zh-CN"/>
              </w:rPr>
              <w:t>10.3</w:t>
            </w:r>
          </w:p>
        </w:tc>
        <w:tc>
          <w:tcPr>
            <w:tcW w:w="442" w:type="pct"/>
            <w:vAlign w:val="center"/>
          </w:tcPr>
          <w:p>
            <w:pPr>
              <w:widowControl/>
              <w:spacing w:line="360" w:lineRule="auto"/>
              <w:jc w:val="center"/>
              <w:rPr>
                <w:rFonts w:hint="default" w:eastAsia="黑体"/>
                <w:szCs w:val="21"/>
                <w:lang w:val="en-US" w:eastAsia="zh-CN"/>
              </w:rPr>
            </w:pPr>
            <w:r>
              <w:rPr>
                <w:rFonts w:hint="eastAsia"/>
                <w:szCs w:val="21"/>
                <w:lang w:val="en-US" w:eastAsia="zh-CN"/>
              </w:rPr>
              <w:t>9.3</w:t>
            </w:r>
          </w:p>
        </w:tc>
        <w:tc>
          <w:tcPr>
            <w:tcW w:w="444" w:type="pct"/>
            <w:vAlign w:val="center"/>
          </w:tcPr>
          <w:p>
            <w:pPr>
              <w:widowControl/>
              <w:spacing w:line="360" w:lineRule="auto"/>
              <w:jc w:val="center"/>
              <w:rPr>
                <w:rFonts w:hint="default" w:eastAsia="黑体"/>
                <w:szCs w:val="21"/>
                <w:lang w:val="en-US" w:eastAsia="zh-CN"/>
              </w:rPr>
            </w:pPr>
            <w:r>
              <w:rPr>
                <w:rFonts w:hint="eastAsia"/>
                <w:szCs w:val="21"/>
                <w:lang w:val="en-US" w:eastAsia="zh-CN"/>
              </w:rPr>
              <w:t>4.3</w:t>
            </w:r>
          </w:p>
        </w:tc>
        <w:tc>
          <w:tcPr>
            <w:tcW w:w="444" w:type="pct"/>
            <w:vAlign w:val="center"/>
          </w:tcPr>
          <w:p>
            <w:pPr>
              <w:widowControl/>
              <w:spacing w:line="360" w:lineRule="auto"/>
              <w:jc w:val="center"/>
              <w:rPr>
                <w:rFonts w:hint="default" w:eastAsia="黑体"/>
                <w:szCs w:val="21"/>
                <w:lang w:val="en-US" w:eastAsia="zh-CN"/>
              </w:rPr>
            </w:pPr>
            <w:r>
              <w:rPr>
                <w:rFonts w:hint="eastAsia"/>
                <w:szCs w:val="21"/>
                <w:lang w:val="en-US" w:eastAsia="zh-CN"/>
              </w:rPr>
              <w:t>6.3</w:t>
            </w:r>
          </w:p>
        </w:tc>
        <w:tc>
          <w:tcPr>
            <w:tcW w:w="444" w:type="pct"/>
            <w:vAlign w:val="center"/>
          </w:tcPr>
          <w:p>
            <w:pPr>
              <w:widowControl/>
              <w:spacing w:line="360" w:lineRule="auto"/>
              <w:jc w:val="center"/>
              <w:rPr>
                <w:rFonts w:hint="default" w:eastAsia="黑体"/>
                <w:szCs w:val="21"/>
                <w:lang w:val="en-US" w:eastAsia="zh-CN"/>
              </w:rPr>
            </w:pPr>
            <w:r>
              <w:rPr>
                <w:rFonts w:hint="eastAsia"/>
                <w:szCs w:val="21"/>
                <w:lang w:val="en-US" w:eastAsia="zh-CN"/>
              </w:rPr>
              <w:t>9.3</w:t>
            </w:r>
          </w:p>
        </w:tc>
        <w:tc>
          <w:tcPr>
            <w:tcW w:w="443" w:type="pct"/>
            <w:vAlign w:val="center"/>
          </w:tcPr>
          <w:p>
            <w:pPr>
              <w:widowControl/>
              <w:spacing w:line="360" w:lineRule="auto"/>
              <w:jc w:val="center"/>
              <w:rPr>
                <w:rFonts w:hint="default" w:eastAsia="黑体"/>
                <w:szCs w:val="21"/>
                <w:lang w:val="en-US" w:eastAsia="zh-CN"/>
              </w:rPr>
            </w:pPr>
            <w:r>
              <w:rPr>
                <w:rFonts w:hint="eastAsia"/>
                <w:szCs w:val="21"/>
              </w:rPr>
              <w:t>4</w:t>
            </w:r>
            <w:r>
              <w:rPr>
                <w:rFonts w:hint="eastAsia"/>
                <w:szCs w:val="21"/>
                <w:lang w:val="en-US" w:eastAsia="zh-CN"/>
              </w:rPr>
              <w:t>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1" w:hRule="exact"/>
        </w:trPr>
        <w:tc>
          <w:tcPr>
            <w:tcW w:w="284" w:type="pct"/>
            <w:vMerge w:val="restart"/>
            <w:vAlign w:val="center"/>
          </w:tcPr>
          <w:p>
            <w:pPr>
              <w:widowControl/>
              <w:spacing w:line="360" w:lineRule="auto"/>
              <w:jc w:val="center"/>
              <w:rPr>
                <w:szCs w:val="21"/>
              </w:rPr>
            </w:pPr>
            <w:r>
              <w:rPr>
                <w:szCs w:val="21"/>
              </w:rPr>
              <w:t>二</w:t>
            </w:r>
          </w:p>
        </w:tc>
        <w:tc>
          <w:tcPr>
            <w:tcW w:w="726" w:type="pct"/>
            <w:vMerge w:val="restart"/>
            <w:vAlign w:val="center"/>
          </w:tcPr>
          <w:p>
            <w:pPr>
              <w:widowControl/>
              <w:spacing w:line="360" w:lineRule="auto"/>
              <w:jc w:val="center"/>
              <w:rPr>
                <w:szCs w:val="21"/>
              </w:rPr>
            </w:pPr>
            <w:r>
              <w:rPr>
                <w:szCs w:val="21"/>
              </w:rPr>
              <w:t>间接费</w:t>
            </w:r>
          </w:p>
        </w:tc>
        <w:tc>
          <w:tcPr>
            <w:tcW w:w="617" w:type="pct"/>
            <w:vAlign w:val="center"/>
          </w:tcPr>
          <w:p>
            <w:pPr>
              <w:widowControl/>
              <w:spacing w:line="360" w:lineRule="auto"/>
              <w:jc w:val="center"/>
              <w:rPr>
                <w:szCs w:val="21"/>
              </w:rPr>
            </w:pPr>
            <w:r>
              <w:rPr>
                <w:szCs w:val="21"/>
              </w:rPr>
              <w:t>直接工程费</w:t>
            </w:r>
          </w:p>
        </w:tc>
        <w:tc>
          <w:tcPr>
            <w:tcW w:w="353" w:type="pct"/>
            <w:vAlign w:val="center"/>
          </w:tcPr>
          <w:p>
            <w:pPr>
              <w:widowControl/>
              <w:spacing w:line="360" w:lineRule="auto"/>
              <w:jc w:val="center"/>
              <w:rPr>
                <w:rFonts w:hint="eastAsia" w:eastAsia="黑体"/>
                <w:szCs w:val="21"/>
                <w:lang w:val="en-US" w:eastAsia="zh-CN"/>
              </w:rPr>
            </w:pPr>
            <w:r>
              <w:rPr>
                <w:rFonts w:hint="eastAsia"/>
                <w:szCs w:val="21"/>
                <w:lang w:val="en-US" w:eastAsia="zh-CN"/>
              </w:rPr>
              <w:t>9</w:t>
            </w:r>
          </w:p>
        </w:tc>
        <w:tc>
          <w:tcPr>
            <w:tcW w:w="360" w:type="pct"/>
            <w:vAlign w:val="center"/>
          </w:tcPr>
          <w:p>
            <w:pPr>
              <w:widowControl/>
              <w:spacing w:line="360" w:lineRule="auto"/>
              <w:jc w:val="center"/>
              <w:rPr>
                <w:rFonts w:hint="default" w:eastAsia="黑体"/>
                <w:szCs w:val="21"/>
                <w:lang w:val="en-US" w:eastAsia="zh-CN"/>
              </w:rPr>
            </w:pPr>
            <w:r>
              <w:rPr>
                <w:rFonts w:hint="eastAsia"/>
                <w:szCs w:val="21"/>
                <w:lang w:val="en-US" w:eastAsia="zh-CN"/>
              </w:rPr>
              <w:t>13</w:t>
            </w:r>
          </w:p>
        </w:tc>
        <w:tc>
          <w:tcPr>
            <w:tcW w:w="442" w:type="pct"/>
            <w:vAlign w:val="center"/>
          </w:tcPr>
          <w:p>
            <w:pPr>
              <w:widowControl/>
              <w:spacing w:line="360" w:lineRule="auto"/>
              <w:jc w:val="center"/>
              <w:rPr>
                <w:szCs w:val="21"/>
              </w:rPr>
            </w:pPr>
            <w:r>
              <w:rPr>
                <w:rFonts w:hint="eastAsia"/>
                <w:szCs w:val="21"/>
              </w:rPr>
              <w:t>6</w:t>
            </w:r>
          </w:p>
        </w:tc>
        <w:tc>
          <w:tcPr>
            <w:tcW w:w="442" w:type="pct"/>
            <w:vAlign w:val="center"/>
          </w:tcPr>
          <w:p>
            <w:pPr>
              <w:widowControl/>
              <w:spacing w:line="360" w:lineRule="auto"/>
              <w:jc w:val="center"/>
              <w:rPr>
                <w:szCs w:val="21"/>
              </w:rPr>
            </w:pPr>
            <w:r>
              <w:rPr>
                <w:szCs w:val="21"/>
              </w:rPr>
              <w:t>8</w:t>
            </w:r>
          </w:p>
        </w:tc>
        <w:tc>
          <w:tcPr>
            <w:tcW w:w="444" w:type="pct"/>
            <w:vAlign w:val="center"/>
          </w:tcPr>
          <w:p>
            <w:pPr>
              <w:widowControl/>
              <w:spacing w:line="360" w:lineRule="auto"/>
              <w:jc w:val="center"/>
              <w:rPr>
                <w:szCs w:val="21"/>
              </w:rPr>
            </w:pPr>
            <w:r>
              <w:rPr>
                <w:rFonts w:hint="eastAsia"/>
                <w:szCs w:val="21"/>
              </w:rPr>
              <w:t>4</w:t>
            </w:r>
          </w:p>
        </w:tc>
        <w:tc>
          <w:tcPr>
            <w:tcW w:w="444" w:type="pct"/>
            <w:vAlign w:val="center"/>
          </w:tcPr>
          <w:p>
            <w:pPr>
              <w:widowControl/>
              <w:spacing w:line="360" w:lineRule="auto"/>
              <w:jc w:val="center"/>
              <w:rPr>
                <w:szCs w:val="21"/>
              </w:rPr>
            </w:pPr>
            <w:r>
              <w:rPr>
                <w:rFonts w:hint="eastAsia"/>
                <w:szCs w:val="21"/>
              </w:rPr>
              <w:t>4</w:t>
            </w:r>
          </w:p>
        </w:tc>
        <w:tc>
          <w:tcPr>
            <w:tcW w:w="444" w:type="pct"/>
            <w:vAlign w:val="center"/>
          </w:tcPr>
          <w:p>
            <w:pPr>
              <w:widowControl/>
              <w:spacing w:line="360" w:lineRule="auto"/>
              <w:jc w:val="center"/>
              <w:rPr>
                <w:szCs w:val="21"/>
              </w:rPr>
            </w:pPr>
            <w:r>
              <w:rPr>
                <w:rFonts w:hint="eastAsia"/>
                <w:szCs w:val="21"/>
              </w:rPr>
              <w:t>8</w:t>
            </w:r>
          </w:p>
        </w:tc>
        <w:tc>
          <w:tcPr>
            <w:tcW w:w="443" w:type="pct"/>
            <w:vAlign w:val="center"/>
          </w:tcPr>
          <w:p>
            <w:pPr>
              <w:widowControl/>
              <w:spacing w:line="360" w:lineRule="auto"/>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1" w:hRule="exact"/>
        </w:trPr>
        <w:tc>
          <w:tcPr>
            <w:tcW w:w="284" w:type="pct"/>
            <w:vMerge w:val="continue"/>
            <w:vAlign w:val="center"/>
          </w:tcPr>
          <w:p>
            <w:pPr>
              <w:widowControl/>
              <w:spacing w:line="360" w:lineRule="auto"/>
              <w:jc w:val="center"/>
              <w:rPr>
                <w:szCs w:val="21"/>
              </w:rPr>
            </w:pPr>
          </w:p>
        </w:tc>
        <w:tc>
          <w:tcPr>
            <w:tcW w:w="726" w:type="pct"/>
            <w:vMerge w:val="continue"/>
            <w:vAlign w:val="center"/>
          </w:tcPr>
          <w:p>
            <w:pPr>
              <w:widowControl/>
              <w:spacing w:line="360" w:lineRule="auto"/>
              <w:jc w:val="center"/>
              <w:rPr>
                <w:szCs w:val="21"/>
              </w:rPr>
            </w:pPr>
          </w:p>
        </w:tc>
        <w:tc>
          <w:tcPr>
            <w:tcW w:w="617" w:type="pct"/>
            <w:vAlign w:val="center"/>
          </w:tcPr>
          <w:p>
            <w:pPr>
              <w:spacing w:line="360" w:lineRule="auto"/>
              <w:jc w:val="center"/>
              <w:rPr>
                <w:szCs w:val="21"/>
              </w:rPr>
            </w:pPr>
            <w:r>
              <w:rPr>
                <w:szCs w:val="21"/>
              </w:rPr>
              <w:t>人工费</w:t>
            </w:r>
          </w:p>
        </w:tc>
        <w:tc>
          <w:tcPr>
            <w:tcW w:w="353" w:type="pct"/>
            <w:vAlign w:val="center"/>
          </w:tcPr>
          <w:p>
            <w:pPr>
              <w:spacing w:line="360" w:lineRule="auto"/>
              <w:jc w:val="center"/>
              <w:rPr>
                <w:szCs w:val="21"/>
              </w:rPr>
            </w:pPr>
          </w:p>
        </w:tc>
        <w:tc>
          <w:tcPr>
            <w:tcW w:w="360" w:type="pct"/>
            <w:vAlign w:val="center"/>
          </w:tcPr>
          <w:p>
            <w:pPr>
              <w:spacing w:line="360" w:lineRule="auto"/>
              <w:jc w:val="center"/>
              <w:rPr>
                <w:szCs w:val="21"/>
              </w:rPr>
            </w:pPr>
          </w:p>
        </w:tc>
        <w:tc>
          <w:tcPr>
            <w:tcW w:w="442" w:type="pct"/>
            <w:vAlign w:val="center"/>
          </w:tcPr>
          <w:p>
            <w:pPr>
              <w:spacing w:line="360" w:lineRule="auto"/>
              <w:jc w:val="center"/>
              <w:rPr>
                <w:szCs w:val="21"/>
              </w:rPr>
            </w:pPr>
          </w:p>
        </w:tc>
        <w:tc>
          <w:tcPr>
            <w:tcW w:w="442" w:type="pct"/>
            <w:vAlign w:val="center"/>
          </w:tcPr>
          <w:p>
            <w:pPr>
              <w:spacing w:line="360" w:lineRule="auto"/>
              <w:jc w:val="center"/>
              <w:rPr>
                <w:szCs w:val="21"/>
              </w:rPr>
            </w:pPr>
          </w:p>
        </w:tc>
        <w:tc>
          <w:tcPr>
            <w:tcW w:w="444" w:type="pct"/>
            <w:vAlign w:val="center"/>
          </w:tcPr>
          <w:p>
            <w:pPr>
              <w:spacing w:line="360" w:lineRule="auto"/>
              <w:jc w:val="center"/>
              <w:rPr>
                <w:szCs w:val="21"/>
              </w:rPr>
            </w:pPr>
          </w:p>
        </w:tc>
        <w:tc>
          <w:tcPr>
            <w:tcW w:w="444" w:type="pct"/>
            <w:vAlign w:val="center"/>
          </w:tcPr>
          <w:p>
            <w:pPr>
              <w:spacing w:line="360" w:lineRule="auto"/>
              <w:jc w:val="center"/>
              <w:rPr>
                <w:szCs w:val="21"/>
              </w:rPr>
            </w:pPr>
          </w:p>
        </w:tc>
        <w:tc>
          <w:tcPr>
            <w:tcW w:w="444" w:type="pct"/>
            <w:vAlign w:val="center"/>
          </w:tcPr>
          <w:p>
            <w:pPr>
              <w:spacing w:line="360" w:lineRule="auto"/>
              <w:jc w:val="center"/>
              <w:rPr>
                <w:szCs w:val="21"/>
              </w:rPr>
            </w:pPr>
          </w:p>
        </w:tc>
        <w:tc>
          <w:tcPr>
            <w:tcW w:w="443" w:type="pct"/>
            <w:vAlign w:val="center"/>
          </w:tcPr>
          <w:p>
            <w:pPr>
              <w:spacing w:line="360" w:lineRule="auto"/>
              <w:jc w:val="center"/>
              <w:rPr>
                <w:szCs w:val="21"/>
              </w:rPr>
            </w:pPr>
            <w:r>
              <w:rPr>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1" w:hRule="exact"/>
        </w:trPr>
        <w:tc>
          <w:tcPr>
            <w:tcW w:w="284" w:type="pct"/>
            <w:vAlign w:val="center"/>
          </w:tcPr>
          <w:p>
            <w:pPr>
              <w:widowControl/>
              <w:spacing w:line="360" w:lineRule="auto"/>
              <w:jc w:val="center"/>
              <w:rPr>
                <w:szCs w:val="21"/>
              </w:rPr>
            </w:pPr>
            <w:r>
              <w:rPr>
                <w:szCs w:val="21"/>
              </w:rPr>
              <w:t>三</w:t>
            </w:r>
          </w:p>
        </w:tc>
        <w:tc>
          <w:tcPr>
            <w:tcW w:w="726" w:type="pct"/>
            <w:vAlign w:val="center"/>
          </w:tcPr>
          <w:p>
            <w:pPr>
              <w:widowControl/>
              <w:spacing w:line="360" w:lineRule="auto"/>
              <w:jc w:val="center"/>
              <w:rPr>
                <w:szCs w:val="21"/>
              </w:rPr>
            </w:pPr>
            <w:r>
              <w:rPr>
                <w:szCs w:val="21"/>
              </w:rPr>
              <w:t>利润</w:t>
            </w:r>
          </w:p>
        </w:tc>
        <w:tc>
          <w:tcPr>
            <w:tcW w:w="617" w:type="pct"/>
            <w:vAlign w:val="center"/>
          </w:tcPr>
          <w:p>
            <w:pPr>
              <w:widowControl/>
              <w:spacing w:line="360" w:lineRule="auto"/>
              <w:jc w:val="center"/>
              <w:rPr>
                <w:szCs w:val="21"/>
              </w:rPr>
            </w:pPr>
            <w:r>
              <w:rPr>
                <w:szCs w:val="21"/>
              </w:rPr>
              <w:t>一+二</w:t>
            </w:r>
          </w:p>
        </w:tc>
        <w:tc>
          <w:tcPr>
            <w:tcW w:w="353" w:type="pct"/>
            <w:vAlign w:val="center"/>
          </w:tcPr>
          <w:p>
            <w:pPr>
              <w:widowControl/>
              <w:spacing w:line="360" w:lineRule="auto"/>
              <w:jc w:val="center"/>
              <w:rPr>
                <w:szCs w:val="21"/>
              </w:rPr>
            </w:pPr>
            <w:r>
              <w:rPr>
                <w:szCs w:val="21"/>
              </w:rPr>
              <w:t>7</w:t>
            </w:r>
          </w:p>
        </w:tc>
        <w:tc>
          <w:tcPr>
            <w:tcW w:w="360" w:type="pct"/>
            <w:vAlign w:val="center"/>
          </w:tcPr>
          <w:p>
            <w:pPr>
              <w:widowControl/>
              <w:spacing w:line="360" w:lineRule="auto"/>
              <w:jc w:val="center"/>
              <w:rPr>
                <w:szCs w:val="21"/>
              </w:rPr>
            </w:pPr>
            <w:r>
              <w:rPr>
                <w:szCs w:val="21"/>
              </w:rPr>
              <w:t>7</w:t>
            </w:r>
          </w:p>
        </w:tc>
        <w:tc>
          <w:tcPr>
            <w:tcW w:w="442" w:type="pct"/>
            <w:vAlign w:val="center"/>
          </w:tcPr>
          <w:p>
            <w:pPr>
              <w:widowControl/>
              <w:spacing w:line="360" w:lineRule="auto"/>
              <w:jc w:val="center"/>
              <w:rPr>
                <w:szCs w:val="21"/>
              </w:rPr>
            </w:pPr>
            <w:r>
              <w:rPr>
                <w:szCs w:val="21"/>
              </w:rPr>
              <w:t>7</w:t>
            </w:r>
          </w:p>
        </w:tc>
        <w:tc>
          <w:tcPr>
            <w:tcW w:w="442" w:type="pct"/>
            <w:vAlign w:val="center"/>
          </w:tcPr>
          <w:p>
            <w:pPr>
              <w:widowControl/>
              <w:spacing w:line="360" w:lineRule="auto"/>
              <w:jc w:val="center"/>
              <w:rPr>
                <w:szCs w:val="21"/>
              </w:rPr>
            </w:pPr>
            <w:r>
              <w:rPr>
                <w:szCs w:val="21"/>
              </w:rPr>
              <w:t>7</w:t>
            </w:r>
          </w:p>
        </w:tc>
        <w:tc>
          <w:tcPr>
            <w:tcW w:w="444" w:type="pct"/>
            <w:vAlign w:val="center"/>
          </w:tcPr>
          <w:p>
            <w:pPr>
              <w:widowControl/>
              <w:spacing w:line="360" w:lineRule="auto"/>
              <w:jc w:val="center"/>
              <w:rPr>
                <w:szCs w:val="21"/>
              </w:rPr>
            </w:pPr>
            <w:r>
              <w:rPr>
                <w:rFonts w:hint="eastAsia"/>
                <w:szCs w:val="21"/>
              </w:rPr>
              <w:t>7</w:t>
            </w:r>
          </w:p>
        </w:tc>
        <w:tc>
          <w:tcPr>
            <w:tcW w:w="444" w:type="pct"/>
            <w:vAlign w:val="center"/>
          </w:tcPr>
          <w:p>
            <w:pPr>
              <w:widowControl/>
              <w:spacing w:line="360" w:lineRule="auto"/>
              <w:jc w:val="center"/>
              <w:rPr>
                <w:szCs w:val="21"/>
              </w:rPr>
            </w:pPr>
            <w:r>
              <w:rPr>
                <w:rFonts w:hint="eastAsia"/>
                <w:szCs w:val="21"/>
              </w:rPr>
              <w:t>7</w:t>
            </w:r>
          </w:p>
        </w:tc>
        <w:tc>
          <w:tcPr>
            <w:tcW w:w="444" w:type="pct"/>
            <w:vAlign w:val="center"/>
          </w:tcPr>
          <w:p>
            <w:pPr>
              <w:widowControl/>
              <w:spacing w:line="360" w:lineRule="auto"/>
              <w:jc w:val="center"/>
              <w:rPr>
                <w:szCs w:val="21"/>
              </w:rPr>
            </w:pPr>
            <w:r>
              <w:rPr>
                <w:szCs w:val="21"/>
              </w:rPr>
              <w:t>7</w:t>
            </w:r>
          </w:p>
        </w:tc>
        <w:tc>
          <w:tcPr>
            <w:tcW w:w="443" w:type="pct"/>
            <w:vAlign w:val="center"/>
          </w:tcPr>
          <w:p>
            <w:pPr>
              <w:widowControl/>
              <w:spacing w:line="360" w:lineRule="auto"/>
              <w:jc w:val="center"/>
              <w:rPr>
                <w:szCs w:val="21"/>
              </w:rPr>
            </w:pPr>
            <w:r>
              <w:rPr>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1" w:hRule="exact"/>
        </w:trPr>
        <w:tc>
          <w:tcPr>
            <w:tcW w:w="284" w:type="pct"/>
            <w:vAlign w:val="center"/>
          </w:tcPr>
          <w:p>
            <w:pPr>
              <w:widowControl/>
              <w:spacing w:line="360" w:lineRule="auto"/>
              <w:jc w:val="center"/>
              <w:rPr>
                <w:szCs w:val="21"/>
              </w:rPr>
            </w:pPr>
            <w:r>
              <w:rPr>
                <w:szCs w:val="21"/>
              </w:rPr>
              <w:t>四</w:t>
            </w:r>
          </w:p>
        </w:tc>
        <w:tc>
          <w:tcPr>
            <w:tcW w:w="726" w:type="pct"/>
            <w:vAlign w:val="center"/>
          </w:tcPr>
          <w:p>
            <w:pPr>
              <w:widowControl/>
              <w:spacing w:line="360" w:lineRule="auto"/>
              <w:jc w:val="center"/>
              <w:rPr>
                <w:szCs w:val="21"/>
              </w:rPr>
            </w:pPr>
            <w:r>
              <w:rPr>
                <w:szCs w:val="21"/>
              </w:rPr>
              <w:t>税金</w:t>
            </w:r>
          </w:p>
        </w:tc>
        <w:tc>
          <w:tcPr>
            <w:tcW w:w="617" w:type="pct"/>
            <w:vAlign w:val="center"/>
          </w:tcPr>
          <w:p>
            <w:pPr>
              <w:widowControl/>
              <w:spacing w:line="360" w:lineRule="auto"/>
              <w:jc w:val="center"/>
              <w:rPr>
                <w:szCs w:val="21"/>
              </w:rPr>
            </w:pPr>
            <w:r>
              <w:rPr>
                <w:szCs w:val="21"/>
              </w:rPr>
              <w:t>一+二+三</w:t>
            </w:r>
          </w:p>
        </w:tc>
        <w:tc>
          <w:tcPr>
            <w:tcW w:w="353" w:type="pct"/>
            <w:vAlign w:val="center"/>
          </w:tcPr>
          <w:p>
            <w:pPr>
              <w:widowControl/>
              <w:spacing w:line="360" w:lineRule="auto"/>
              <w:jc w:val="center"/>
              <w:rPr>
                <w:szCs w:val="21"/>
              </w:rPr>
            </w:pPr>
            <w:r>
              <w:rPr>
                <w:szCs w:val="21"/>
              </w:rPr>
              <w:t>9</w:t>
            </w:r>
          </w:p>
        </w:tc>
        <w:tc>
          <w:tcPr>
            <w:tcW w:w="360" w:type="pct"/>
            <w:vAlign w:val="center"/>
          </w:tcPr>
          <w:p>
            <w:pPr>
              <w:widowControl/>
              <w:spacing w:line="360" w:lineRule="auto"/>
              <w:jc w:val="center"/>
              <w:rPr>
                <w:szCs w:val="21"/>
              </w:rPr>
            </w:pPr>
            <w:r>
              <w:rPr>
                <w:szCs w:val="21"/>
              </w:rPr>
              <w:t>9</w:t>
            </w:r>
          </w:p>
        </w:tc>
        <w:tc>
          <w:tcPr>
            <w:tcW w:w="442" w:type="pct"/>
            <w:vAlign w:val="center"/>
          </w:tcPr>
          <w:p>
            <w:pPr>
              <w:widowControl/>
              <w:spacing w:line="360" w:lineRule="auto"/>
              <w:jc w:val="center"/>
              <w:rPr>
                <w:szCs w:val="21"/>
              </w:rPr>
            </w:pPr>
            <w:r>
              <w:rPr>
                <w:szCs w:val="21"/>
              </w:rPr>
              <w:t>9</w:t>
            </w:r>
          </w:p>
        </w:tc>
        <w:tc>
          <w:tcPr>
            <w:tcW w:w="442" w:type="pct"/>
            <w:vAlign w:val="center"/>
          </w:tcPr>
          <w:p>
            <w:pPr>
              <w:widowControl/>
              <w:spacing w:line="360" w:lineRule="auto"/>
              <w:jc w:val="center"/>
              <w:rPr>
                <w:szCs w:val="21"/>
              </w:rPr>
            </w:pPr>
            <w:r>
              <w:rPr>
                <w:szCs w:val="21"/>
              </w:rPr>
              <w:t>9</w:t>
            </w:r>
          </w:p>
        </w:tc>
        <w:tc>
          <w:tcPr>
            <w:tcW w:w="444" w:type="pct"/>
            <w:vAlign w:val="center"/>
          </w:tcPr>
          <w:p>
            <w:pPr>
              <w:widowControl/>
              <w:spacing w:line="360" w:lineRule="auto"/>
              <w:jc w:val="center"/>
              <w:rPr>
                <w:szCs w:val="21"/>
              </w:rPr>
            </w:pPr>
            <w:r>
              <w:rPr>
                <w:rFonts w:hint="eastAsia"/>
                <w:szCs w:val="21"/>
              </w:rPr>
              <w:t>9</w:t>
            </w:r>
          </w:p>
        </w:tc>
        <w:tc>
          <w:tcPr>
            <w:tcW w:w="444" w:type="pct"/>
            <w:vAlign w:val="center"/>
          </w:tcPr>
          <w:p>
            <w:pPr>
              <w:widowControl/>
              <w:spacing w:line="360" w:lineRule="auto"/>
              <w:jc w:val="center"/>
              <w:rPr>
                <w:szCs w:val="21"/>
              </w:rPr>
            </w:pPr>
            <w:r>
              <w:rPr>
                <w:rFonts w:hint="eastAsia"/>
                <w:szCs w:val="21"/>
              </w:rPr>
              <w:t>9</w:t>
            </w:r>
          </w:p>
        </w:tc>
        <w:tc>
          <w:tcPr>
            <w:tcW w:w="444" w:type="pct"/>
            <w:vAlign w:val="center"/>
          </w:tcPr>
          <w:p>
            <w:pPr>
              <w:widowControl/>
              <w:spacing w:line="360" w:lineRule="auto"/>
              <w:jc w:val="center"/>
              <w:rPr>
                <w:szCs w:val="21"/>
              </w:rPr>
            </w:pPr>
            <w:r>
              <w:rPr>
                <w:szCs w:val="21"/>
              </w:rPr>
              <w:t>9</w:t>
            </w:r>
          </w:p>
        </w:tc>
        <w:tc>
          <w:tcPr>
            <w:tcW w:w="443" w:type="pct"/>
            <w:vAlign w:val="center"/>
          </w:tcPr>
          <w:p>
            <w:pPr>
              <w:widowControl/>
              <w:spacing w:line="360" w:lineRule="auto"/>
              <w:jc w:val="center"/>
              <w:rPr>
                <w:szCs w:val="21"/>
              </w:rPr>
            </w:pPr>
            <w:r>
              <w:rPr>
                <w:szCs w:val="21"/>
              </w:rPr>
              <w:t>9</w:t>
            </w:r>
          </w:p>
        </w:tc>
      </w:tr>
    </w:tbl>
    <w:p>
      <w:pPr>
        <w:spacing w:line="360" w:lineRule="auto"/>
        <w:outlineLvl w:val="0"/>
        <w:rPr>
          <w:rFonts w:ascii="宋体" w:hAnsi="宋体"/>
          <w:b/>
          <w:sz w:val="28"/>
          <w:szCs w:val="28"/>
          <w:highlight w:val="none"/>
          <w:lang w:val="en-US"/>
        </w:rPr>
      </w:pPr>
      <w:r>
        <w:rPr>
          <w:rFonts w:hint="eastAsia" w:ascii="宋体" w:hAnsi="宋体"/>
          <w:b/>
          <w:sz w:val="28"/>
          <w:szCs w:val="28"/>
          <w:highlight w:val="none"/>
          <w:lang w:val="en-US"/>
        </w:rPr>
        <w:t>（三）其他应说明问题</w:t>
      </w:r>
    </w:p>
    <w:p>
      <w:pPr>
        <w:spacing w:line="360" w:lineRule="auto"/>
        <w:ind w:firstLine="411" w:firstLineChars="147"/>
        <w:rPr>
          <w:rFonts w:ascii="宋体" w:hAnsi="宋体"/>
          <w:sz w:val="28"/>
          <w:szCs w:val="28"/>
          <w:highlight w:val="none"/>
        </w:rPr>
      </w:pPr>
      <w:r>
        <w:rPr>
          <w:rFonts w:hint="eastAsia" w:ascii="宋体" w:hAnsi="宋体"/>
          <w:sz w:val="28"/>
          <w:szCs w:val="28"/>
          <w:highlight w:val="none"/>
        </w:rPr>
        <w:t>1、建筑工程：建筑工程预算投资按设计工程量乘以工程单价进行计算，单价采用预算定额编制。</w:t>
      </w:r>
      <w:r>
        <w:rPr>
          <w:rFonts w:hint="eastAsia" w:ascii="宋体" w:hAnsi="宋体"/>
          <w:sz w:val="28"/>
          <w:szCs w:val="28"/>
          <w:highlight w:val="none"/>
          <w:lang w:val="en-US"/>
        </w:rPr>
        <w:t>未有的借用</w:t>
      </w:r>
      <w:r>
        <w:rPr>
          <w:rFonts w:hint="eastAsia" w:ascii="宋体" w:hAnsi="宋体"/>
          <w:sz w:val="28"/>
          <w:szCs w:val="28"/>
          <w:highlight w:val="none"/>
        </w:rPr>
        <w:t>重庆市工民建2018定额进行计算。</w:t>
      </w:r>
    </w:p>
    <w:p>
      <w:pPr>
        <w:spacing w:line="360" w:lineRule="auto"/>
        <w:ind w:firstLine="411" w:firstLineChars="147"/>
        <w:rPr>
          <w:rFonts w:ascii="宋体" w:hAnsi="宋体"/>
          <w:sz w:val="28"/>
          <w:szCs w:val="28"/>
          <w:highlight w:val="none"/>
        </w:rPr>
      </w:pPr>
      <w:r>
        <w:rPr>
          <w:rFonts w:hint="eastAsia" w:ascii="宋体" w:hAnsi="宋体"/>
          <w:sz w:val="28"/>
          <w:szCs w:val="28"/>
          <w:highlight w:val="none"/>
        </w:rPr>
        <w:t>2、设备及安装工程：设备安装工程按设计工程量乘以设备单价及安装单价进行计算，安装工程单价采用预算定额编制。管配件按照费率单价按照设备预算单价的15%计算，其他按20%计算。</w:t>
      </w:r>
    </w:p>
    <w:p>
      <w:pPr>
        <w:spacing w:line="360" w:lineRule="auto"/>
        <w:ind w:firstLine="411" w:firstLineChars="147"/>
        <w:rPr>
          <w:rFonts w:ascii="宋体" w:hAnsi="宋体"/>
          <w:sz w:val="28"/>
          <w:szCs w:val="28"/>
          <w:highlight w:val="none"/>
        </w:rPr>
      </w:pPr>
      <w:r>
        <w:rPr>
          <w:rFonts w:hint="eastAsia" w:ascii="宋体" w:hAnsi="宋体"/>
          <w:sz w:val="28"/>
          <w:szCs w:val="28"/>
          <w:highlight w:val="none"/>
        </w:rPr>
        <w:t>3、施工临时工程：其他施工临时工程按一至四部分建设工作量（不含其他临时工程本身）的3%计算；安全生产费按一至四部分建筑及安装工程费（不含安全生产费）之和的2</w:t>
      </w:r>
      <w:r>
        <w:rPr>
          <w:rFonts w:hint="eastAsia" w:ascii="宋体" w:hAnsi="宋体"/>
          <w:sz w:val="28"/>
          <w:szCs w:val="28"/>
          <w:highlight w:val="none"/>
          <w:lang w:val="en-US" w:eastAsia="zh-CN"/>
        </w:rPr>
        <w:t>.5</w:t>
      </w:r>
      <w:r>
        <w:rPr>
          <w:rFonts w:hint="eastAsia" w:ascii="宋体" w:hAnsi="宋体"/>
          <w:sz w:val="28"/>
          <w:szCs w:val="28"/>
          <w:highlight w:val="none"/>
        </w:rPr>
        <w:t>%计算。</w:t>
      </w:r>
    </w:p>
    <w:p>
      <w:pPr>
        <w:spacing w:line="360" w:lineRule="auto"/>
        <w:ind w:firstLine="411" w:firstLineChars="147"/>
        <w:rPr>
          <w:rFonts w:ascii="宋体" w:hAnsi="宋体"/>
          <w:sz w:val="28"/>
          <w:szCs w:val="28"/>
          <w:highlight w:val="none"/>
        </w:rPr>
      </w:pPr>
      <w:r>
        <w:rPr>
          <w:rFonts w:hint="eastAsia" w:ascii="宋体" w:hAnsi="宋体"/>
          <w:sz w:val="28"/>
          <w:szCs w:val="28"/>
          <w:highlight w:val="none"/>
        </w:rPr>
        <w:t>4、独立费用：本阶段独立费用考虑工程监理费、工程质量检测费、设计费和工程保险费，具体标准如下。</w:t>
      </w:r>
    </w:p>
    <w:p>
      <w:pPr>
        <w:spacing w:line="360" w:lineRule="auto"/>
        <w:ind w:firstLine="411" w:firstLineChars="147"/>
        <w:rPr>
          <w:rFonts w:ascii="宋体" w:hAnsi="宋体"/>
          <w:sz w:val="28"/>
          <w:szCs w:val="28"/>
          <w:highlight w:val="none"/>
        </w:rPr>
      </w:pPr>
      <w:r>
        <w:rPr>
          <w:rFonts w:hint="eastAsia" w:ascii="宋体" w:hAnsi="宋体"/>
          <w:sz w:val="28"/>
          <w:szCs w:val="28"/>
          <w:highlight w:val="none"/>
        </w:rPr>
        <w:t>（</w:t>
      </w:r>
      <w:r>
        <w:rPr>
          <w:rFonts w:hint="eastAsia" w:ascii="宋体" w:hAnsi="宋体"/>
          <w:sz w:val="28"/>
          <w:szCs w:val="28"/>
          <w:highlight w:val="none"/>
          <w:lang w:val="en-US"/>
        </w:rPr>
        <w:t>1</w:t>
      </w:r>
      <w:r>
        <w:rPr>
          <w:rFonts w:hint="eastAsia" w:ascii="宋体" w:hAnsi="宋体"/>
          <w:sz w:val="28"/>
          <w:szCs w:val="28"/>
          <w:highlight w:val="none"/>
        </w:rPr>
        <w:t>）工程监理费按建筑安装工程造价的</w:t>
      </w:r>
      <w:r>
        <w:rPr>
          <w:rFonts w:hint="eastAsia" w:ascii="宋体" w:hAnsi="宋体"/>
          <w:sz w:val="28"/>
          <w:szCs w:val="28"/>
          <w:highlight w:val="none"/>
          <w:lang w:val="en-US"/>
        </w:rPr>
        <w:t>2</w:t>
      </w:r>
      <w:r>
        <w:rPr>
          <w:rFonts w:hint="eastAsia" w:ascii="宋体" w:hAnsi="宋体"/>
          <w:sz w:val="28"/>
          <w:szCs w:val="28"/>
          <w:highlight w:val="none"/>
        </w:rPr>
        <w:t>%计算；</w:t>
      </w:r>
    </w:p>
    <w:p>
      <w:pPr>
        <w:spacing w:line="360" w:lineRule="auto"/>
        <w:ind w:firstLine="411" w:firstLineChars="147"/>
        <w:rPr>
          <w:rFonts w:ascii="宋体" w:hAnsi="宋体"/>
          <w:sz w:val="28"/>
          <w:szCs w:val="28"/>
          <w:highlight w:val="none"/>
        </w:rPr>
      </w:pPr>
      <w:r>
        <w:rPr>
          <w:rFonts w:hint="eastAsia" w:ascii="宋体" w:hAnsi="宋体"/>
          <w:sz w:val="28"/>
          <w:szCs w:val="28"/>
          <w:highlight w:val="none"/>
        </w:rPr>
        <w:t>（</w:t>
      </w:r>
      <w:r>
        <w:rPr>
          <w:rFonts w:hint="eastAsia" w:ascii="宋体" w:hAnsi="宋体"/>
          <w:sz w:val="28"/>
          <w:szCs w:val="28"/>
          <w:highlight w:val="none"/>
          <w:lang w:val="en-US"/>
        </w:rPr>
        <w:t>2</w:t>
      </w:r>
      <w:r>
        <w:rPr>
          <w:rFonts w:hint="eastAsia" w:ascii="宋体" w:hAnsi="宋体"/>
          <w:sz w:val="28"/>
          <w:szCs w:val="28"/>
          <w:highlight w:val="none"/>
        </w:rPr>
        <w:t>）工程质量检测费按建筑安装工程造价的0.5%计算；</w:t>
      </w:r>
    </w:p>
    <w:p>
      <w:pPr>
        <w:spacing w:line="360" w:lineRule="auto"/>
        <w:ind w:firstLine="411" w:firstLineChars="147"/>
        <w:rPr>
          <w:rFonts w:hint="eastAsia" w:ascii="宋体" w:hAnsi="宋体"/>
          <w:sz w:val="28"/>
          <w:szCs w:val="28"/>
          <w:highlight w:val="none"/>
          <w:lang w:val="en-US" w:eastAsia="zh-CN"/>
        </w:rPr>
      </w:pPr>
      <w:r>
        <w:rPr>
          <w:rFonts w:hint="eastAsia" w:ascii="宋体" w:hAnsi="宋体"/>
          <w:sz w:val="28"/>
          <w:szCs w:val="28"/>
          <w:highlight w:val="none"/>
        </w:rPr>
        <w:t>（</w:t>
      </w:r>
      <w:r>
        <w:rPr>
          <w:rFonts w:hint="eastAsia" w:ascii="宋体" w:hAnsi="宋体"/>
          <w:sz w:val="28"/>
          <w:szCs w:val="28"/>
          <w:highlight w:val="none"/>
          <w:lang w:val="en-US"/>
        </w:rPr>
        <w:t>3</w:t>
      </w:r>
      <w:r>
        <w:rPr>
          <w:rFonts w:hint="eastAsia" w:ascii="宋体" w:hAnsi="宋体"/>
          <w:sz w:val="28"/>
          <w:szCs w:val="28"/>
          <w:highlight w:val="none"/>
        </w:rPr>
        <w:t>）设计费按建筑安装工程造价的</w:t>
      </w:r>
      <w:r>
        <w:rPr>
          <w:rFonts w:hint="eastAsia" w:ascii="宋体" w:hAnsi="宋体"/>
          <w:sz w:val="28"/>
          <w:szCs w:val="28"/>
          <w:highlight w:val="none"/>
          <w:lang w:val="en-US"/>
        </w:rPr>
        <w:t>5</w:t>
      </w:r>
      <w:r>
        <w:rPr>
          <w:rFonts w:hint="eastAsia" w:ascii="宋体" w:hAnsi="宋体"/>
          <w:sz w:val="28"/>
          <w:szCs w:val="28"/>
          <w:highlight w:val="none"/>
        </w:rPr>
        <w:t>%计算</w:t>
      </w:r>
      <w:r>
        <w:rPr>
          <w:rFonts w:hint="eastAsia" w:ascii="宋体" w:hAnsi="宋体"/>
          <w:sz w:val="28"/>
          <w:szCs w:val="28"/>
          <w:highlight w:val="none"/>
          <w:lang w:val="en-US" w:eastAsia="zh-CN"/>
        </w:rPr>
        <w:t>；</w:t>
      </w:r>
    </w:p>
    <w:p>
      <w:pPr>
        <w:spacing w:line="360" w:lineRule="auto"/>
        <w:ind w:firstLine="411" w:firstLineChars="147"/>
        <w:rPr>
          <w:rFonts w:hint="eastAsia" w:ascii="宋体" w:hAnsi="宋体" w:eastAsia="黑体"/>
          <w:sz w:val="28"/>
          <w:szCs w:val="28"/>
          <w:highlight w:val="none"/>
          <w:lang w:eastAsia="zh-CN"/>
        </w:rPr>
      </w:pPr>
      <w:r>
        <w:rPr>
          <w:rFonts w:hint="eastAsia" w:ascii="宋体" w:hAnsi="宋体"/>
          <w:sz w:val="28"/>
          <w:szCs w:val="28"/>
          <w:highlight w:val="none"/>
        </w:rPr>
        <w:t>（</w:t>
      </w:r>
      <w:r>
        <w:rPr>
          <w:rFonts w:hint="eastAsia" w:ascii="宋体" w:hAnsi="宋体"/>
          <w:sz w:val="28"/>
          <w:szCs w:val="28"/>
          <w:highlight w:val="none"/>
          <w:lang w:val="en-US"/>
        </w:rPr>
        <w:t>4</w:t>
      </w:r>
      <w:r>
        <w:rPr>
          <w:rFonts w:hint="eastAsia" w:ascii="宋体" w:hAnsi="宋体"/>
          <w:sz w:val="28"/>
          <w:szCs w:val="28"/>
          <w:highlight w:val="none"/>
        </w:rPr>
        <w:t>）</w:t>
      </w:r>
      <w:r>
        <w:rPr>
          <w:rFonts w:hint="eastAsia" w:ascii="宋体" w:hAnsi="宋体"/>
          <w:sz w:val="28"/>
          <w:szCs w:val="28"/>
          <w:highlight w:val="none"/>
          <w:lang w:val="en-US" w:eastAsia="zh-CN"/>
        </w:rPr>
        <w:t>招标限价咨询费</w:t>
      </w:r>
      <w:r>
        <w:rPr>
          <w:rFonts w:hint="eastAsia" w:ascii="宋体" w:hAnsi="宋体"/>
          <w:sz w:val="28"/>
          <w:szCs w:val="28"/>
          <w:highlight w:val="none"/>
        </w:rPr>
        <w:t>按</w:t>
      </w:r>
      <w:r>
        <w:rPr>
          <w:rFonts w:hint="eastAsia" w:ascii="宋体" w:hAnsi="宋体"/>
          <w:sz w:val="28"/>
          <w:szCs w:val="28"/>
          <w:highlight w:val="none"/>
          <w:lang w:val="en-US" w:eastAsia="zh-CN"/>
        </w:rPr>
        <w:t>3000元</w:t>
      </w:r>
      <w:r>
        <w:rPr>
          <w:rFonts w:hint="eastAsia" w:ascii="宋体" w:hAnsi="宋体"/>
          <w:sz w:val="28"/>
          <w:szCs w:val="28"/>
          <w:highlight w:val="none"/>
        </w:rPr>
        <w:t>计算</w:t>
      </w:r>
      <w:r>
        <w:rPr>
          <w:rFonts w:hint="eastAsia" w:ascii="宋体" w:hAnsi="宋体"/>
          <w:sz w:val="28"/>
          <w:szCs w:val="28"/>
          <w:highlight w:val="none"/>
          <w:lang w:eastAsia="zh-CN"/>
        </w:rPr>
        <w:t>；</w:t>
      </w:r>
    </w:p>
    <w:p>
      <w:pPr>
        <w:spacing w:line="360" w:lineRule="auto"/>
        <w:ind w:firstLine="411" w:firstLineChars="147"/>
        <w:rPr>
          <w:rFonts w:ascii="宋体" w:hAnsi="宋体"/>
          <w:sz w:val="28"/>
          <w:szCs w:val="28"/>
          <w:highlight w:val="none"/>
        </w:rPr>
      </w:pPr>
      <w:r>
        <w:rPr>
          <w:rFonts w:hint="eastAsia" w:ascii="宋体" w:hAnsi="宋体"/>
          <w:sz w:val="28"/>
          <w:szCs w:val="28"/>
          <w:highlight w:val="none"/>
        </w:rPr>
        <w:t>（</w:t>
      </w:r>
      <w:r>
        <w:rPr>
          <w:rFonts w:hint="eastAsia" w:ascii="宋体" w:hAnsi="宋体"/>
          <w:sz w:val="28"/>
          <w:szCs w:val="28"/>
          <w:highlight w:val="none"/>
          <w:lang w:val="en-US" w:eastAsia="zh-CN"/>
        </w:rPr>
        <w:t>5</w:t>
      </w:r>
      <w:r>
        <w:rPr>
          <w:rFonts w:hint="eastAsia" w:ascii="宋体" w:hAnsi="宋体"/>
          <w:sz w:val="28"/>
          <w:szCs w:val="28"/>
          <w:highlight w:val="none"/>
        </w:rPr>
        <w:t>）工程保险费按一至四部分费用的</w:t>
      </w:r>
      <w:r>
        <w:rPr>
          <w:rFonts w:hint="eastAsia" w:ascii="宋体" w:hAnsi="宋体"/>
          <w:sz w:val="28"/>
          <w:szCs w:val="28"/>
          <w:highlight w:val="none"/>
          <w:lang w:val="en-US"/>
        </w:rPr>
        <w:t>0.</w:t>
      </w:r>
      <w:r>
        <w:rPr>
          <w:rFonts w:hint="eastAsia" w:ascii="宋体" w:hAnsi="宋体"/>
          <w:sz w:val="28"/>
          <w:szCs w:val="28"/>
          <w:highlight w:val="none"/>
          <w:lang w:val="en-US" w:eastAsia="zh-CN"/>
        </w:rPr>
        <w:t>4</w:t>
      </w:r>
      <w:r>
        <w:rPr>
          <w:rFonts w:hint="eastAsia" w:ascii="宋体" w:hAnsi="宋体"/>
          <w:sz w:val="28"/>
          <w:szCs w:val="28"/>
          <w:highlight w:val="none"/>
          <w:lang w:val="en-US"/>
        </w:rPr>
        <w:t>5</w:t>
      </w:r>
      <w:r>
        <w:rPr>
          <w:rFonts w:hint="eastAsia" w:ascii="宋体" w:hAnsi="宋体"/>
          <w:sz w:val="28"/>
          <w:szCs w:val="28"/>
          <w:highlight w:val="none"/>
        </w:rPr>
        <w:t>%计算。</w:t>
      </w:r>
    </w:p>
    <w:p>
      <w:pPr>
        <w:spacing w:line="360" w:lineRule="auto"/>
        <w:outlineLvl w:val="0"/>
        <w:rPr>
          <w:rFonts w:ascii="宋体" w:hAnsi="宋体"/>
          <w:b/>
          <w:sz w:val="28"/>
          <w:szCs w:val="28"/>
          <w:highlight w:val="none"/>
          <w:lang w:val="en-US"/>
        </w:rPr>
      </w:pPr>
      <w:bookmarkStart w:id="0" w:name="_Toc201580055"/>
      <w:bookmarkStart w:id="1" w:name="_Toc308350719"/>
      <w:bookmarkStart w:id="2" w:name="_Toc335318595"/>
      <w:r>
        <w:rPr>
          <w:rFonts w:hint="eastAsia" w:ascii="宋体" w:hAnsi="宋体"/>
          <w:b/>
          <w:sz w:val="28"/>
          <w:szCs w:val="28"/>
          <w:highlight w:val="none"/>
          <w:lang w:val="en-US"/>
        </w:rPr>
        <w:t>（四）工程投资</w:t>
      </w:r>
      <w:bookmarkEnd w:id="0"/>
      <w:bookmarkEnd w:id="1"/>
      <w:bookmarkEnd w:id="2"/>
      <w:r>
        <w:rPr>
          <w:rFonts w:hint="eastAsia" w:ascii="宋体" w:hAnsi="宋体"/>
          <w:b/>
          <w:sz w:val="28"/>
          <w:szCs w:val="28"/>
          <w:highlight w:val="none"/>
          <w:lang w:val="en-US"/>
        </w:rPr>
        <w:t>预算</w:t>
      </w:r>
    </w:p>
    <w:p>
      <w:pPr>
        <w:spacing w:line="360" w:lineRule="auto"/>
        <w:ind w:firstLine="413" w:firstLineChars="147"/>
        <w:rPr>
          <w:rFonts w:hint="eastAsia" w:ascii="宋体" w:hAnsi="宋体"/>
          <w:sz w:val="28"/>
          <w:szCs w:val="28"/>
          <w:highlight w:val="none"/>
          <w:lang w:val="en-US" w:eastAsia="zh-CN"/>
        </w:rPr>
      </w:pPr>
      <w:r>
        <w:rPr>
          <w:rFonts w:hint="eastAsia" w:ascii="宋体" w:hAnsi="宋体"/>
          <w:b/>
          <w:bCs/>
          <w:sz w:val="28"/>
          <w:szCs w:val="28"/>
          <w:highlight w:val="none"/>
          <w:lang w:val="en-US" w:eastAsia="zh-CN"/>
        </w:rPr>
        <w:t>本工程静态总投资16.35万元。其中：建筑工程投资13.75万元，临时工程费0.77万元，独立费用1.83万元</w:t>
      </w:r>
      <w:r>
        <w:rPr>
          <w:rFonts w:hint="eastAsia" w:ascii="宋体" w:hAnsi="宋体"/>
          <w:sz w:val="28"/>
          <w:szCs w:val="28"/>
          <w:highlight w:val="none"/>
          <w:lang w:val="en-US" w:eastAsia="zh-CN"/>
        </w:rPr>
        <w:t>。</w:t>
      </w:r>
    </w:p>
    <w:p>
      <w:pPr>
        <w:spacing w:line="360" w:lineRule="auto"/>
        <w:ind w:firstLine="411" w:firstLineChars="147"/>
        <w:rPr>
          <w:rFonts w:hint="eastAsia" w:ascii="宋体" w:hAnsi="宋体"/>
          <w:sz w:val="28"/>
          <w:szCs w:val="28"/>
          <w:highlight w:val="none"/>
          <w:lang w:val="en-US" w:eastAsia="zh-CN"/>
        </w:rPr>
        <w:sectPr>
          <w:type w:val="continuous"/>
          <w:pgSz w:w="23820" w:h="16850" w:orient="landscape"/>
          <w:pgMar w:top="1600" w:right="1180" w:bottom="1180" w:left="1340" w:header="720" w:footer="720" w:gutter="0"/>
          <w:cols w:equalWidth="0" w:num="2">
            <w:col w:w="10537" w:space="145"/>
            <w:col w:w="10618"/>
          </w:cols>
        </w:sectPr>
      </w:pPr>
      <w:bookmarkStart w:id="3" w:name="_GoBack"/>
      <w:bookmarkEnd w:id="3"/>
    </w:p>
    <w:p>
      <w:pPr>
        <w:pStyle w:val="4"/>
        <w:spacing w:before="3"/>
        <w:rPr>
          <w:sz w:val="22"/>
          <w:highlight w:val="none"/>
        </w:rPr>
      </w:pPr>
    </w:p>
    <w:sectPr>
      <w:pgSz w:w="23820" w:h="16850" w:orient="landscape"/>
      <w:pgMar w:top="1600" w:right="1180" w:bottom="1180" w:left="1340" w:header="0"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4097" o:spid="_x0000_s4097" o:spt="202" type="#_x0000_t202" style="position:absolute;left:0pt;margin-left:600.1pt;margin-top:781.4pt;height:12pt;width:8.5pt;mso-position-horizontal-relative:page;mso-position-vertical-relative:page;z-index:-251657216;mso-width-relative:page;mso-height-relative:page;" filled="f" stroked="f" coordsize="21600,21600" o:gfxdata="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ZaL0l1wAAAA8BAAAPAAAAAAAAAAEAIAAAACIAAABkcnMvZG93bnJldi54bWxQSwECFAAU&#10;AAAACACHTuJAwHURIrkBAABxAwAADgAAAAAAAAABACAAAAAmAQAAZHJzL2Uyb0RvYy54bWxQSwUG&#10;AAAAAAYABgBZAQAAUQUAAAAA&#10;">
          <v:path/>
          <v:fill on="f" focussize="0,0"/>
          <v:stroke on="f" joinstyle="miter"/>
          <v:imagedata o:title=""/>
          <o:lock v:ext="edit"/>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3CBB25"/>
    <w:multiLevelType w:val="singleLevel"/>
    <w:tmpl w:val="8B3CBB25"/>
    <w:lvl w:ilvl="0" w:tentative="0">
      <w:start w:val="1"/>
      <w:numFmt w:val="decimal"/>
      <w:suff w:val="nothing"/>
      <w:lvlText w:val="（%1）"/>
      <w:lvlJc w:val="left"/>
    </w:lvl>
  </w:abstractNum>
  <w:abstractNum w:abstractNumId="1">
    <w:nsid w:val="ACC5752C"/>
    <w:multiLevelType w:val="singleLevel"/>
    <w:tmpl w:val="ACC5752C"/>
    <w:lvl w:ilvl="0" w:tentative="0">
      <w:start w:val="1"/>
      <w:numFmt w:val="decimal"/>
      <w:suff w:val="space"/>
      <w:lvlText w:val="（%1）"/>
      <w:lvlJc w:val="left"/>
    </w:lvl>
  </w:abstractNum>
  <w:abstractNum w:abstractNumId="2">
    <w:nsid w:val="53DE5A08"/>
    <w:multiLevelType w:val="singleLevel"/>
    <w:tmpl w:val="53DE5A08"/>
    <w:lvl w:ilvl="0" w:tentative="0">
      <w:start w:val="2"/>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4"/>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NjU4OTgyZmI4NDVhMDdlNzFiYWFjNDE3NjUxNjU0YjYifQ=="/>
  </w:docVars>
  <w:rsids>
    <w:rsidRoot w:val="00172A27"/>
    <w:rsid w:val="000C0BCF"/>
    <w:rsid w:val="00172A27"/>
    <w:rsid w:val="001C49B9"/>
    <w:rsid w:val="003B4DEE"/>
    <w:rsid w:val="009056D0"/>
    <w:rsid w:val="00A26376"/>
    <w:rsid w:val="04031D25"/>
    <w:rsid w:val="04DC3ACC"/>
    <w:rsid w:val="051554AC"/>
    <w:rsid w:val="07AA3587"/>
    <w:rsid w:val="0ABA6E01"/>
    <w:rsid w:val="0B697C90"/>
    <w:rsid w:val="0D0C2BA7"/>
    <w:rsid w:val="0EB12125"/>
    <w:rsid w:val="0EF107A3"/>
    <w:rsid w:val="135A3833"/>
    <w:rsid w:val="143D1A42"/>
    <w:rsid w:val="18177E28"/>
    <w:rsid w:val="18345AAB"/>
    <w:rsid w:val="19573E8D"/>
    <w:rsid w:val="1DA60D5A"/>
    <w:rsid w:val="1DCE6302"/>
    <w:rsid w:val="217D1940"/>
    <w:rsid w:val="25035758"/>
    <w:rsid w:val="269B5E2C"/>
    <w:rsid w:val="2759405D"/>
    <w:rsid w:val="289B5E8E"/>
    <w:rsid w:val="293E4E3E"/>
    <w:rsid w:val="2A5E2581"/>
    <w:rsid w:val="2A754BDC"/>
    <w:rsid w:val="2A95494B"/>
    <w:rsid w:val="2ACD677C"/>
    <w:rsid w:val="2B256BE2"/>
    <w:rsid w:val="2B6F010E"/>
    <w:rsid w:val="2D2F795E"/>
    <w:rsid w:val="2DCB1BE5"/>
    <w:rsid w:val="2FA001C4"/>
    <w:rsid w:val="316F6F5A"/>
    <w:rsid w:val="34410FC7"/>
    <w:rsid w:val="35350014"/>
    <w:rsid w:val="35D774E2"/>
    <w:rsid w:val="37DE62D8"/>
    <w:rsid w:val="38747797"/>
    <w:rsid w:val="39F24A55"/>
    <w:rsid w:val="3A42539C"/>
    <w:rsid w:val="3B3F0CB7"/>
    <w:rsid w:val="3E1D374E"/>
    <w:rsid w:val="3E6E372E"/>
    <w:rsid w:val="3FFF209A"/>
    <w:rsid w:val="40723A12"/>
    <w:rsid w:val="41205E59"/>
    <w:rsid w:val="42E739C0"/>
    <w:rsid w:val="432235FC"/>
    <w:rsid w:val="43B824BD"/>
    <w:rsid w:val="44217B07"/>
    <w:rsid w:val="44450C84"/>
    <w:rsid w:val="444E0AB4"/>
    <w:rsid w:val="45730AF9"/>
    <w:rsid w:val="47582FC3"/>
    <w:rsid w:val="476152D1"/>
    <w:rsid w:val="4A5B1E59"/>
    <w:rsid w:val="4E29584C"/>
    <w:rsid w:val="4E3A69BA"/>
    <w:rsid w:val="508006BB"/>
    <w:rsid w:val="51C33BB0"/>
    <w:rsid w:val="526813F4"/>
    <w:rsid w:val="550542C8"/>
    <w:rsid w:val="58CA2DC6"/>
    <w:rsid w:val="5D48144D"/>
    <w:rsid w:val="5DA501FB"/>
    <w:rsid w:val="5EB456AB"/>
    <w:rsid w:val="64CD0403"/>
    <w:rsid w:val="675D1132"/>
    <w:rsid w:val="680B5C1C"/>
    <w:rsid w:val="6D2E2791"/>
    <w:rsid w:val="6DFC0FE8"/>
    <w:rsid w:val="6E8B04DB"/>
    <w:rsid w:val="6EBD290D"/>
    <w:rsid w:val="6F225452"/>
    <w:rsid w:val="72D41DB3"/>
    <w:rsid w:val="7499028C"/>
    <w:rsid w:val="7532258C"/>
    <w:rsid w:val="77C066F1"/>
    <w:rsid w:val="79427463"/>
    <w:rsid w:val="7A7C0D95"/>
    <w:rsid w:val="7B4A3CCA"/>
    <w:rsid w:val="7BB65E21"/>
    <w:rsid w:val="7BE62AA8"/>
    <w:rsid w:val="7C7F4B69"/>
    <w:rsid w:val="7C8B40A7"/>
    <w:rsid w:val="7C9E3E7C"/>
    <w:rsid w:val="7CBB0D14"/>
    <w:rsid w:val="7D0D5B4A"/>
    <w:rsid w:val="7E421ACC"/>
    <w:rsid w:val="7FE460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黑体" w:hAnsi="黑体" w:eastAsia="黑体" w:cs="黑体"/>
      <w:sz w:val="22"/>
      <w:szCs w:val="22"/>
      <w:lang w:val="zh-CN" w:eastAsia="zh-CN" w:bidi="zh-CN"/>
    </w:rPr>
  </w:style>
  <w:style w:type="paragraph" w:styleId="2">
    <w:name w:val="heading 1"/>
    <w:basedOn w:val="1"/>
    <w:next w:val="1"/>
    <w:qFormat/>
    <w:uiPriority w:val="1"/>
    <w:pPr>
      <w:ind w:left="8001" w:right="7562"/>
      <w:jc w:val="center"/>
      <w:outlineLvl w:val="0"/>
    </w:pPr>
    <w:rPr>
      <w:sz w:val="30"/>
      <w:szCs w:val="30"/>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rPr>
      <w:sz w:val="28"/>
      <w:szCs w:val="28"/>
    </w:rPr>
  </w:style>
  <w:style w:type="paragraph" w:styleId="5">
    <w:name w:val="Body Text Indent"/>
    <w:basedOn w:val="1"/>
    <w:qFormat/>
    <w:uiPriority w:val="0"/>
    <w:pPr>
      <w:spacing w:after="120" w:line="240" w:lineRule="auto"/>
      <w:ind w:left="420" w:leftChars="200" w:firstLine="0" w:firstLineChars="0"/>
    </w:pPr>
    <w:rPr>
      <w:rFonts w:ascii="Times New Roman" w:hAnsi="Times New Roman"/>
      <w:kern w:val="0"/>
    </w:rPr>
  </w:style>
  <w:style w:type="paragraph" w:styleId="6">
    <w:name w:val="Balloon Text"/>
    <w:basedOn w:val="1"/>
    <w:link w:val="17"/>
    <w:qFormat/>
    <w:uiPriority w:val="0"/>
    <w:rPr>
      <w:sz w:val="18"/>
      <w:szCs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8">
    <w:name w:val="Body Text First Indent 2"/>
    <w:basedOn w:val="5"/>
    <w:qFormat/>
    <w:uiPriority w:val="0"/>
    <w:pPr>
      <w:spacing w:after="120" w:line="240" w:lineRule="auto"/>
      <w:ind w:left="420" w:leftChars="200" w:firstLine="420" w:firstLineChars="2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0"/>
    <w:rPr>
      <w:color w:val="0000FF"/>
      <w:u w:val="single"/>
    </w:r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ind w:left="801" w:hanging="702"/>
    </w:pPr>
  </w:style>
  <w:style w:type="paragraph" w:customStyle="1" w:styleId="15">
    <w:name w:val="Table Paragraph"/>
    <w:basedOn w:val="1"/>
    <w:qFormat/>
    <w:uiPriority w:val="1"/>
  </w:style>
  <w:style w:type="paragraph" w:customStyle="1" w:styleId="16">
    <w:name w:val="纯文本1"/>
    <w:basedOn w:val="1"/>
    <w:qFormat/>
    <w:uiPriority w:val="0"/>
    <w:pPr>
      <w:adjustRightInd w:val="0"/>
      <w:textAlignment w:val="baseline"/>
    </w:pPr>
    <w:rPr>
      <w:rFonts w:ascii="宋体" w:hAnsi="Courier New"/>
      <w:szCs w:val="20"/>
    </w:rPr>
  </w:style>
  <w:style w:type="character" w:customStyle="1" w:styleId="17">
    <w:name w:val="批注框文本 Char"/>
    <w:basedOn w:val="11"/>
    <w:link w:val="6"/>
    <w:qFormat/>
    <w:uiPriority w:val="0"/>
    <w:rPr>
      <w:rFonts w:ascii="黑体" w:hAnsi="黑体" w:eastAsia="黑体" w:cs="黑体"/>
      <w:sz w:val="18"/>
      <w:szCs w:val="18"/>
      <w:lang w:val="zh-CN" w:bidi="zh-CN"/>
    </w:rPr>
  </w:style>
  <w:style w:type="paragraph" w:customStyle="1" w:styleId="18">
    <w:name w:val="1正文"/>
    <w:qFormat/>
    <w:uiPriority w:val="0"/>
    <w:pPr>
      <w:widowControl w:val="0"/>
      <w:spacing w:line="360" w:lineRule="auto"/>
      <w:ind w:firstLine="200" w:firstLineChars="200"/>
    </w:pPr>
    <w:rPr>
      <w:rFonts w:ascii="Times New Roman" w:hAnsi="Times New Roman" w:eastAsia="宋体" w:cs="Times New Roman"/>
      <w:bCs/>
      <w:sz w:val="24"/>
      <w:szCs w:val="44"/>
      <w:lang w:val="en-US" w:eastAsia="zh-CN" w:bidi="ar-SA"/>
    </w:rPr>
  </w:style>
  <w:style w:type="paragraph" w:customStyle="1" w:styleId="19">
    <w:name w:val="正文 样式 小四"/>
    <w:basedOn w:val="1"/>
    <w:qFormat/>
    <w:uiPriority w:val="0"/>
    <w:pPr>
      <w:spacing w:line="360" w:lineRule="auto"/>
      <w:ind w:firstLine="200" w:firstLineChars="200"/>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Pages>
  <Words>4803</Words>
  <Characters>5462</Characters>
  <Lines>51</Lines>
  <Paragraphs>14</Paragraphs>
  <TotalTime>14</TotalTime>
  <ScaleCrop>false</ScaleCrop>
  <LinksUpToDate>false</LinksUpToDate>
  <CharactersWithSpaces>5662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2021-02-25T01:59:00Z</dcterms:created>
  <dc:creator>赵仕勇</dc:creator>
  <cp:lastModifiedBy>李明燕</cp:lastModifiedBy>
  <dcterms:modified xsi:type="dcterms:W3CDTF">2023-11-10T08:50:26Z</dcterms:modified>
  <dc:title>重庆市酉阳县胜利水库除险加固工程施工设计</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2020-08-12T00:00:00Z</vt:filetime>
  </property>
  <property fmtid="{D5CDD505-2E9C-101B-9397-08002B2CF9AE}" pid="3" name="Creator">
    <vt:lpwstr>Microsoft? Office Word 2007</vt:lpwstr>
  </property>
  <property fmtid="{D5CDD505-2E9C-101B-9397-08002B2CF9AE}" pid="4" name="LastSaved">
    <vt:filetime>2021-02-25T00:00:00Z</vt:filetime>
  </property>
  <property fmtid="{D5CDD505-2E9C-101B-9397-08002B2CF9AE}" pid="5" name="KSOProductBuildVer">
    <vt:lpwstr>2052-12.1.0.15712</vt:lpwstr>
  </property>
  <property fmtid="{D5CDD505-2E9C-101B-9397-08002B2CF9AE}" pid="6" name="ICV">
    <vt:lpwstr>FFE97D9262554DE0B5479D5292301CC9</vt:lpwstr>
  </property>
</Properties>
</file>