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jc w:val="center"/>
        <w:outlineLvl w:val="9"/>
        <w:rPr>
          <w:rStyle w:val="63"/>
          <w:rFonts w:hint="eastAsia" w:ascii="宋体" w:hAnsi="宋体" w:eastAsia="宋体" w:cs="宋体"/>
          <w:b w:val="0"/>
          <w:bCs/>
          <w:color w:val="auto"/>
          <w:kern w:val="2"/>
          <w:sz w:val="44"/>
          <w:szCs w:val="44"/>
          <w:highlight w:val="none"/>
          <w:u w:val="none" w:color="000000"/>
          <w:lang w:val="en-US" w:eastAsia="zh-CN" w:bidi="ar-SA"/>
        </w:rPr>
      </w:pPr>
      <w:r>
        <w:rPr>
          <w:rStyle w:val="63"/>
          <w:rFonts w:hint="eastAsia" w:ascii="宋体" w:hAnsi="宋体" w:eastAsia="宋体" w:cs="宋体"/>
          <w:b w:val="0"/>
          <w:bCs/>
          <w:color w:val="auto"/>
          <w:kern w:val="2"/>
          <w:sz w:val="44"/>
          <w:szCs w:val="44"/>
          <w:highlight w:val="none"/>
          <w:u w:val="none" w:color="000000"/>
          <w:lang w:val="en-US" w:eastAsia="zh-CN" w:bidi="ar-SA"/>
        </w:rPr>
        <w:t>璧山新材料产业园项目一期工程电力建设工程</w:t>
      </w:r>
    </w:p>
    <w:p>
      <w:pPr>
        <w:spacing w:line="360" w:lineRule="auto"/>
        <w:jc w:val="center"/>
        <w:outlineLvl w:val="9"/>
        <w:rPr>
          <w:rFonts w:hint="eastAsia" w:ascii="宋体" w:hAnsi="宋体" w:eastAsia="宋体" w:cs="宋体"/>
          <w:color w:val="auto"/>
          <w:sz w:val="72"/>
          <w:szCs w:val="72"/>
          <w:highlight w:val="none"/>
        </w:rPr>
      </w:pPr>
    </w:p>
    <w:p>
      <w:pPr>
        <w:rPr>
          <w:rFonts w:hint="eastAsia" w:ascii="宋体" w:hAnsi="宋体" w:eastAsia="宋体" w:cs="宋体"/>
          <w:color w:val="auto"/>
          <w:highlight w:val="none"/>
        </w:rPr>
      </w:pPr>
    </w:p>
    <w:p>
      <w:pPr>
        <w:spacing w:line="360" w:lineRule="auto"/>
        <w:jc w:val="center"/>
        <w:outlineLvl w:val="9"/>
        <w:rPr>
          <w:rFonts w:hint="eastAsia" w:ascii="宋体" w:hAnsi="宋体" w:eastAsia="宋体" w:cs="宋体"/>
          <w:color w:val="auto"/>
          <w:spacing w:val="80"/>
          <w:sz w:val="144"/>
          <w:szCs w:val="144"/>
          <w:highlight w:val="none"/>
        </w:rPr>
      </w:pPr>
      <w:r>
        <w:rPr>
          <w:rFonts w:hint="eastAsia" w:ascii="宋体" w:hAnsi="宋体" w:eastAsia="宋体" w:cs="宋体"/>
          <w:color w:val="auto"/>
          <w:spacing w:val="80"/>
          <w:sz w:val="144"/>
          <w:szCs w:val="144"/>
          <w:highlight w:val="none"/>
        </w:rPr>
        <w:t>竞争性磋商</w:t>
      </w:r>
    </w:p>
    <w:p>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pacing w:val="80"/>
          <w:sz w:val="144"/>
          <w:szCs w:val="144"/>
          <w:highlight w:val="none"/>
        </w:rPr>
        <w:t>文件</w:t>
      </w:r>
    </w:p>
    <w:p>
      <w:pPr>
        <w:pStyle w:val="5"/>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360" w:lineRule="auto"/>
        <w:jc w:val="left"/>
        <w:outlineLvl w:val="9"/>
        <w:rPr>
          <w:rFonts w:hint="eastAsia" w:ascii="宋体" w:hAnsi="宋体" w:eastAsia="宋体" w:cs="宋体"/>
          <w:color w:val="auto"/>
          <w:sz w:val="36"/>
          <w:szCs w:val="36"/>
          <w:highlight w:val="none"/>
          <w:lang w:eastAsia="zh-CN"/>
        </w:rPr>
      </w:pPr>
      <w:r>
        <w:rPr>
          <w:rFonts w:hint="eastAsia" w:ascii="宋体" w:hAnsi="宋体" w:eastAsia="宋体" w:cs="宋体"/>
          <w:color w:val="auto"/>
          <w:sz w:val="36"/>
          <w:szCs w:val="36"/>
          <w:highlight w:val="none"/>
        </w:rPr>
        <w:t>采</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购</w:t>
      </w:r>
      <w:r>
        <w:rPr>
          <w:rFonts w:hint="eastAsia" w:ascii="宋体" w:hAnsi="宋体" w:eastAsia="宋体" w:cs="宋体"/>
          <w:color w:val="auto"/>
          <w:sz w:val="36"/>
          <w:szCs w:val="36"/>
          <w:highlight w:val="none"/>
          <w:lang w:val="en-US" w:eastAsia="zh-CN"/>
        </w:rPr>
        <w:t xml:space="preserve"> </w:t>
      </w:r>
      <w:r>
        <w:rPr>
          <w:rFonts w:hint="eastAsia" w:ascii="宋体" w:hAnsi="宋体" w:eastAsia="宋体" w:cs="宋体"/>
          <w:color w:val="auto"/>
          <w:sz w:val="36"/>
          <w:szCs w:val="36"/>
          <w:highlight w:val="none"/>
        </w:rPr>
        <w:t>人：</w:t>
      </w:r>
      <w:r>
        <w:rPr>
          <w:rFonts w:hint="eastAsia" w:ascii="宋体" w:hAnsi="宋体" w:eastAsia="宋体" w:cs="宋体"/>
          <w:color w:val="auto"/>
          <w:sz w:val="36"/>
          <w:szCs w:val="36"/>
          <w:highlight w:val="none"/>
          <w:lang w:eastAsia="zh-CN"/>
        </w:rPr>
        <w:t>重庆两山建设开发有限公司</w:t>
      </w:r>
    </w:p>
    <w:p>
      <w:pPr>
        <w:spacing w:line="360" w:lineRule="auto"/>
        <w:jc w:val="left"/>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lang w:eastAsia="zh-CN"/>
        </w:rPr>
        <w:t>采购代理机构</w:t>
      </w:r>
      <w:r>
        <w:rPr>
          <w:rFonts w:hint="eastAsia" w:ascii="宋体" w:hAnsi="宋体" w:eastAsia="宋体" w:cs="宋体"/>
          <w:color w:val="auto"/>
          <w:sz w:val="36"/>
          <w:szCs w:val="36"/>
          <w:highlight w:val="none"/>
        </w:rPr>
        <w:t>：</w:t>
      </w:r>
      <w:r>
        <w:rPr>
          <w:rFonts w:hint="eastAsia" w:ascii="宋体" w:hAnsi="宋体" w:eastAsia="宋体" w:cs="宋体"/>
          <w:color w:val="auto"/>
          <w:sz w:val="36"/>
          <w:szCs w:val="36"/>
          <w:highlight w:val="none"/>
          <w:lang w:eastAsia="zh-CN"/>
        </w:rPr>
        <w:t>河南恒业工程咨询有限公司</w:t>
      </w:r>
      <w:r>
        <w:rPr>
          <w:rFonts w:hint="eastAsia" w:ascii="宋体" w:hAnsi="宋体" w:eastAsia="宋体" w:cs="宋体"/>
          <w:color w:val="auto"/>
          <w:sz w:val="36"/>
          <w:szCs w:val="36"/>
          <w:highlight w:val="none"/>
        </w:rPr>
        <w:t xml:space="preserve"> </w:t>
      </w:r>
    </w:p>
    <w:p>
      <w:pPr>
        <w:spacing w:line="360" w:lineRule="auto"/>
        <w:ind w:firstLine="1749" w:firstLineChars="486"/>
        <w:outlineLvl w:val="9"/>
        <w:rPr>
          <w:rFonts w:hint="eastAsia" w:ascii="宋体" w:hAnsi="宋体" w:eastAsia="宋体" w:cs="宋体"/>
          <w:color w:val="auto"/>
          <w:sz w:val="36"/>
          <w:szCs w:val="36"/>
          <w:highlight w:val="none"/>
        </w:rPr>
      </w:pPr>
    </w:p>
    <w:p>
      <w:pPr>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36"/>
          <w:szCs w:val="36"/>
          <w:highlight w:val="none"/>
        </w:rPr>
        <w:t>二〇二</w:t>
      </w:r>
      <w:r>
        <w:rPr>
          <w:rFonts w:hint="eastAsia" w:ascii="宋体" w:hAnsi="宋体" w:eastAsia="宋体" w:cs="宋体"/>
          <w:color w:val="auto"/>
          <w:sz w:val="36"/>
          <w:szCs w:val="36"/>
          <w:highlight w:val="none"/>
          <w:lang w:val="en-US" w:eastAsia="zh-CN"/>
        </w:rPr>
        <w:t>四</w:t>
      </w:r>
      <w:r>
        <w:rPr>
          <w:rFonts w:hint="eastAsia" w:ascii="宋体" w:hAnsi="宋体" w:eastAsia="宋体" w:cs="宋体"/>
          <w:color w:val="auto"/>
          <w:sz w:val="36"/>
          <w:szCs w:val="36"/>
          <w:highlight w:val="none"/>
        </w:rPr>
        <w:t>年</w:t>
      </w:r>
      <w:r>
        <w:rPr>
          <w:rFonts w:hint="eastAsia" w:ascii="宋体" w:hAnsi="宋体" w:eastAsia="宋体" w:cs="宋体"/>
          <w:color w:val="auto"/>
          <w:sz w:val="36"/>
          <w:szCs w:val="36"/>
          <w:highlight w:val="none"/>
          <w:lang w:val="en-US" w:eastAsia="zh-CN"/>
        </w:rPr>
        <w:t>六</w:t>
      </w:r>
      <w:r>
        <w:rPr>
          <w:rFonts w:hint="eastAsia" w:ascii="宋体" w:hAnsi="宋体" w:eastAsia="宋体" w:cs="宋体"/>
          <w:color w:val="auto"/>
          <w:sz w:val="36"/>
          <w:szCs w:val="36"/>
          <w:highlight w:val="none"/>
        </w:rPr>
        <w:t>月</w:t>
      </w:r>
    </w:p>
    <w:p>
      <w:pPr>
        <w:spacing w:line="360" w:lineRule="auto"/>
        <w:outlineLvl w:val="9"/>
        <w:rPr>
          <w:rFonts w:hint="eastAsia" w:ascii="宋体" w:hAnsi="宋体" w:eastAsia="宋体" w:cs="宋体"/>
          <w:color w:val="auto"/>
          <w:sz w:val="24"/>
          <w:szCs w:val="24"/>
          <w:highlight w:val="none"/>
        </w:rPr>
        <w:sectPr>
          <w:headerReference r:id="rId4" w:type="first"/>
          <w:footerReference r:id="rId6" w:type="first"/>
          <w:headerReference r:id="rId3" w:type="default"/>
          <w:footerReference r:id="rId5" w:type="even"/>
          <w:pgSz w:w="11905" w:h="16838"/>
          <w:pgMar w:top="850" w:right="850" w:bottom="1134" w:left="1304" w:header="0" w:footer="0" w:gutter="0"/>
          <w:pgNumType w:fmt="numberInDash" w:start="1"/>
          <w:cols w:space="0" w:num="1"/>
          <w:rtlGutter w:val="0"/>
          <w:docGrid w:linePitch="380" w:charSpace="0"/>
        </w:sectPr>
      </w:pPr>
    </w:p>
    <w:p>
      <w:pPr>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sz w:val="44"/>
          <w:szCs w:val="44"/>
          <w:highlight w:val="none"/>
        </w:rPr>
        <w:t>目   录</w:t>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TOC \o "1-3" \h \u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_Toc2051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sz w:val="28"/>
          <w:szCs w:val="32"/>
          <w:highlight w:val="none"/>
        </w:rPr>
        <w:t>第一篇  采购邀请书</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_Toc2051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2</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_Toc6176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一、竞争性磋商内容</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_Toc6176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_Toc2025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二、资金来源</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_Toc2025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_Toc15200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三、供应商资格条件</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_Toc15200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2</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_Toc12020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四、磋商有关说明</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_Toc12020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3</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2"/>
          <w:highlight w:val="none"/>
          <w:lang w:val="en-US" w:eastAsia="zh-CN"/>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_Toc9985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lang w:val="en-US" w:eastAsia="zh-CN"/>
        </w:rPr>
        <w:t>五</w:t>
      </w:r>
      <w:r>
        <w:rPr>
          <w:rFonts w:hint="eastAsia" w:ascii="宋体" w:hAnsi="宋体" w:eastAsia="宋体" w:cs="宋体"/>
          <w:color w:val="auto"/>
          <w:sz w:val="24"/>
          <w:szCs w:val="22"/>
          <w:highlight w:val="none"/>
        </w:rPr>
        <w:t>、</w:t>
      </w:r>
      <w:r>
        <w:rPr>
          <w:rFonts w:hint="eastAsia" w:ascii="宋体" w:hAnsi="宋体" w:eastAsia="宋体" w:cs="宋体"/>
          <w:color w:val="auto"/>
          <w:sz w:val="24"/>
          <w:szCs w:val="22"/>
          <w:highlight w:val="none"/>
          <w:lang w:val="en-US" w:eastAsia="zh-CN"/>
        </w:rPr>
        <w:t>磋商保证金</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_Toc9985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3</w:t>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22"/>
          <w:highlight w:val="none"/>
          <w:lang w:val="en-US" w:eastAsia="zh-CN"/>
        </w:rPr>
        <w:t>六、</w:t>
      </w:r>
      <w:r>
        <w:rPr>
          <w:rFonts w:hint="eastAsia" w:ascii="宋体" w:hAnsi="宋体" w:eastAsia="宋体" w:cs="宋体"/>
          <w:color w:val="auto"/>
          <w:sz w:val="24"/>
          <w:szCs w:val="22"/>
          <w:highlight w:val="none"/>
        </w:rPr>
        <w:t>其它有关规定</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_Toc9985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3</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_Toc4205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lang w:eastAsia="zh-CN"/>
        </w:rPr>
        <w:t>七</w:t>
      </w:r>
      <w:r>
        <w:rPr>
          <w:rFonts w:hint="eastAsia" w:ascii="宋体" w:hAnsi="宋体" w:eastAsia="宋体" w:cs="宋体"/>
          <w:color w:val="auto"/>
          <w:sz w:val="24"/>
          <w:szCs w:val="22"/>
          <w:highlight w:val="none"/>
        </w:rPr>
        <w:t>、联系方式</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_Toc4205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4</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_Toc16800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sz w:val="28"/>
          <w:szCs w:val="32"/>
          <w:highlight w:val="none"/>
        </w:rPr>
        <w:t>第二篇  采购</w:t>
      </w:r>
      <w:r>
        <w:rPr>
          <w:rFonts w:hint="eastAsia" w:ascii="宋体" w:hAnsi="宋体" w:eastAsia="宋体" w:cs="宋体"/>
          <w:bCs/>
          <w:color w:val="auto"/>
          <w:sz w:val="28"/>
          <w:szCs w:val="32"/>
          <w:highlight w:val="none"/>
          <w:lang w:eastAsia="zh-CN"/>
        </w:rPr>
        <w:t>技术</w:t>
      </w:r>
      <w:r>
        <w:rPr>
          <w:rFonts w:hint="eastAsia" w:ascii="宋体" w:hAnsi="宋体" w:eastAsia="宋体" w:cs="宋体"/>
          <w:bCs/>
          <w:color w:val="auto"/>
          <w:sz w:val="28"/>
          <w:szCs w:val="32"/>
          <w:highlight w:val="none"/>
        </w:rPr>
        <w:t>需求</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_Toc16800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5</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_Toc32529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snapToGrid w:val="0"/>
          <w:color w:val="auto"/>
          <w:kern w:val="0"/>
          <w:sz w:val="24"/>
          <w:szCs w:val="24"/>
          <w:highlight w:val="none"/>
          <w:lang w:val="zh-TW" w:eastAsia="zh-CN"/>
        </w:rPr>
        <w:t>一</w:t>
      </w:r>
      <w:r>
        <w:rPr>
          <w:rFonts w:hint="eastAsia" w:ascii="宋体" w:hAnsi="宋体" w:eastAsia="宋体" w:cs="宋体"/>
          <w:bCs w:val="0"/>
          <w:snapToGrid w:val="0"/>
          <w:color w:val="auto"/>
          <w:kern w:val="0"/>
          <w:sz w:val="24"/>
          <w:szCs w:val="24"/>
          <w:highlight w:val="none"/>
          <w:lang w:val="zh-TW"/>
        </w:rPr>
        <w:t>、项目</w:t>
      </w:r>
      <w:r>
        <w:rPr>
          <w:rFonts w:hint="eastAsia" w:ascii="宋体" w:hAnsi="宋体" w:eastAsia="宋体" w:cs="宋体"/>
          <w:bCs w:val="0"/>
          <w:snapToGrid w:val="0"/>
          <w:color w:val="auto"/>
          <w:kern w:val="0"/>
          <w:sz w:val="24"/>
          <w:szCs w:val="24"/>
          <w:highlight w:val="none"/>
          <w:lang w:val="zh-TW" w:eastAsia="zh-CN"/>
        </w:rPr>
        <w:t>概况</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_Toc32529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5</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_Toc18257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snapToGrid w:val="0"/>
          <w:color w:val="auto"/>
          <w:kern w:val="0"/>
          <w:sz w:val="24"/>
          <w:szCs w:val="24"/>
          <w:highlight w:val="none"/>
          <w:lang w:val="zh-TW" w:eastAsia="zh-CN"/>
        </w:rPr>
        <w:t>二</w:t>
      </w:r>
      <w:r>
        <w:rPr>
          <w:rFonts w:hint="eastAsia" w:ascii="宋体" w:hAnsi="宋体" w:eastAsia="宋体" w:cs="宋体"/>
          <w:bCs w:val="0"/>
          <w:snapToGrid w:val="0"/>
          <w:color w:val="auto"/>
          <w:kern w:val="0"/>
          <w:sz w:val="24"/>
          <w:szCs w:val="24"/>
          <w:highlight w:val="none"/>
          <w:lang w:val="zh-TW"/>
        </w:rPr>
        <w:t>、</w:t>
      </w:r>
      <w:r>
        <w:rPr>
          <w:rFonts w:hint="eastAsia" w:ascii="宋体" w:hAnsi="宋体" w:eastAsia="宋体" w:cs="宋体"/>
          <w:bCs w:val="0"/>
          <w:snapToGrid w:val="0"/>
          <w:color w:val="auto"/>
          <w:kern w:val="0"/>
          <w:sz w:val="24"/>
          <w:szCs w:val="24"/>
          <w:highlight w:val="none"/>
          <w:lang w:val="zh-TW" w:eastAsia="zh-CN"/>
        </w:rPr>
        <w:t>实施要求</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_Toc18257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5</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_Toc20934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sz w:val="28"/>
          <w:szCs w:val="32"/>
          <w:highlight w:val="none"/>
        </w:rPr>
        <w:t>第三篇  采购商务需求</w:t>
      </w:r>
      <w:r>
        <w:rPr>
          <w:rFonts w:hint="eastAsia" w:ascii="宋体" w:hAnsi="宋体" w:eastAsia="宋体" w:cs="宋体"/>
          <w:color w:val="auto"/>
          <w:sz w:val="28"/>
          <w:szCs w:val="18"/>
          <w:highlight w:val="none"/>
        </w:rPr>
        <w:tab/>
      </w:r>
      <w:r>
        <w:rPr>
          <w:rFonts w:hint="eastAsia" w:ascii="宋体" w:hAnsi="宋体" w:cs="宋体"/>
          <w:color w:val="auto"/>
          <w:sz w:val="28"/>
          <w:szCs w:val="18"/>
          <w:highlight w:val="none"/>
          <w:lang w:val="en-US" w:eastAsia="zh-CN"/>
        </w:rPr>
        <w:t>7</w:t>
      </w:r>
      <w:r>
        <w:rPr>
          <w:rFonts w:hint="eastAsia" w:ascii="宋体" w:hAnsi="宋体" w:eastAsia="宋体" w:cs="宋体"/>
          <w:color w:val="auto"/>
          <w:sz w:val="28"/>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_Toc6655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rPr>
        <w:t>一、</w:t>
      </w:r>
      <w:r>
        <w:rPr>
          <w:rFonts w:hint="eastAsia" w:ascii="宋体" w:hAnsi="宋体" w:eastAsia="宋体" w:cs="宋体"/>
          <w:bCs w:val="0"/>
          <w:color w:val="auto"/>
          <w:sz w:val="24"/>
          <w:szCs w:val="21"/>
          <w:highlight w:val="none"/>
        </w:rPr>
        <w:t>★</w:t>
      </w:r>
      <w:r>
        <w:rPr>
          <w:rFonts w:hint="eastAsia" w:ascii="宋体" w:hAnsi="宋体" w:eastAsia="宋体" w:cs="宋体"/>
          <w:bCs w:val="0"/>
          <w:color w:val="auto"/>
          <w:sz w:val="24"/>
          <w:szCs w:val="21"/>
          <w:highlight w:val="none"/>
          <w:lang w:eastAsia="zh-CN"/>
        </w:rPr>
        <w:t>工期</w:t>
      </w:r>
      <w:r>
        <w:rPr>
          <w:rFonts w:hint="eastAsia" w:ascii="宋体" w:hAnsi="宋体" w:eastAsia="宋体" w:cs="宋体"/>
          <w:bCs w:val="0"/>
          <w:color w:val="auto"/>
          <w:sz w:val="24"/>
          <w:szCs w:val="22"/>
          <w:highlight w:val="none"/>
        </w:rPr>
        <w:t>、</w:t>
      </w:r>
      <w:r>
        <w:rPr>
          <w:rFonts w:hint="eastAsia" w:ascii="宋体" w:hAnsi="宋体" w:eastAsia="宋体" w:cs="宋体"/>
          <w:bCs w:val="0"/>
          <w:color w:val="auto"/>
          <w:sz w:val="24"/>
          <w:szCs w:val="22"/>
          <w:highlight w:val="none"/>
          <w:lang w:eastAsia="zh-CN"/>
        </w:rPr>
        <w:t>建设</w:t>
      </w:r>
      <w:r>
        <w:rPr>
          <w:rFonts w:hint="eastAsia" w:ascii="宋体" w:hAnsi="宋体" w:eastAsia="宋体" w:cs="宋体"/>
          <w:bCs w:val="0"/>
          <w:color w:val="auto"/>
          <w:sz w:val="24"/>
          <w:szCs w:val="22"/>
          <w:highlight w:val="none"/>
        </w:rPr>
        <w:t>地点</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7</w:t>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_Toc5882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rPr>
        <w:t>二、</w:t>
      </w:r>
      <w:r>
        <w:rPr>
          <w:rFonts w:hint="eastAsia" w:ascii="宋体" w:hAnsi="宋体" w:eastAsia="宋体" w:cs="宋体"/>
          <w:bCs w:val="0"/>
          <w:color w:val="auto"/>
          <w:sz w:val="24"/>
          <w:szCs w:val="21"/>
          <w:highlight w:val="none"/>
        </w:rPr>
        <w:t>★</w:t>
      </w:r>
      <w:r>
        <w:rPr>
          <w:rFonts w:hint="eastAsia" w:ascii="宋体" w:hAnsi="宋体" w:eastAsia="宋体" w:cs="宋体"/>
          <w:bCs w:val="0"/>
          <w:color w:val="auto"/>
          <w:sz w:val="24"/>
          <w:szCs w:val="22"/>
          <w:highlight w:val="none"/>
        </w:rPr>
        <w:t>报价</w:t>
      </w:r>
      <w:r>
        <w:rPr>
          <w:rFonts w:hint="eastAsia" w:ascii="宋体" w:hAnsi="宋体" w:cs="宋体"/>
          <w:bCs w:val="0"/>
          <w:color w:val="auto"/>
          <w:sz w:val="24"/>
          <w:szCs w:val="22"/>
          <w:highlight w:val="none"/>
          <w:lang w:val="en-US" w:eastAsia="zh-CN"/>
        </w:rPr>
        <w:t>要求</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7</w:t>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_Toc14790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lang w:val="zh-CN" w:eastAsia="zh-CN"/>
        </w:rPr>
        <w:t>三、</w:t>
      </w:r>
      <w:r>
        <w:rPr>
          <w:rFonts w:hint="eastAsia" w:ascii="宋体" w:hAnsi="宋体" w:eastAsia="宋体" w:cs="宋体"/>
          <w:bCs w:val="0"/>
          <w:color w:val="auto"/>
          <w:sz w:val="24"/>
          <w:szCs w:val="21"/>
          <w:highlight w:val="none"/>
        </w:rPr>
        <w:t>★</w:t>
      </w:r>
      <w:r>
        <w:rPr>
          <w:rFonts w:hint="eastAsia" w:ascii="宋体" w:hAnsi="宋体" w:eastAsia="宋体" w:cs="宋体"/>
          <w:bCs w:val="0"/>
          <w:color w:val="auto"/>
          <w:sz w:val="24"/>
          <w:szCs w:val="22"/>
          <w:highlight w:val="none"/>
          <w:lang w:val="zh-CN" w:eastAsia="zh-CN"/>
        </w:rPr>
        <w:t>工程结算</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7</w:t>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_Toc29728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lang w:val="zh-CN" w:eastAsia="zh-CN"/>
        </w:rPr>
        <w:t>四、</w:t>
      </w:r>
      <w:r>
        <w:rPr>
          <w:rFonts w:hint="eastAsia" w:ascii="宋体" w:hAnsi="宋体" w:eastAsia="宋体" w:cs="宋体"/>
          <w:bCs w:val="0"/>
          <w:color w:val="auto"/>
          <w:sz w:val="24"/>
          <w:szCs w:val="21"/>
          <w:highlight w:val="none"/>
        </w:rPr>
        <w:t>★</w:t>
      </w:r>
      <w:r>
        <w:rPr>
          <w:rFonts w:hint="eastAsia" w:ascii="宋体" w:hAnsi="宋体" w:eastAsia="宋体" w:cs="宋体"/>
          <w:bCs w:val="0"/>
          <w:color w:val="auto"/>
          <w:sz w:val="24"/>
          <w:szCs w:val="22"/>
          <w:highlight w:val="none"/>
          <w:lang w:val="zh-CN" w:eastAsia="zh-CN"/>
        </w:rPr>
        <w:t>履约担保</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_Toc29728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10</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_Toc19719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lang w:val="zh-CN" w:eastAsia="zh-CN"/>
        </w:rPr>
        <w:t>五、</w:t>
      </w:r>
      <w:r>
        <w:rPr>
          <w:rFonts w:hint="eastAsia" w:ascii="宋体" w:hAnsi="宋体" w:eastAsia="宋体" w:cs="宋体"/>
          <w:bCs w:val="0"/>
          <w:color w:val="auto"/>
          <w:sz w:val="24"/>
          <w:szCs w:val="21"/>
          <w:highlight w:val="none"/>
        </w:rPr>
        <w:t>★</w:t>
      </w:r>
      <w:r>
        <w:rPr>
          <w:rFonts w:hint="eastAsia" w:ascii="宋体" w:hAnsi="宋体" w:eastAsia="宋体" w:cs="宋体"/>
          <w:bCs w:val="0"/>
          <w:color w:val="auto"/>
          <w:sz w:val="24"/>
          <w:szCs w:val="22"/>
          <w:highlight w:val="none"/>
          <w:lang w:val="zh-CN" w:eastAsia="zh-CN"/>
        </w:rPr>
        <w:t>工程款支付</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_Toc19719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10</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_Toc6625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lang w:eastAsia="zh-CN"/>
        </w:rPr>
        <w:t>六</w:t>
      </w:r>
      <w:r>
        <w:rPr>
          <w:rFonts w:hint="eastAsia" w:ascii="宋体" w:hAnsi="宋体" w:eastAsia="宋体" w:cs="宋体"/>
          <w:bCs w:val="0"/>
          <w:color w:val="auto"/>
          <w:sz w:val="24"/>
          <w:szCs w:val="22"/>
          <w:highlight w:val="none"/>
        </w:rPr>
        <w:t>、</w:t>
      </w:r>
      <w:r>
        <w:rPr>
          <w:rFonts w:hint="eastAsia" w:ascii="宋体" w:hAnsi="宋体" w:eastAsia="宋体" w:cs="宋体"/>
          <w:bCs w:val="0"/>
          <w:color w:val="auto"/>
          <w:sz w:val="24"/>
          <w:szCs w:val="21"/>
          <w:highlight w:val="none"/>
        </w:rPr>
        <w:t>★</w:t>
      </w:r>
      <w:r>
        <w:rPr>
          <w:rFonts w:hint="eastAsia" w:ascii="宋体" w:hAnsi="宋体" w:eastAsia="宋体" w:cs="宋体"/>
          <w:bCs w:val="0"/>
          <w:color w:val="auto"/>
          <w:sz w:val="24"/>
          <w:szCs w:val="22"/>
          <w:highlight w:val="none"/>
        </w:rPr>
        <w:t>知识产权</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_Toc6625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10</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_Toc7760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lang w:eastAsia="zh-CN"/>
        </w:rPr>
        <w:t>七</w:t>
      </w:r>
      <w:r>
        <w:rPr>
          <w:rFonts w:hint="eastAsia" w:ascii="宋体" w:hAnsi="宋体" w:eastAsia="宋体" w:cs="宋体"/>
          <w:bCs w:val="0"/>
          <w:color w:val="auto"/>
          <w:sz w:val="24"/>
          <w:szCs w:val="22"/>
          <w:highlight w:val="none"/>
        </w:rPr>
        <w:t>、其他</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_Toc7760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10</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_Toc15097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sz w:val="28"/>
          <w:szCs w:val="32"/>
          <w:highlight w:val="none"/>
          <w:lang w:val="en-US" w:eastAsia="zh-CN"/>
        </w:rPr>
        <w:t>第四篇  磋商程序及方法、评审标准、无效响应和采购终止</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_Toc15097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11</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498" w:leftChars="0" w:hanging="498" w:hangingChars="178"/>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lang w:val="en-US" w:eastAsia="zh-CN"/>
        </w:rPr>
        <w:t xml:space="preserve">   </w:t>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_Toc26188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val="0"/>
          <w:color w:val="auto"/>
          <w:kern w:val="2"/>
          <w:sz w:val="24"/>
          <w:szCs w:val="22"/>
          <w:highlight w:val="none"/>
          <w:lang w:val="en-US" w:eastAsia="zh-CN" w:bidi="ar-SA"/>
        </w:rPr>
        <w:t>一、磋商程序及方法</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_Toc26188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11</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498" w:leftChars="0" w:hanging="498" w:hangingChars="178"/>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lang w:val="en-US" w:eastAsia="zh-CN"/>
        </w:rPr>
        <w:t xml:space="preserve">  </w:t>
      </w:r>
      <w:r>
        <w:rPr>
          <w:rFonts w:hint="eastAsia" w:ascii="宋体" w:hAnsi="宋体" w:cs="宋体"/>
          <w:color w:val="auto"/>
          <w:sz w:val="28"/>
          <w:szCs w:val="18"/>
          <w:highlight w:val="none"/>
          <w:lang w:val="en-US" w:eastAsia="zh-CN"/>
        </w:rPr>
        <w:t xml:space="preserve"> </w:t>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_Toc8921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val="0"/>
          <w:color w:val="auto"/>
          <w:kern w:val="2"/>
          <w:sz w:val="24"/>
          <w:szCs w:val="22"/>
          <w:highlight w:val="none"/>
          <w:lang w:val="en-US" w:eastAsia="zh-CN" w:bidi="ar-SA"/>
        </w:rPr>
        <w:t>二、评审标准</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_Toc8921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14</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ind w:left="0" w:leftChars="0" w:firstLine="559" w:firstLineChars="233"/>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_Toc10832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kern w:val="2"/>
          <w:sz w:val="24"/>
          <w:szCs w:val="22"/>
          <w:highlight w:val="none"/>
          <w:lang w:val="en-US" w:eastAsia="zh-CN" w:bidi="ar-SA"/>
        </w:rPr>
        <w:t>三、无效响应</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_Toc10832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15</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_Toc12934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sz w:val="28"/>
          <w:szCs w:val="32"/>
          <w:highlight w:val="none"/>
        </w:rPr>
        <w:t>第五篇  供应商须知</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_Toc12934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17</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_Toc31813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一、磋商费用</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_Toc31813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17</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_Toc32081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二、竞争性磋商文件</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_Toc32081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17</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_Toc3845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三、磋商要求</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_Toc3845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17</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_Toc19539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四、成交供应商的确认和变更</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_Toc19539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18</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_Toc27226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五、成交通知</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_Toc27226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19</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_Toc18139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六、关于质疑和投诉</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_Toc18139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19</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22"/>
          <w:highlight w:val="none"/>
          <w:lang w:val="en-US" w:eastAsia="zh-CN"/>
        </w:rPr>
      </w:pPr>
      <w:r>
        <w:rPr>
          <w:rFonts w:hint="eastAsia" w:ascii="宋体" w:hAnsi="宋体" w:cs="宋体"/>
          <w:color w:val="auto"/>
          <w:sz w:val="24"/>
          <w:szCs w:val="18"/>
          <w:highlight w:val="none"/>
          <w:lang w:val="en-US" w:eastAsia="zh-CN"/>
        </w:rPr>
        <w:t>七、</w:t>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_Toc9286 </w:instrText>
      </w:r>
      <w:r>
        <w:rPr>
          <w:rFonts w:hint="eastAsia" w:ascii="宋体" w:hAnsi="宋体" w:eastAsia="宋体" w:cs="宋体"/>
          <w:color w:val="auto"/>
          <w:sz w:val="24"/>
          <w:szCs w:val="18"/>
          <w:highlight w:val="none"/>
        </w:rPr>
        <w:fldChar w:fldCharType="separate"/>
      </w:r>
      <w:r>
        <w:rPr>
          <w:rFonts w:hint="eastAsia" w:ascii="宋体" w:hAnsi="宋体" w:cs="宋体"/>
          <w:color w:val="auto"/>
          <w:sz w:val="24"/>
          <w:szCs w:val="22"/>
          <w:highlight w:val="none"/>
          <w:lang w:val="en-US" w:eastAsia="zh-CN"/>
        </w:rPr>
        <w:t>采购代理服务费</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20</w:t>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cs="宋体"/>
          <w:color w:val="auto"/>
          <w:sz w:val="24"/>
          <w:szCs w:val="22"/>
          <w:highlight w:val="none"/>
          <w:lang w:val="en-US" w:eastAsia="zh-CN"/>
        </w:rPr>
        <w:t>八</w:t>
      </w:r>
      <w:r>
        <w:rPr>
          <w:rFonts w:hint="eastAsia" w:ascii="宋体" w:hAnsi="宋体" w:eastAsia="宋体" w:cs="宋体"/>
          <w:color w:val="auto"/>
          <w:sz w:val="24"/>
          <w:szCs w:val="22"/>
          <w:highlight w:val="none"/>
        </w:rPr>
        <w:t>、签订合同</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_Toc9286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20</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8"/>
          <w:szCs w:val="18"/>
          <w:highlight w:val="none"/>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_Toc12075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kern w:val="2"/>
          <w:sz w:val="28"/>
          <w:szCs w:val="32"/>
          <w:highlight w:val="none"/>
          <w:lang w:val="en-US" w:eastAsia="zh-CN" w:bidi="ar-SA"/>
        </w:rPr>
        <w:t>第六篇  合同条款及格式</w:t>
      </w:r>
      <w:r>
        <w:rPr>
          <w:rFonts w:hint="eastAsia" w:ascii="宋体" w:hAnsi="宋体" w:eastAsia="宋体" w:cs="宋体"/>
          <w:color w:val="auto"/>
          <w:sz w:val="28"/>
          <w:szCs w:val="18"/>
          <w:highlight w:val="none"/>
        </w:rPr>
        <w:tab/>
      </w: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PAGEREF _Toc12075 \h </w:instrText>
      </w:r>
      <w:r>
        <w:rPr>
          <w:rFonts w:hint="eastAsia" w:ascii="宋体" w:hAnsi="宋体" w:eastAsia="宋体" w:cs="宋体"/>
          <w:color w:val="auto"/>
          <w:sz w:val="28"/>
          <w:szCs w:val="18"/>
          <w:highlight w:val="none"/>
        </w:rPr>
        <w:fldChar w:fldCharType="separate"/>
      </w:r>
      <w:r>
        <w:rPr>
          <w:rFonts w:hint="eastAsia" w:ascii="宋体" w:hAnsi="宋体" w:eastAsia="宋体" w:cs="宋体"/>
          <w:color w:val="auto"/>
          <w:sz w:val="28"/>
          <w:szCs w:val="18"/>
          <w:highlight w:val="none"/>
        </w:rPr>
        <w:t>22</w:t>
      </w:r>
      <w:r>
        <w:rPr>
          <w:rFonts w:hint="eastAsia" w:ascii="宋体" w:hAnsi="宋体" w:eastAsia="宋体" w:cs="宋体"/>
          <w:color w:val="auto"/>
          <w:sz w:val="28"/>
          <w:szCs w:val="18"/>
          <w:highlight w:val="none"/>
        </w:rPr>
        <w:fldChar w:fldCharType="end"/>
      </w:r>
      <w:r>
        <w:rPr>
          <w:rFonts w:hint="eastAsia" w:ascii="宋体" w:hAnsi="宋体" w:eastAsia="宋体" w:cs="宋体"/>
          <w:color w:val="auto"/>
          <w:sz w:val="28"/>
          <w:szCs w:val="18"/>
          <w:highlight w:val="none"/>
        </w:rPr>
        <w:fldChar w:fldCharType="end"/>
      </w:r>
    </w:p>
    <w:p>
      <w:pPr>
        <w:pStyle w:val="38"/>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8"/>
          <w:szCs w:val="18"/>
          <w:highlight w:val="none"/>
          <w:lang w:val="en-US" w:eastAsia="zh-CN"/>
        </w:rPr>
      </w:pPr>
      <w:r>
        <w:rPr>
          <w:rFonts w:hint="eastAsia" w:ascii="宋体" w:hAnsi="宋体" w:eastAsia="宋体" w:cs="宋体"/>
          <w:color w:val="auto"/>
          <w:sz w:val="28"/>
          <w:szCs w:val="18"/>
          <w:highlight w:val="none"/>
        </w:rPr>
        <w:fldChar w:fldCharType="begin"/>
      </w:r>
      <w:r>
        <w:rPr>
          <w:rFonts w:hint="eastAsia" w:ascii="宋体" w:hAnsi="宋体" w:eastAsia="宋体" w:cs="宋体"/>
          <w:color w:val="auto"/>
          <w:sz w:val="28"/>
          <w:szCs w:val="18"/>
          <w:highlight w:val="none"/>
        </w:rPr>
        <w:instrText xml:space="preserve"> HYPERLINK \l _Toc28990 </w:instrText>
      </w:r>
      <w:r>
        <w:rPr>
          <w:rFonts w:hint="eastAsia" w:ascii="宋体" w:hAnsi="宋体" w:eastAsia="宋体" w:cs="宋体"/>
          <w:color w:val="auto"/>
          <w:sz w:val="28"/>
          <w:szCs w:val="18"/>
          <w:highlight w:val="none"/>
        </w:rPr>
        <w:fldChar w:fldCharType="separate"/>
      </w:r>
      <w:r>
        <w:rPr>
          <w:rFonts w:hint="eastAsia" w:ascii="宋体" w:hAnsi="宋体" w:eastAsia="宋体" w:cs="宋体"/>
          <w:bCs/>
          <w:color w:val="auto"/>
          <w:sz w:val="28"/>
          <w:szCs w:val="32"/>
          <w:highlight w:val="none"/>
        </w:rPr>
        <w:t>第七篇  响应文件编制要求</w:t>
      </w:r>
      <w:r>
        <w:rPr>
          <w:rFonts w:hint="eastAsia" w:ascii="宋体" w:hAnsi="宋体" w:eastAsia="宋体" w:cs="宋体"/>
          <w:color w:val="auto"/>
          <w:sz w:val="28"/>
          <w:szCs w:val="18"/>
          <w:highlight w:val="none"/>
        </w:rPr>
        <w:tab/>
      </w:r>
      <w:r>
        <w:rPr>
          <w:rFonts w:hint="eastAsia" w:ascii="宋体" w:hAnsi="宋体" w:cs="宋体"/>
          <w:color w:val="auto"/>
          <w:sz w:val="28"/>
          <w:szCs w:val="18"/>
          <w:highlight w:val="none"/>
          <w:lang w:val="en-US" w:eastAsia="zh-CN"/>
        </w:rPr>
        <w:t>2</w:t>
      </w:r>
      <w:r>
        <w:rPr>
          <w:rFonts w:hint="eastAsia" w:ascii="宋体" w:hAnsi="宋体" w:eastAsia="宋体" w:cs="宋体"/>
          <w:color w:val="auto"/>
          <w:sz w:val="28"/>
          <w:szCs w:val="18"/>
          <w:highlight w:val="none"/>
        </w:rPr>
        <w:fldChar w:fldCharType="end"/>
      </w:r>
      <w:r>
        <w:rPr>
          <w:rFonts w:hint="eastAsia" w:ascii="宋体" w:hAnsi="宋体" w:cs="宋体"/>
          <w:color w:val="auto"/>
          <w:sz w:val="28"/>
          <w:szCs w:val="18"/>
          <w:highlight w:val="none"/>
          <w:lang w:val="en-US" w:eastAsia="zh-CN"/>
        </w:rPr>
        <w:t>01</w:t>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_Toc24115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rPr>
        <w:t>一、经济部分</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2</w:t>
      </w:r>
      <w:r>
        <w:rPr>
          <w:rFonts w:hint="eastAsia" w:ascii="宋体" w:hAnsi="宋体" w:eastAsia="宋体" w:cs="宋体"/>
          <w:color w:val="auto"/>
          <w:sz w:val="24"/>
          <w:szCs w:val="18"/>
          <w:highlight w:val="none"/>
        </w:rPr>
        <w:fldChar w:fldCharType="end"/>
      </w:r>
      <w:r>
        <w:rPr>
          <w:rFonts w:hint="eastAsia" w:ascii="宋体" w:hAnsi="宋体" w:cs="宋体"/>
          <w:color w:val="auto"/>
          <w:sz w:val="24"/>
          <w:szCs w:val="18"/>
          <w:highlight w:val="none"/>
          <w:lang w:val="en-US" w:eastAsia="zh-CN"/>
        </w:rPr>
        <w:t>02</w:t>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_Toc11127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二、</w:t>
      </w:r>
      <w:r>
        <w:rPr>
          <w:rFonts w:hint="eastAsia" w:ascii="宋体" w:hAnsi="宋体" w:eastAsia="宋体" w:cs="宋体"/>
          <w:color w:val="auto"/>
          <w:sz w:val="24"/>
          <w:szCs w:val="22"/>
          <w:highlight w:val="none"/>
          <w:lang w:eastAsia="zh-CN"/>
        </w:rPr>
        <w:t>技术</w:t>
      </w:r>
      <w:r>
        <w:rPr>
          <w:rFonts w:hint="eastAsia" w:ascii="宋体" w:hAnsi="宋体" w:eastAsia="宋体" w:cs="宋体"/>
          <w:color w:val="auto"/>
          <w:sz w:val="24"/>
          <w:szCs w:val="22"/>
          <w:highlight w:val="none"/>
        </w:rPr>
        <w:t>部分</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_Toc11127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203</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_Toc15927 </w:instrText>
      </w:r>
      <w:r>
        <w:rPr>
          <w:rFonts w:hint="eastAsia" w:ascii="宋体" w:hAnsi="宋体" w:eastAsia="宋体" w:cs="宋体"/>
          <w:color w:val="auto"/>
          <w:sz w:val="24"/>
          <w:szCs w:val="18"/>
          <w:highlight w:val="none"/>
        </w:rPr>
        <w:fldChar w:fldCharType="separate"/>
      </w:r>
      <w:r>
        <w:rPr>
          <w:rFonts w:hint="eastAsia" w:ascii="宋体" w:hAnsi="宋体" w:eastAsia="宋体" w:cs="宋体"/>
          <w:bCs w:val="0"/>
          <w:color w:val="auto"/>
          <w:sz w:val="24"/>
          <w:szCs w:val="22"/>
          <w:highlight w:val="none"/>
        </w:rPr>
        <w:t>三、商务部分</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2</w:t>
      </w:r>
      <w:r>
        <w:rPr>
          <w:rFonts w:hint="eastAsia" w:ascii="宋体" w:hAnsi="宋体" w:eastAsia="宋体" w:cs="宋体"/>
          <w:color w:val="auto"/>
          <w:sz w:val="24"/>
          <w:szCs w:val="18"/>
          <w:highlight w:val="none"/>
        </w:rPr>
        <w:fldChar w:fldCharType="end"/>
      </w:r>
      <w:r>
        <w:rPr>
          <w:rFonts w:hint="eastAsia" w:ascii="宋体" w:hAnsi="宋体" w:cs="宋体"/>
          <w:color w:val="auto"/>
          <w:sz w:val="24"/>
          <w:szCs w:val="18"/>
          <w:highlight w:val="none"/>
          <w:lang w:val="en-US" w:eastAsia="zh-CN"/>
        </w:rPr>
        <w:t>07</w:t>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_Toc12671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四、资格条件及其他</w:t>
      </w:r>
      <w:r>
        <w:rPr>
          <w:rFonts w:hint="eastAsia" w:ascii="宋体" w:hAnsi="宋体" w:eastAsia="宋体" w:cs="宋体"/>
          <w:color w:val="auto"/>
          <w:sz w:val="24"/>
          <w:szCs w:val="18"/>
          <w:highlight w:val="none"/>
        </w:rPr>
        <w:tab/>
      </w: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PAGEREF _Toc12671 \h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18"/>
          <w:highlight w:val="none"/>
        </w:rPr>
        <w:t>208</w:t>
      </w:r>
      <w:r>
        <w:rPr>
          <w:rFonts w:hint="eastAsia" w:ascii="宋体" w:hAnsi="宋体" w:eastAsia="宋体" w:cs="宋体"/>
          <w:color w:val="auto"/>
          <w:sz w:val="24"/>
          <w:szCs w:val="18"/>
          <w:highlight w:val="none"/>
        </w:rPr>
        <w:fldChar w:fldCharType="end"/>
      </w:r>
      <w:r>
        <w:rPr>
          <w:rFonts w:hint="eastAsia" w:ascii="宋体" w:hAnsi="宋体" w:eastAsia="宋体" w:cs="宋体"/>
          <w:color w:val="auto"/>
          <w:sz w:val="24"/>
          <w:szCs w:val="18"/>
          <w:highlight w:val="none"/>
        </w:rPr>
        <w:fldChar w:fldCharType="end"/>
      </w:r>
    </w:p>
    <w:p>
      <w:pPr>
        <w:pStyle w:val="46"/>
        <w:keepNext w:val="0"/>
        <w:keepLines w:val="0"/>
        <w:pageBreakBefore w:val="0"/>
        <w:widowControl w:val="0"/>
        <w:tabs>
          <w:tab w:val="right" w:leader="dot" w:pos="9412"/>
        </w:tabs>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4"/>
          <w:szCs w:val="18"/>
          <w:highlight w:val="none"/>
          <w:lang w:val="en-US" w:eastAsia="zh-CN"/>
        </w:rPr>
      </w:pPr>
      <w:r>
        <w:rPr>
          <w:rFonts w:hint="eastAsia" w:ascii="宋体" w:hAnsi="宋体" w:eastAsia="宋体" w:cs="宋体"/>
          <w:color w:val="auto"/>
          <w:sz w:val="24"/>
          <w:szCs w:val="18"/>
          <w:highlight w:val="none"/>
        </w:rPr>
        <w:fldChar w:fldCharType="begin"/>
      </w:r>
      <w:r>
        <w:rPr>
          <w:rFonts w:hint="eastAsia" w:ascii="宋体" w:hAnsi="宋体" w:eastAsia="宋体" w:cs="宋体"/>
          <w:color w:val="auto"/>
          <w:sz w:val="24"/>
          <w:szCs w:val="18"/>
          <w:highlight w:val="none"/>
        </w:rPr>
        <w:instrText xml:space="preserve"> HYPERLINK \l _Toc17276 </w:instrText>
      </w:r>
      <w:r>
        <w:rPr>
          <w:rFonts w:hint="eastAsia" w:ascii="宋体" w:hAnsi="宋体" w:eastAsia="宋体" w:cs="宋体"/>
          <w:color w:val="auto"/>
          <w:sz w:val="24"/>
          <w:szCs w:val="18"/>
          <w:highlight w:val="none"/>
        </w:rPr>
        <w:fldChar w:fldCharType="separate"/>
      </w:r>
      <w:r>
        <w:rPr>
          <w:rFonts w:hint="eastAsia" w:ascii="宋体" w:hAnsi="宋体" w:eastAsia="宋体" w:cs="宋体"/>
          <w:color w:val="auto"/>
          <w:sz w:val="24"/>
          <w:szCs w:val="22"/>
          <w:highlight w:val="none"/>
        </w:rPr>
        <w:t>五、其他应提供的资料</w:t>
      </w:r>
      <w:r>
        <w:rPr>
          <w:rFonts w:hint="eastAsia" w:ascii="宋体" w:hAnsi="宋体" w:eastAsia="宋体" w:cs="宋体"/>
          <w:color w:val="auto"/>
          <w:sz w:val="24"/>
          <w:szCs w:val="18"/>
          <w:highlight w:val="none"/>
        </w:rPr>
        <w:tab/>
      </w:r>
      <w:r>
        <w:rPr>
          <w:rFonts w:hint="eastAsia" w:ascii="宋体" w:hAnsi="宋体" w:cs="宋体"/>
          <w:color w:val="auto"/>
          <w:sz w:val="24"/>
          <w:szCs w:val="18"/>
          <w:highlight w:val="none"/>
          <w:lang w:val="en-US" w:eastAsia="zh-CN"/>
        </w:rPr>
        <w:t>2</w:t>
      </w:r>
      <w:r>
        <w:rPr>
          <w:rFonts w:hint="eastAsia" w:ascii="宋体" w:hAnsi="宋体" w:eastAsia="宋体" w:cs="宋体"/>
          <w:color w:val="auto"/>
          <w:sz w:val="24"/>
          <w:szCs w:val="18"/>
          <w:highlight w:val="none"/>
        </w:rPr>
        <w:fldChar w:fldCharType="end"/>
      </w:r>
      <w:r>
        <w:rPr>
          <w:rFonts w:hint="eastAsia" w:ascii="宋体" w:hAnsi="宋体" w:cs="宋体"/>
          <w:color w:val="auto"/>
          <w:sz w:val="24"/>
          <w:szCs w:val="18"/>
          <w:highlight w:val="none"/>
          <w:lang w:val="en-US" w:eastAsia="zh-CN"/>
        </w:rPr>
        <w:t>16</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hint="eastAsia" w:ascii="宋体" w:hAnsi="宋体" w:eastAsia="宋体" w:cs="宋体"/>
          <w:color w:val="auto"/>
          <w:highlight w:val="none"/>
        </w:rPr>
        <w:sectPr>
          <w:footerReference r:id="rId7" w:type="default"/>
          <w:pgSz w:w="11905" w:h="16838"/>
          <w:pgMar w:top="850" w:right="850" w:bottom="1134" w:left="1304" w:header="0" w:footer="0" w:gutter="0"/>
          <w:pgNumType w:fmt="numberInDash" w:start="1"/>
          <w:cols w:space="0" w:num="1"/>
          <w:rtlGutter w:val="0"/>
          <w:docGrid w:linePitch="380" w:charSpace="0"/>
        </w:sectPr>
      </w:pPr>
      <w:r>
        <w:rPr>
          <w:rFonts w:hint="eastAsia" w:ascii="宋体" w:hAnsi="宋体" w:eastAsia="宋体" w:cs="宋体"/>
          <w:color w:val="auto"/>
          <w:sz w:val="24"/>
          <w:szCs w:val="18"/>
          <w:highlight w:val="none"/>
        </w:rPr>
        <w:fldChar w:fldCharType="end"/>
      </w:r>
    </w:p>
    <w:p>
      <w:pPr>
        <w:spacing w:line="360" w:lineRule="auto"/>
        <w:jc w:val="center"/>
        <w:outlineLvl w:val="0"/>
        <w:rPr>
          <w:rFonts w:hint="eastAsia" w:ascii="宋体" w:hAnsi="宋体" w:eastAsia="宋体" w:cs="宋体"/>
          <w:b/>
          <w:bCs/>
          <w:color w:val="auto"/>
          <w:sz w:val="36"/>
          <w:szCs w:val="36"/>
          <w:highlight w:val="none"/>
        </w:rPr>
      </w:pPr>
      <w:bookmarkStart w:id="0" w:name="_Toc21017"/>
      <w:bookmarkStart w:id="1" w:name="_Toc12789052"/>
      <w:bookmarkStart w:id="2" w:name="_Toc11641050"/>
      <w:bookmarkStart w:id="3" w:name="_Toc2051"/>
      <w:r>
        <w:rPr>
          <w:rFonts w:hint="eastAsia" w:ascii="宋体" w:hAnsi="宋体" w:eastAsia="宋体" w:cs="宋体"/>
          <w:b/>
          <w:bCs/>
          <w:color w:val="auto"/>
          <w:sz w:val="36"/>
          <w:szCs w:val="36"/>
          <w:highlight w:val="none"/>
        </w:rPr>
        <w:t>第一篇  采购邀请书</w:t>
      </w:r>
      <w:bookmarkEnd w:id="0"/>
      <w:bookmarkEnd w:id="1"/>
      <w:bookmarkEnd w:id="2"/>
      <w:bookmarkEnd w:id="3"/>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eastAsia="zh-CN"/>
        </w:rPr>
        <w:t>河南恒业工程咨询有限公司</w:t>
      </w:r>
      <w:r>
        <w:rPr>
          <w:rFonts w:hint="eastAsia" w:ascii="宋体" w:hAnsi="宋体" w:eastAsia="宋体" w:cs="宋体"/>
          <w:color w:val="auto"/>
          <w:sz w:val="24"/>
          <w:szCs w:val="24"/>
          <w:highlight w:val="none"/>
          <w:u w:val="none"/>
          <w:lang w:eastAsia="zh-CN"/>
        </w:rPr>
        <w:t>（以下简称：</w:t>
      </w:r>
      <w:r>
        <w:rPr>
          <w:rFonts w:hint="eastAsia" w:ascii="宋体" w:hAnsi="宋体" w:eastAsia="宋体" w:cs="宋体"/>
          <w:color w:val="auto"/>
          <w:sz w:val="24"/>
          <w:szCs w:val="24"/>
          <w:highlight w:val="none"/>
          <w:u w:val="single"/>
          <w:lang w:eastAsia="zh-CN"/>
        </w:rPr>
        <w:t>采购代理机构</w:t>
      </w:r>
      <w:r>
        <w:rPr>
          <w:rFonts w:hint="eastAsia" w:ascii="宋体" w:hAnsi="宋体" w:eastAsia="宋体" w:cs="宋体"/>
          <w:color w:val="auto"/>
          <w:sz w:val="24"/>
          <w:szCs w:val="24"/>
          <w:highlight w:val="none"/>
          <w:u w:val="none"/>
          <w:lang w:eastAsia="zh-CN"/>
        </w:rPr>
        <w:t>）接受</w:t>
      </w:r>
      <w:r>
        <w:rPr>
          <w:rFonts w:hint="eastAsia" w:ascii="宋体" w:hAnsi="宋体" w:eastAsia="宋体" w:cs="宋体"/>
          <w:color w:val="auto"/>
          <w:sz w:val="24"/>
          <w:szCs w:val="24"/>
          <w:highlight w:val="none"/>
          <w:u w:val="single"/>
          <w:lang w:eastAsia="zh-CN"/>
        </w:rPr>
        <w:t>重庆两山建设开发有限</w:t>
      </w:r>
      <w:r>
        <w:rPr>
          <w:rFonts w:hint="eastAsia" w:ascii="宋体" w:hAnsi="宋体" w:eastAsia="宋体" w:cs="宋体"/>
          <w:color w:val="auto"/>
          <w:sz w:val="24"/>
          <w:szCs w:val="24"/>
          <w:highlight w:val="none"/>
          <w:u w:val="single"/>
          <w:lang w:val="en-US" w:eastAsia="zh-CN"/>
        </w:rPr>
        <w:t>公司</w:t>
      </w:r>
      <w:r>
        <w:rPr>
          <w:rFonts w:hint="eastAsia" w:ascii="宋体" w:hAnsi="宋体" w:eastAsia="宋体" w:cs="宋体"/>
          <w:color w:val="auto"/>
          <w:sz w:val="24"/>
          <w:szCs w:val="24"/>
          <w:highlight w:val="none"/>
          <w:u w:val="none"/>
          <w:lang w:eastAsia="zh-CN"/>
        </w:rPr>
        <w:t>（以下简称：采购人）的委托，对</w:t>
      </w:r>
      <w:r>
        <w:rPr>
          <w:rFonts w:hint="eastAsia" w:ascii="宋体" w:hAnsi="宋体" w:eastAsia="宋体" w:cs="宋体"/>
          <w:color w:val="auto"/>
          <w:sz w:val="24"/>
          <w:szCs w:val="24"/>
          <w:highlight w:val="none"/>
          <w:u w:val="single"/>
          <w:lang w:eastAsia="zh-CN"/>
        </w:rPr>
        <w:t>璧山新材料产业园项目一期工程电力建设工程</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rPr>
        <w:t>欢迎有资格的供应商前来参与磋商。</w:t>
      </w:r>
    </w:p>
    <w:p>
      <w:pPr>
        <w:spacing w:before="0" w:after="0" w:line="360" w:lineRule="auto"/>
        <w:outlineLvl w:val="1"/>
        <w:rPr>
          <w:rFonts w:hint="eastAsia" w:ascii="宋体" w:hAnsi="宋体" w:eastAsia="宋体" w:cs="宋体"/>
          <w:color w:val="auto"/>
          <w:sz w:val="24"/>
          <w:szCs w:val="24"/>
          <w:highlight w:val="none"/>
        </w:rPr>
      </w:pPr>
      <w:bookmarkStart w:id="4" w:name="_Toc6176"/>
      <w:bookmarkStart w:id="5" w:name="_Toc12745"/>
      <w:bookmarkStart w:id="6" w:name="_Toc313893526"/>
      <w:bookmarkStart w:id="7" w:name="_Toc317775175"/>
      <w:bookmarkStart w:id="8" w:name="_Toc7836"/>
      <w:r>
        <w:rPr>
          <w:rFonts w:hint="eastAsia" w:ascii="宋体" w:hAnsi="宋体" w:eastAsia="宋体" w:cs="宋体"/>
          <w:color w:val="auto"/>
          <w:sz w:val="24"/>
          <w:szCs w:val="24"/>
          <w:highlight w:val="none"/>
        </w:rPr>
        <w:t>一、竞争性磋商内容</w:t>
      </w:r>
      <w:bookmarkEnd w:id="4"/>
      <w:bookmarkEnd w:id="5"/>
      <w:bookmarkEnd w:id="6"/>
      <w:bookmarkEnd w:id="7"/>
      <w:bookmarkEnd w:id="8"/>
    </w:p>
    <w:tbl>
      <w:tblPr>
        <w:tblStyle w:val="60"/>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1568"/>
        <w:gridCol w:w="1650"/>
        <w:gridCol w:w="1650"/>
        <w:gridCol w:w="2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643"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项目名称</w:t>
            </w:r>
          </w:p>
        </w:tc>
        <w:tc>
          <w:tcPr>
            <w:tcW w:w="156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宋体" w:hAnsi="宋体" w:eastAsia="宋体" w:cs="宋体"/>
                <w:b/>
                <w:bCs/>
                <w:color w:val="auto"/>
                <w:kern w:val="0"/>
                <w:sz w:val="21"/>
                <w:szCs w:val="24"/>
                <w:highlight w:val="none"/>
                <w:lang w:eastAsia="zh-CN"/>
              </w:rPr>
            </w:pPr>
            <w:r>
              <w:rPr>
                <w:rFonts w:hint="eastAsia" w:ascii="宋体" w:hAnsi="宋体" w:eastAsia="宋体" w:cs="宋体"/>
                <w:b/>
                <w:bCs/>
                <w:color w:val="auto"/>
                <w:kern w:val="0"/>
                <w:sz w:val="21"/>
                <w:szCs w:val="24"/>
                <w:highlight w:val="none"/>
                <w:lang w:eastAsia="zh-CN"/>
              </w:rPr>
              <w:t>最高限价</w:t>
            </w:r>
          </w:p>
          <w:p>
            <w:pPr>
              <w:widowControl/>
              <w:spacing w:line="240" w:lineRule="auto"/>
              <w:jc w:val="center"/>
              <w:outlineLvl w:val="9"/>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w:t>
            </w:r>
            <w:r>
              <w:rPr>
                <w:rFonts w:hint="eastAsia" w:ascii="宋体" w:hAnsi="宋体" w:eastAsia="宋体" w:cs="宋体"/>
                <w:b/>
                <w:bCs/>
                <w:color w:val="auto"/>
                <w:kern w:val="0"/>
                <w:sz w:val="21"/>
                <w:szCs w:val="24"/>
                <w:highlight w:val="none"/>
                <w:lang w:val="en-US" w:eastAsia="zh-CN"/>
              </w:rPr>
              <w:t>万</w:t>
            </w:r>
            <w:r>
              <w:rPr>
                <w:rFonts w:hint="eastAsia" w:ascii="宋体" w:hAnsi="宋体" w:eastAsia="宋体" w:cs="宋体"/>
                <w:b/>
                <w:bCs/>
                <w:color w:val="auto"/>
                <w:kern w:val="0"/>
                <w:sz w:val="21"/>
                <w:szCs w:val="24"/>
                <w:highlight w:val="none"/>
              </w:rPr>
              <w:t>元）</w:t>
            </w:r>
          </w:p>
        </w:tc>
        <w:tc>
          <w:tcPr>
            <w:tcW w:w="1650"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bCs/>
                <w:color w:val="auto"/>
                <w:kern w:val="0"/>
                <w:sz w:val="21"/>
                <w:szCs w:val="24"/>
                <w:highlight w:val="none"/>
                <w:lang w:val="en-US" w:eastAsia="zh-CN"/>
              </w:rPr>
            </w:pPr>
            <w:r>
              <w:rPr>
                <w:rFonts w:hint="eastAsia" w:ascii="宋体" w:hAnsi="宋体" w:eastAsia="宋体" w:cs="宋体"/>
                <w:b/>
                <w:bCs/>
                <w:color w:val="auto"/>
                <w:kern w:val="0"/>
                <w:sz w:val="21"/>
                <w:szCs w:val="24"/>
                <w:highlight w:val="none"/>
                <w:lang w:val="en-US" w:eastAsia="zh-CN"/>
              </w:rPr>
              <w:t>磋商保证金</w:t>
            </w:r>
          </w:p>
          <w:p>
            <w:pPr>
              <w:pStyle w:val="2"/>
              <w:jc w:val="center"/>
              <w:rPr>
                <w:rFonts w:hint="default"/>
                <w:color w:val="auto"/>
                <w:highlight w:val="none"/>
                <w:lang w:val="en-US" w:eastAsia="zh-CN"/>
              </w:rPr>
            </w:pPr>
            <w:r>
              <w:rPr>
                <w:rFonts w:hint="eastAsia" w:ascii="宋体" w:hAnsi="宋体" w:eastAsia="宋体" w:cs="宋体"/>
                <w:b/>
                <w:bCs/>
                <w:color w:val="auto"/>
                <w:kern w:val="0"/>
                <w:sz w:val="21"/>
                <w:szCs w:val="24"/>
                <w:highlight w:val="none"/>
              </w:rPr>
              <w:t>（</w:t>
            </w:r>
            <w:r>
              <w:rPr>
                <w:rFonts w:hint="eastAsia" w:ascii="宋体" w:hAnsi="宋体" w:eastAsia="宋体" w:cs="宋体"/>
                <w:b/>
                <w:bCs/>
                <w:color w:val="auto"/>
                <w:kern w:val="0"/>
                <w:sz w:val="21"/>
                <w:szCs w:val="24"/>
                <w:highlight w:val="none"/>
                <w:lang w:val="en-US" w:eastAsia="zh-CN"/>
              </w:rPr>
              <w:t>万</w:t>
            </w:r>
            <w:r>
              <w:rPr>
                <w:rFonts w:hint="eastAsia" w:ascii="宋体" w:hAnsi="宋体" w:eastAsia="宋体" w:cs="宋体"/>
                <w:b/>
                <w:bCs/>
                <w:color w:val="auto"/>
                <w:kern w:val="0"/>
                <w:sz w:val="21"/>
                <w:szCs w:val="24"/>
                <w:highlight w:val="none"/>
              </w:rPr>
              <w:t>元）</w:t>
            </w:r>
          </w:p>
        </w:tc>
        <w:tc>
          <w:tcPr>
            <w:tcW w:w="1650"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成交供应商数量（名）</w:t>
            </w:r>
          </w:p>
        </w:tc>
        <w:tc>
          <w:tcPr>
            <w:tcW w:w="2248" w:type="dxa"/>
            <w:tcBorders>
              <w:top w:val="single" w:color="auto" w:sz="4" w:space="0"/>
              <w:left w:val="single" w:color="auto" w:sz="4" w:space="0"/>
              <w:right w:val="single" w:color="auto" w:sz="4" w:space="0"/>
            </w:tcBorders>
            <w:noWrap w:val="0"/>
            <w:vAlign w:val="center"/>
          </w:tcPr>
          <w:p>
            <w:pPr>
              <w:spacing w:line="240" w:lineRule="auto"/>
              <w:jc w:val="center"/>
              <w:outlineLvl w:val="9"/>
              <w:rPr>
                <w:rFonts w:hint="eastAsia" w:ascii="宋体" w:hAnsi="宋体" w:eastAsia="宋体" w:cs="宋体"/>
                <w:b/>
                <w:bCs/>
                <w:color w:val="auto"/>
                <w:kern w:val="0"/>
                <w:sz w:val="21"/>
                <w:szCs w:val="24"/>
                <w:highlight w:val="none"/>
              </w:rPr>
            </w:pPr>
            <w:r>
              <w:rPr>
                <w:rFonts w:hint="eastAsia" w:ascii="宋体" w:hAnsi="宋体" w:eastAsia="宋体" w:cs="宋体"/>
                <w:b/>
                <w:bCs/>
                <w:color w:val="auto"/>
                <w:kern w:val="0"/>
                <w:sz w:val="21"/>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643" w:type="dxa"/>
            <w:tcBorders>
              <w:top w:val="single" w:color="auto" w:sz="4" w:space="0"/>
              <w:left w:val="single" w:color="auto" w:sz="4" w:space="0"/>
              <w:right w:val="single" w:color="auto" w:sz="4" w:space="0"/>
            </w:tcBorders>
            <w:noWrap w:val="0"/>
            <w:vAlign w:val="center"/>
          </w:tcPr>
          <w:p>
            <w:pPr>
              <w:snapToGrid w:val="0"/>
              <w:spacing w:line="360" w:lineRule="auto"/>
              <w:outlineLvl w:val="9"/>
              <w:rPr>
                <w:rFonts w:hint="eastAsia" w:ascii="宋体" w:hAnsi="宋体" w:eastAsia="宋体" w:cs="宋体"/>
                <w:color w:val="auto"/>
                <w:sz w:val="24"/>
                <w:szCs w:val="24"/>
                <w:highlight w:val="none"/>
                <w:lang w:eastAsia="zh-CN"/>
              </w:rPr>
            </w:pPr>
            <w:bookmarkStart w:id="9" w:name="_Hlk344477914"/>
            <w:r>
              <w:rPr>
                <w:rFonts w:hint="eastAsia" w:ascii="宋体" w:hAnsi="宋体" w:eastAsia="宋体" w:cs="宋体"/>
                <w:color w:val="auto"/>
                <w:sz w:val="24"/>
                <w:szCs w:val="24"/>
                <w:highlight w:val="none"/>
                <w:lang w:eastAsia="zh-CN"/>
              </w:rPr>
              <w:t>璧山新材料产业园项目一期工程电力建设工程</w:t>
            </w:r>
          </w:p>
        </w:tc>
        <w:tc>
          <w:tcPr>
            <w:tcW w:w="156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225.351391</w:t>
            </w:r>
          </w:p>
        </w:tc>
        <w:tc>
          <w:tcPr>
            <w:tcW w:w="1650"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1650"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2248" w:type="dxa"/>
            <w:tcBorders>
              <w:top w:val="single" w:color="auto" w:sz="4" w:space="0"/>
              <w:left w:val="single" w:color="auto" w:sz="4" w:space="0"/>
              <w:right w:val="single" w:color="auto" w:sz="4" w:space="0"/>
            </w:tcBorders>
            <w:noWrap w:val="0"/>
            <w:vAlign w:val="center"/>
          </w:tcPr>
          <w:p>
            <w:pPr>
              <w:widowControl/>
              <w:spacing w:line="240" w:lineRule="auto"/>
              <w:jc w:val="center"/>
              <w:outlineLvl w:val="9"/>
              <w:rPr>
                <w:rFonts w:hint="eastAsia" w:ascii="宋体" w:hAnsi="宋体" w:eastAsia="宋体" w:cs="宋体"/>
                <w:color w:val="auto"/>
                <w:sz w:val="24"/>
                <w:szCs w:val="24"/>
                <w:highlight w:val="none"/>
                <w:lang w:val="en-US" w:eastAsia="zh-CN"/>
              </w:rPr>
            </w:pPr>
          </w:p>
        </w:tc>
      </w:tr>
      <w:bookmarkEnd w:id="9"/>
    </w:tbl>
    <w:p>
      <w:pPr>
        <w:spacing w:before="0" w:after="0" w:line="360" w:lineRule="auto"/>
        <w:outlineLvl w:val="1"/>
        <w:rPr>
          <w:rFonts w:hint="eastAsia" w:ascii="宋体" w:hAnsi="宋体" w:eastAsia="宋体" w:cs="宋体"/>
          <w:color w:val="auto"/>
          <w:sz w:val="24"/>
          <w:szCs w:val="24"/>
          <w:highlight w:val="none"/>
        </w:rPr>
      </w:pPr>
      <w:bookmarkStart w:id="10" w:name="_Toc20843"/>
      <w:bookmarkStart w:id="11" w:name="_Toc27305"/>
      <w:bookmarkStart w:id="12" w:name="_Toc2025"/>
      <w:bookmarkStart w:id="13" w:name="_Toc373860293"/>
      <w:bookmarkStart w:id="14" w:name="_Toc317775178"/>
      <w:r>
        <w:rPr>
          <w:rFonts w:hint="eastAsia" w:ascii="宋体" w:hAnsi="宋体" w:eastAsia="宋体" w:cs="宋体"/>
          <w:color w:val="auto"/>
          <w:sz w:val="24"/>
          <w:szCs w:val="24"/>
          <w:highlight w:val="none"/>
        </w:rPr>
        <w:t>二、资金来源</w:t>
      </w:r>
      <w:bookmarkEnd w:id="10"/>
      <w:bookmarkEnd w:id="11"/>
      <w:bookmarkEnd w:id="12"/>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国企资金</w:t>
      </w:r>
      <w:r>
        <w:rPr>
          <w:rFonts w:hint="eastAsia" w:ascii="宋体" w:hAnsi="宋体" w:eastAsia="宋体" w:cs="宋体"/>
          <w:color w:val="auto"/>
          <w:sz w:val="24"/>
          <w:szCs w:val="24"/>
          <w:highlight w:val="none"/>
        </w:rPr>
        <w:t>。</w:t>
      </w:r>
    </w:p>
    <w:p>
      <w:pPr>
        <w:spacing w:before="0" w:after="0" w:line="360" w:lineRule="auto"/>
        <w:outlineLvl w:val="1"/>
        <w:rPr>
          <w:rFonts w:hint="eastAsia" w:ascii="宋体" w:hAnsi="宋体" w:eastAsia="宋体" w:cs="宋体"/>
          <w:color w:val="auto"/>
          <w:sz w:val="24"/>
          <w:szCs w:val="24"/>
          <w:highlight w:val="none"/>
        </w:rPr>
      </w:pPr>
      <w:bookmarkStart w:id="15" w:name="_Toc30329"/>
      <w:bookmarkStart w:id="16" w:name="_Toc817"/>
      <w:bookmarkStart w:id="17" w:name="_Toc15200"/>
      <w:r>
        <w:rPr>
          <w:rFonts w:hint="eastAsia" w:ascii="宋体" w:hAnsi="宋体" w:eastAsia="宋体" w:cs="宋体"/>
          <w:color w:val="auto"/>
          <w:sz w:val="24"/>
          <w:szCs w:val="24"/>
          <w:highlight w:val="none"/>
        </w:rPr>
        <w:t>三、供应商资格条件</w:t>
      </w:r>
      <w:bookmarkEnd w:id="15"/>
      <w:bookmarkEnd w:id="16"/>
      <w:bookmarkEnd w:id="17"/>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合格的供应商应首先符合基本资格条件，同时符合根据该项目特殊要求设置的特定资格条件。</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（一）基本资格条件</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1、具有独立承担民事责任的能力；</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2、具有良好的商业信誉和健全的财务会计制度；</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3、具有履行合同所必需的设备和专业技术能力；</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4、有依法缴纳税收和社会保障资金的良好记录；</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5、参加采购活动前三年内，在经营活动中没有重大违法记录；</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6、法律、行政法规规定的其他条件。</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（二）特定资格条件</w:t>
      </w:r>
    </w:p>
    <w:p>
      <w:pPr>
        <w:spacing w:line="360" w:lineRule="auto"/>
        <w:ind w:firstLine="480" w:firstLineChars="200"/>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1、供应商须具备有效的建设行政主管部门颁发的电力工程施工总承包三级及以上资质或输变电工程专业承包三级及以上资质；并同时具备国家能源局（或国家电力监管委员会）颁发的承装（修、试）电力设施许可证，许可类别和等级为承装（修、试）类四级及以上。</w:t>
      </w:r>
    </w:p>
    <w:p>
      <w:pPr>
        <w:pStyle w:val="53"/>
        <w:widowControl/>
        <w:spacing w:before="0" w:beforeLines="-2147483648" w:beforeAutospacing="0" w:after="0" w:afterLines="-2147483648" w:afterAutospacing="0" w:line="360" w:lineRule="auto"/>
        <w:ind w:left="0" w:right="0" w:firstLine="420"/>
        <w:jc w:val="both"/>
        <w:rPr>
          <w:rFonts w:hint="eastAsia" w:ascii="宋体" w:hAnsi="宋体" w:eastAsia="宋体" w:cs="宋体"/>
          <w:b/>
          <w:bCs/>
          <w:snapToGrid w:val="0"/>
          <w:color w:val="auto"/>
          <w:kern w:val="0"/>
          <w:highlight w:val="none"/>
          <w:u w:val="none" w:color="auto"/>
        </w:rPr>
      </w:pPr>
      <w:r>
        <w:rPr>
          <w:rFonts w:hint="eastAsia" w:ascii="宋体" w:hAnsi="宋体" w:eastAsia="宋体" w:cs="宋体"/>
          <w:b/>
          <w:bCs/>
          <w:color w:val="auto"/>
          <w:kern w:val="2"/>
          <w:sz w:val="24"/>
          <w:szCs w:val="24"/>
          <w:highlight w:val="none"/>
          <w:u w:val="none"/>
          <w:lang w:val="en-US" w:eastAsia="zh-CN" w:bidi="ar-SA"/>
        </w:rPr>
        <w:t>注：提供有效的资质证书副本复印件。</w:t>
      </w:r>
    </w:p>
    <w:p>
      <w:pPr>
        <w:spacing w:line="360" w:lineRule="auto"/>
        <w:ind w:firstLine="480" w:firstLineChars="200"/>
        <w:outlineLvl w:val="9"/>
        <w:rPr>
          <w:rFonts w:hint="eastAsia"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2.</w:t>
      </w:r>
      <w:r>
        <w:rPr>
          <w:rFonts w:hint="eastAsia" w:ascii="宋体" w:hAnsi="宋体" w:eastAsia="宋体" w:cs="宋体"/>
          <w:color w:val="auto"/>
          <w:sz w:val="24"/>
          <w:szCs w:val="24"/>
          <w:highlight w:val="none"/>
          <w:lang w:val="en-US" w:eastAsia="zh-CN"/>
        </w:rPr>
        <w:t>供应商须</w:t>
      </w:r>
      <w:r>
        <w:rPr>
          <w:rFonts w:hint="eastAsia" w:ascii="宋体" w:hAnsi="宋体" w:eastAsia="宋体" w:cs="宋体"/>
          <w:color w:val="auto"/>
          <w:sz w:val="24"/>
          <w:szCs w:val="24"/>
          <w:highlight w:val="none"/>
          <w:u w:val="none"/>
          <w:lang w:val="en-US" w:eastAsia="zh-CN"/>
        </w:rPr>
        <w:t>具备营业执照和组织机构代码证。</w:t>
      </w:r>
    </w:p>
    <w:p>
      <w:pPr>
        <w:spacing w:line="360" w:lineRule="auto"/>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u w:val="none"/>
          <w:lang w:val="en-US" w:eastAsia="zh-CN"/>
        </w:rPr>
        <w:t>注：提供有效的营业执照副本复印件和组织机构代码证副本复印件（注：“三证合一”的，提交载有统一社会信用代码的营业执照副本复印件）。</w:t>
      </w:r>
    </w:p>
    <w:p>
      <w:pPr>
        <w:spacing w:line="360" w:lineRule="auto"/>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3、供应商须具备建设行政主管部门颁发的有效的企业安全生产许可证，企业主要负责人、拟担任本项目的项目经理具备建设行政主管颁发的有效的安全生产考核合格证书。</w:t>
      </w:r>
    </w:p>
    <w:p>
      <w:pPr>
        <w:pStyle w:val="53"/>
        <w:widowControl/>
        <w:spacing w:before="0" w:beforeLines="-2147483648" w:beforeAutospacing="0" w:after="0" w:afterLines="-2147483648" w:afterAutospacing="0" w:line="360" w:lineRule="auto"/>
        <w:ind w:left="0" w:right="0" w:firstLine="420"/>
        <w:jc w:val="both"/>
        <w:rPr>
          <w:rFonts w:hint="eastAsia" w:ascii="宋体" w:hAnsi="宋体" w:eastAsia="宋体" w:cs="宋体"/>
          <w:b/>
          <w:bCs/>
          <w:color w:val="auto"/>
          <w:kern w:val="2"/>
          <w:sz w:val="24"/>
          <w:szCs w:val="24"/>
          <w:highlight w:val="none"/>
          <w:u w:val="none"/>
          <w:lang w:val="zh-TW" w:eastAsia="zh-TW" w:bidi="ar-SA"/>
        </w:rPr>
      </w:pPr>
      <w:r>
        <w:rPr>
          <w:rFonts w:hint="eastAsia" w:ascii="宋体" w:hAnsi="宋体" w:eastAsia="宋体" w:cs="宋体"/>
          <w:b/>
          <w:bCs/>
          <w:color w:val="auto"/>
          <w:kern w:val="2"/>
          <w:sz w:val="24"/>
          <w:szCs w:val="24"/>
          <w:highlight w:val="none"/>
          <w:u w:val="none"/>
          <w:lang w:val="zh-TW" w:eastAsia="zh-TW" w:bidi="ar-SA"/>
        </w:rPr>
        <w:t>注：提</w:t>
      </w:r>
      <w:r>
        <w:rPr>
          <w:rFonts w:hint="eastAsia" w:ascii="宋体" w:hAnsi="宋体" w:eastAsia="宋体" w:cs="宋体"/>
          <w:b/>
          <w:bCs/>
          <w:color w:val="auto"/>
          <w:kern w:val="2"/>
          <w:sz w:val="24"/>
          <w:szCs w:val="24"/>
          <w:highlight w:val="none"/>
          <w:u w:val="none"/>
          <w:lang w:val="zh-TW" w:eastAsia="zh-CN" w:bidi="ar-SA"/>
        </w:rPr>
        <w:t>供</w:t>
      </w:r>
      <w:r>
        <w:rPr>
          <w:rFonts w:hint="eastAsia" w:ascii="宋体" w:hAnsi="宋体" w:eastAsia="宋体" w:cs="宋体"/>
          <w:b/>
          <w:bCs/>
          <w:color w:val="auto"/>
          <w:kern w:val="2"/>
          <w:sz w:val="24"/>
          <w:szCs w:val="24"/>
          <w:highlight w:val="none"/>
          <w:u w:val="none"/>
          <w:lang w:val="zh-TW" w:eastAsia="zh-TW" w:bidi="ar-SA"/>
        </w:rPr>
        <w:t>有效的安全生产许可证</w:t>
      </w:r>
      <w:r>
        <w:rPr>
          <w:rFonts w:hint="eastAsia" w:ascii="宋体" w:hAnsi="宋体" w:eastAsia="宋体" w:cs="宋体"/>
          <w:b/>
          <w:bCs/>
          <w:color w:val="auto"/>
          <w:kern w:val="2"/>
          <w:sz w:val="24"/>
          <w:szCs w:val="24"/>
          <w:highlight w:val="none"/>
          <w:u w:val="none"/>
          <w:lang w:val="zh-TW" w:eastAsia="zh-CN" w:bidi="ar-SA"/>
        </w:rPr>
        <w:t>复印件</w:t>
      </w:r>
      <w:r>
        <w:rPr>
          <w:rFonts w:hint="eastAsia" w:ascii="宋体" w:hAnsi="宋体" w:eastAsia="宋体" w:cs="宋体"/>
          <w:b/>
          <w:bCs/>
          <w:color w:val="auto"/>
          <w:kern w:val="2"/>
          <w:sz w:val="24"/>
          <w:szCs w:val="24"/>
          <w:highlight w:val="none"/>
          <w:u w:val="none"/>
          <w:lang w:val="zh-TW" w:eastAsia="zh-TW" w:bidi="ar-SA"/>
        </w:rPr>
        <w:t>及</w:t>
      </w:r>
      <w:r>
        <w:rPr>
          <w:rFonts w:hint="eastAsia" w:ascii="宋体" w:hAnsi="宋体" w:eastAsia="宋体" w:cs="宋体"/>
          <w:b/>
          <w:bCs/>
          <w:color w:val="auto"/>
          <w:sz w:val="24"/>
          <w:szCs w:val="24"/>
          <w:highlight w:val="none"/>
          <w:lang w:val="en-US" w:eastAsia="zh-CN"/>
        </w:rPr>
        <w:t>企业主要负责</w:t>
      </w:r>
      <w:r>
        <w:rPr>
          <w:rFonts w:hint="eastAsia" w:cs="宋体"/>
          <w:b/>
          <w:bCs/>
          <w:color w:val="auto"/>
          <w:sz w:val="24"/>
          <w:szCs w:val="24"/>
          <w:highlight w:val="none"/>
          <w:lang w:val="en-US" w:eastAsia="zh-CN"/>
        </w:rPr>
        <w:t>人、拟担任本项目的项目经理</w:t>
      </w:r>
      <w:r>
        <w:rPr>
          <w:rFonts w:hint="eastAsia" w:ascii="宋体" w:hAnsi="宋体" w:eastAsia="宋体" w:cs="宋体"/>
          <w:b/>
          <w:bCs/>
          <w:color w:val="auto"/>
          <w:kern w:val="2"/>
          <w:sz w:val="24"/>
          <w:szCs w:val="24"/>
          <w:highlight w:val="none"/>
          <w:u w:val="none"/>
          <w:lang w:val="zh-TW" w:eastAsia="zh-TW" w:bidi="ar-SA"/>
        </w:rPr>
        <w:t>安全生产考核合格证书复印件。</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4、分公司、办事处等分支机构参加磋商的，须提供总公司授权</w:t>
      </w:r>
      <w:r>
        <w:rPr>
          <w:rFonts w:hint="eastAsia" w:ascii="宋体" w:hAnsi="宋体" w:eastAsia="宋体" w:cs="宋体"/>
          <w:color w:val="auto"/>
          <w:sz w:val="24"/>
          <w:szCs w:val="24"/>
          <w:highlight w:val="none"/>
        </w:rPr>
        <w:t>。</w:t>
      </w:r>
    </w:p>
    <w:p>
      <w:pPr>
        <w:spacing w:before="0" w:after="0" w:line="360" w:lineRule="auto"/>
        <w:outlineLvl w:val="1"/>
        <w:rPr>
          <w:rFonts w:hint="eastAsia" w:ascii="宋体" w:hAnsi="宋体" w:eastAsia="宋体" w:cs="宋体"/>
          <w:color w:val="auto"/>
          <w:sz w:val="24"/>
          <w:szCs w:val="24"/>
          <w:highlight w:val="none"/>
        </w:rPr>
      </w:pPr>
      <w:bookmarkStart w:id="18" w:name="_Toc12020"/>
      <w:bookmarkStart w:id="19" w:name="_Toc20285"/>
      <w:bookmarkStart w:id="20" w:name="_Toc26015"/>
      <w:r>
        <w:rPr>
          <w:rFonts w:hint="eastAsia" w:ascii="宋体" w:hAnsi="宋体" w:eastAsia="宋体" w:cs="宋体"/>
          <w:color w:val="auto"/>
          <w:sz w:val="24"/>
          <w:szCs w:val="24"/>
          <w:highlight w:val="none"/>
        </w:rPr>
        <w:t>四、磋商有关说明</w:t>
      </w:r>
      <w:bookmarkEnd w:id="13"/>
      <w:bookmarkEnd w:id="18"/>
      <w:bookmarkEnd w:id="19"/>
      <w:bookmarkEnd w:id="20"/>
    </w:p>
    <w:bookmarkEnd w:id="14"/>
    <w:p>
      <w:pPr>
        <w:widowControl/>
        <w:shd w:val="clear" w:color="auto" w:fill="FFFFFF"/>
        <w:spacing w:after="180" w:line="420" w:lineRule="atLeas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）磋商文件获取方式：</w:t>
      </w:r>
      <w:r>
        <w:rPr>
          <w:rFonts w:hint="eastAsia" w:ascii="宋体" w:hAnsi="宋体" w:eastAsia="宋体" w:cs="宋体"/>
          <w:color w:val="auto"/>
          <w:sz w:val="24"/>
          <w:szCs w:val="24"/>
          <w:highlight w:val="none"/>
          <w:lang w:val="en-US" w:eastAsia="zh-CN"/>
        </w:rPr>
        <w:t>磋商文件获取方式：凡有意参加磋商的供应商，请在重庆市璧山区人民政府网下载本项目磋商文件以及补遗文件等磋商前公布的所有项目资料。</w:t>
      </w:r>
    </w:p>
    <w:p>
      <w:pPr>
        <w:widowControl/>
        <w:shd w:val="clear" w:color="auto" w:fill="FFFFFF"/>
        <w:spacing w:after="180" w:line="420" w:lineRule="atLeast"/>
        <w:ind w:firstLine="48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（二）磋商文件公告期限：自磋商公告发布之日起三个工作日。</w:t>
      </w:r>
    </w:p>
    <w:p>
      <w:pPr>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）递交响应文件地点：重庆市璧山区璧泉街道双星大道50号金融街CBD7栋</w:t>
      </w:r>
      <w:r>
        <w:rPr>
          <w:rFonts w:hint="eastAsia" w:ascii="宋体" w:hAnsi="宋体" w:eastAsia="宋体" w:cs="宋体"/>
          <w:color w:val="auto"/>
          <w:sz w:val="24"/>
          <w:szCs w:val="24"/>
          <w:highlight w:val="none"/>
          <w:lang w:eastAsia="zh-CN"/>
        </w:rPr>
        <w:t>重庆两山建设开发有限公司</w:t>
      </w:r>
      <w:r>
        <w:rPr>
          <w:rFonts w:hint="eastAsia" w:ascii="宋体" w:hAnsi="宋体" w:cs="宋体"/>
          <w:color w:val="auto"/>
          <w:sz w:val="24"/>
          <w:szCs w:val="24"/>
          <w:highlight w:val="none"/>
          <w:lang w:val="en-US" w:eastAsia="zh-CN"/>
        </w:rPr>
        <w:t>2楼</w:t>
      </w:r>
      <w:r>
        <w:rPr>
          <w:rFonts w:hint="eastAsia" w:ascii="宋体" w:hAnsi="宋体" w:eastAsia="宋体" w:cs="宋体"/>
          <w:color w:val="auto"/>
          <w:sz w:val="24"/>
          <w:szCs w:val="24"/>
          <w:highlight w:val="none"/>
        </w:rPr>
        <w:t>会议室</w:t>
      </w:r>
      <w:r>
        <w:rPr>
          <w:rFonts w:hint="eastAsia" w:ascii="宋体" w:hAnsi="宋体" w:eastAsia="宋体" w:cs="宋体"/>
          <w:color w:val="auto"/>
          <w:sz w:val="24"/>
          <w:szCs w:val="24"/>
          <w:highlight w:val="none"/>
          <w:lang w:eastAsia="zh-CN"/>
        </w:rPr>
        <w:t>。</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）响应文件递交开始时间：20</w:t>
      </w:r>
      <w:r>
        <w:rPr>
          <w:rFonts w:hint="eastAsia" w:ascii="宋体" w:hAnsi="宋体" w:eastAsia="宋体" w:cs="宋体"/>
          <w:color w:val="auto"/>
          <w:sz w:val="24"/>
          <w:szCs w:val="24"/>
          <w:highlight w:val="none"/>
          <w:lang w:val="en-US" w:eastAsia="zh-CN"/>
        </w:rPr>
        <w:t>24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0</w:t>
      </w:r>
      <w:r>
        <w:rPr>
          <w:rFonts w:hint="eastAsia" w:ascii="宋体" w:hAnsi="宋体" w:eastAsia="宋体" w:cs="宋体"/>
          <w:color w:val="auto"/>
          <w:sz w:val="24"/>
          <w:szCs w:val="24"/>
          <w:highlight w:val="none"/>
        </w:rPr>
        <w:t>0。</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）响应文件递交截止时间：202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0。</w:t>
      </w:r>
    </w:p>
    <w:p>
      <w:pPr>
        <w:spacing w:line="360" w:lineRule="auto"/>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）磋商开始时间：202</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日北京时间</w:t>
      </w:r>
      <w:r>
        <w:rPr>
          <w:rFonts w:hint="eastAsia" w:ascii="宋体" w:hAnsi="宋体" w:eastAsia="宋体" w:cs="宋体"/>
          <w:color w:val="auto"/>
          <w:sz w:val="24"/>
          <w:szCs w:val="24"/>
          <w:highlight w:val="none"/>
          <w:lang w:val="en-US" w:eastAsia="zh-CN"/>
        </w:rPr>
        <w:t>14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w:t>
      </w:r>
      <w:r>
        <w:rPr>
          <w:rFonts w:hint="eastAsia" w:ascii="宋体" w:hAnsi="宋体" w:eastAsia="宋体" w:cs="宋体"/>
          <w:color w:val="auto"/>
          <w:sz w:val="24"/>
          <w:szCs w:val="24"/>
          <w:highlight w:val="none"/>
        </w:rPr>
        <w:t>。</w:t>
      </w:r>
    </w:p>
    <w:p>
      <w:pPr>
        <w:spacing w:before="0" w:after="0" w:line="360" w:lineRule="auto"/>
        <w:outlineLvl w:val="1"/>
        <w:rPr>
          <w:rFonts w:hint="eastAsia" w:ascii="宋体" w:hAnsi="宋体" w:eastAsia="宋体" w:cs="宋体"/>
          <w:color w:val="auto"/>
          <w:sz w:val="24"/>
          <w:szCs w:val="24"/>
          <w:highlight w:val="none"/>
          <w:lang w:val="en-US" w:eastAsia="zh-CN"/>
        </w:rPr>
      </w:pPr>
      <w:bookmarkStart w:id="21" w:name="_Toc13446"/>
      <w:bookmarkStart w:id="22" w:name="_Toc9985"/>
      <w:bookmarkStart w:id="23" w:name="_Toc15302"/>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磋商保证金</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（一）磋商保证金递交</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供应商须按本项目规定的磋商保证金金额进行缴纳（保证金金额详见本篇，一、竞争性磋商内容），由供应商从其单位账户将磋商保证金汇至以下账户，磋商保证金的到账截止时间为2024年6月</w:t>
      </w:r>
      <w:r>
        <w:rPr>
          <w:rFonts w:hint="eastAsia" w:ascii="宋体" w:hAnsi="宋体" w:cs="宋体"/>
          <w:color w:val="auto"/>
          <w:sz w:val="24"/>
          <w:szCs w:val="24"/>
          <w:highlight w:val="none"/>
          <w:lang w:val="en-US" w:eastAsia="zh-CN"/>
        </w:rPr>
        <w:t>13</w:t>
      </w:r>
      <w:r>
        <w:rPr>
          <w:rFonts w:hint="eastAsia" w:ascii="宋体" w:hAnsi="宋体" w:eastAsia="宋体" w:cs="宋体"/>
          <w:color w:val="auto"/>
          <w:sz w:val="24"/>
          <w:szCs w:val="24"/>
          <w:highlight w:val="none"/>
        </w:rPr>
        <w:t>日12:00。缴纳保证金时付款凭证备注栏必须备注项目名称（可简写）。</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磋商保证金账户：</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户  名：</w:t>
      </w:r>
      <w:r>
        <w:rPr>
          <w:rFonts w:hint="eastAsia" w:ascii="宋体" w:hAnsi="宋体" w:eastAsia="宋体" w:cs="宋体"/>
          <w:color w:val="auto"/>
          <w:sz w:val="24"/>
          <w:szCs w:val="24"/>
          <w:highlight w:val="none"/>
          <w:lang w:val="en-US" w:eastAsia="zh-CN"/>
        </w:rPr>
        <w:t>河南恒业工程咨询有限公司重庆分公司</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开户行：</w:t>
      </w:r>
      <w:r>
        <w:rPr>
          <w:rFonts w:hint="eastAsia" w:ascii="宋体" w:hAnsi="宋体" w:eastAsia="宋体" w:cs="宋体"/>
          <w:color w:val="auto"/>
          <w:sz w:val="24"/>
          <w:szCs w:val="24"/>
          <w:highlight w:val="none"/>
          <w:lang w:val="en-US" w:eastAsia="zh-CN"/>
        </w:rPr>
        <w:t>重庆渝北银座村镇银行有限责任公司龙溪支行</w:t>
      </w:r>
    </w:p>
    <w:p>
      <w:pPr>
        <w:snapToGrid w:val="0"/>
        <w:spacing w:line="360" w:lineRule="auto"/>
        <w:ind w:firstLine="360" w:firstLineChars="15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账  号：</w:t>
      </w:r>
      <w:r>
        <w:rPr>
          <w:rFonts w:hint="eastAsia" w:ascii="宋体" w:hAnsi="宋体" w:eastAsia="宋体" w:cs="宋体"/>
          <w:color w:val="auto"/>
          <w:sz w:val="24"/>
          <w:szCs w:val="24"/>
          <w:highlight w:val="none"/>
          <w:lang w:val="en-US" w:eastAsia="zh-CN"/>
        </w:rPr>
        <w:t xml:space="preserve">650835438700015  </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（二）保证金退还方式</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1.非成交供应商的保证金，在成交通知书发放后，由</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在五个工作日内按来款渠道直接退还。</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2.成交供应商的投标保证金，在成交供应商与采购人签订合同后，由</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扣除中标服务费后在五个工作日内按资金来款渠道直接退还</w:t>
      </w:r>
    </w:p>
    <w:p>
      <w:pPr>
        <w:snapToGrid w:val="0"/>
        <w:spacing w:line="360" w:lineRule="auto"/>
        <w:ind w:firstLine="361" w:firstLineChars="15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注：若非公司基本账户转出，视为无效磋商保证金。</w:t>
      </w:r>
    </w:p>
    <w:p>
      <w:pPr>
        <w:spacing w:before="0" w:after="0" w:line="360" w:lineRule="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其它有关规定</w:t>
      </w:r>
      <w:bookmarkEnd w:id="21"/>
      <w:bookmarkEnd w:id="22"/>
      <w:bookmarkEnd w:id="23"/>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（一）单位负责人为同一人或者存在直接控股、管理关系的不同供应商，不得参加同一合同项下的采购活动，否则均为无效响应。</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（二）为采购项目提供整体设计、规范编制或者项目管理、监理、检测等服务的供应商，不得再参加该采购项目的其他采购活动，否则均为无效响应。</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（三）本项目的补遗文件（如果有）一律在</w:t>
      </w:r>
      <w:r>
        <w:rPr>
          <w:rFonts w:hint="eastAsia" w:ascii="宋体" w:hAnsi="宋体" w:eastAsia="宋体" w:cs="宋体"/>
          <w:color w:val="auto"/>
          <w:sz w:val="24"/>
          <w:szCs w:val="24"/>
          <w:highlight w:val="none"/>
          <w:u w:val="none"/>
          <w:lang w:eastAsia="zh-CN"/>
        </w:rPr>
        <w:t>重庆市璧山区人民政府网</w:t>
      </w:r>
      <w:r>
        <w:rPr>
          <w:rFonts w:hint="eastAsia" w:ascii="宋体" w:hAnsi="宋体" w:eastAsia="宋体" w:cs="宋体"/>
          <w:color w:val="auto"/>
          <w:sz w:val="24"/>
          <w:szCs w:val="24"/>
          <w:highlight w:val="none"/>
        </w:rPr>
        <w:t>上发布，请各供应商注意下载；无论供应商下载与否，均视同供应商已知晓本项目补遗文件（如果有）的内容。</w:t>
      </w:r>
    </w:p>
    <w:p>
      <w:pPr>
        <w:snapToGrid w:val="0"/>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（四）超过响应文件截止时间递交的响应文件，恕不接收。</w:t>
      </w:r>
    </w:p>
    <w:p>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）供应商列入失信被执行人、重大税收违法案件当事人名单、政府采购严重违法失信行为记录名单的供应商，将拒绝其参与采购活动。</w:t>
      </w:r>
    </w:p>
    <w:p>
      <w:pPr>
        <w:snapToGrid w:val="0"/>
        <w:spacing w:line="360" w:lineRule="auto"/>
        <w:ind w:firstLine="361" w:firstLineChars="15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六</w:t>
      </w:r>
      <w:r>
        <w:rPr>
          <w:rFonts w:hint="eastAsia" w:ascii="宋体" w:hAnsi="宋体" w:eastAsia="宋体" w:cs="宋体"/>
          <w:b/>
          <w:bCs/>
          <w:color w:val="auto"/>
          <w:sz w:val="24"/>
          <w:szCs w:val="24"/>
          <w:highlight w:val="none"/>
        </w:rPr>
        <w:t>）本项目不接受联合体参与报价，否则按无效处理。</w:t>
      </w:r>
    </w:p>
    <w:p>
      <w:pPr>
        <w:snapToGrid w:val="0"/>
        <w:spacing w:line="360" w:lineRule="auto"/>
        <w:ind w:firstLine="361" w:firstLineChars="15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（七）本项目不接受合同分包，否则按无效处理。</w:t>
      </w:r>
    </w:p>
    <w:p>
      <w:pPr>
        <w:spacing w:before="0" w:after="0" w:line="360" w:lineRule="auto"/>
        <w:outlineLvl w:val="1"/>
        <w:rPr>
          <w:rFonts w:hint="eastAsia" w:ascii="宋体" w:hAnsi="宋体" w:eastAsia="宋体" w:cs="宋体"/>
          <w:color w:val="auto"/>
          <w:sz w:val="24"/>
          <w:szCs w:val="24"/>
          <w:highlight w:val="none"/>
        </w:rPr>
      </w:pPr>
      <w:bookmarkStart w:id="24" w:name="_Toc4205"/>
      <w:bookmarkStart w:id="25" w:name="_Toc29064"/>
      <w:bookmarkStart w:id="26" w:name="_Toc30888"/>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、联系方式</w:t>
      </w:r>
      <w:bookmarkEnd w:id="24"/>
      <w:bookmarkEnd w:id="25"/>
      <w:bookmarkEnd w:id="26"/>
    </w:p>
    <w:p>
      <w:pPr>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（一）采购人：重庆两山建设开发有限公司</w:t>
      </w:r>
    </w:p>
    <w:p>
      <w:pPr>
        <w:snapToGrid w:val="0"/>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陈老师</w:t>
      </w:r>
    </w:p>
    <w:p>
      <w:pPr>
        <w:snapToGrid w:val="0"/>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电话：18875140570</w:t>
      </w:r>
    </w:p>
    <w:p>
      <w:pPr>
        <w:snapToGrid w:val="0"/>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地址：重庆市璧山区</w:t>
      </w:r>
      <w:r>
        <w:rPr>
          <w:rFonts w:hint="eastAsia" w:ascii="宋体" w:hAnsi="宋体" w:eastAsia="宋体" w:cs="宋体"/>
          <w:color w:val="auto"/>
          <w:sz w:val="24"/>
          <w:szCs w:val="24"/>
          <w:highlight w:val="none"/>
          <w:lang w:val="en-US" w:eastAsia="zh-CN"/>
        </w:rPr>
        <w:t>璧泉街道双星大道50号CBD 7栋三楼</w:t>
      </w:r>
    </w:p>
    <w:p>
      <w:pPr>
        <w:pStyle w:val="2"/>
        <w:rPr>
          <w:rFonts w:hint="eastAsia" w:ascii="宋体" w:hAnsi="宋体" w:eastAsia="宋体" w:cs="宋体"/>
          <w:color w:val="auto"/>
          <w:sz w:val="24"/>
          <w:szCs w:val="24"/>
          <w:highlight w:val="none"/>
          <w:lang w:val="en-US" w:eastAsia="zh-CN"/>
        </w:rPr>
      </w:pPr>
    </w:p>
    <w:p>
      <w:pPr>
        <w:pStyle w:val="2"/>
        <w:rPr>
          <w:rFonts w:hint="eastAsia" w:ascii="宋体" w:hAnsi="宋体" w:eastAsia="宋体" w:cs="宋体"/>
          <w:color w:val="auto"/>
          <w:sz w:val="24"/>
          <w:szCs w:val="24"/>
          <w:highlight w:val="none"/>
          <w:lang w:val="en-US" w:eastAsia="zh-CN"/>
        </w:rPr>
      </w:pPr>
    </w:p>
    <w:p>
      <w:pPr>
        <w:snapToGrid w:val="0"/>
        <w:spacing w:line="360" w:lineRule="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采购代理机构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河南恒业工程咨询有限公司</w:t>
      </w:r>
    </w:p>
    <w:p>
      <w:pPr>
        <w:snapToGrid w:val="0"/>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张老师</w:t>
      </w:r>
    </w:p>
    <w:p>
      <w:pPr>
        <w:snapToGrid w:val="0"/>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18581113518</w:t>
      </w:r>
    </w:p>
    <w:p>
      <w:pPr>
        <w:snapToGrid w:val="0"/>
        <w:spacing w:line="360" w:lineRule="auto"/>
        <w:ind w:firstLine="720" w:firstLineChars="3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lang w:val="en-US" w:eastAsia="zh-CN"/>
        </w:rPr>
        <w:t>重庆市南岸区创智路315号</w:t>
      </w:r>
    </w:p>
    <w:p>
      <w:pP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br w:type="page"/>
      </w:r>
    </w:p>
    <w:p>
      <w:pPr>
        <w:rPr>
          <w:rFonts w:hint="eastAsia" w:ascii="宋体" w:hAnsi="宋体" w:eastAsia="宋体" w:cs="宋体"/>
          <w:color w:val="auto"/>
          <w:highlight w:val="none"/>
          <w:lang w:val="en-US" w:eastAsia="zh-CN"/>
        </w:rPr>
      </w:pPr>
    </w:p>
    <w:p>
      <w:pPr>
        <w:spacing w:before="0" w:after="0" w:line="360" w:lineRule="auto"/>
        <w:jc w:val="center"/>
        <w:outlineLvl w:val="0"/>
        <w:rPr>
          <w:rFonts w:hint="eastAsia" w:ascii="宋体" w:hAnsi="宋体" w:eastAsia="宋体" w:cs="宋体"/>
          <w:b/>
          <w:bCs/>
          <w:color w:val="auto"/>
          <w:sz w:val="36"/>
          <w:szCs w:val="36"/>
          <w:highlight w:val="none"/>
        </w:rPr>
      </w:pPr>
      <w:bookmarkStart w:id="27" w:name="_Toc16800"/>
      <w:bookmarkStart w:id="28" w:name="_Toc22453"/>
      <w:r>
        <w:rPr>
          <w:rFonts w:hint="eastAsia" w:ascii="宋体" w:hAnsi="宋体" w:eastAsia="宋体" w:cs="宋体"/>
          <w:b/>
          <w:bCs/>
          <w:color w:val="auto"/>
          <w:sz w:val="36"/>
          <w:szCs w:val="36"/>
          <w:highlight w:val="none"/>
        </w:rPr>
        <w:t>第二篇  采购</w:t>
      </w:r>
      <w:r>
        <w:rPr>
          <w:rFonts w:hint="eastAsia" w:ascii="宋体" w:hAnsi="宋体" w:eastAsia="宋体" w:cs="宋体"/>
          <w:b/>
          <w:bCs/>
          <w:color w:val="auto"/>
          <w:sz w:val="36"/>
          <w:szCs w:val="36"/>
          <w:highlight w:val="none"/>
          <w:lang w:eastAsia="zh-CN"/>
        </w:rPr>
        <w:t>技术</w:t>
      </w:r>
      <w:r>
        <w:rPr>
          <w:rFonts w:hint="eastAsia" w:ascii="宋体" w:hAnsi="宋体" w:eastAsia="宋体" w:cs="宋体"/>
          <w:b/>
          <w:bCs/>
          <w:color w:val="auto"/>
          <w:sz w:val="36"/>
          <w:szCs w:val="36"/>
          <w:highlight w:val="none"/>
        </w:rPr>
        <w:t>需求</w:t>
      </w:r>
      <w:bookmarkEnd w:id="27"/>
      <w:bookmarkEnd w:id="28"/>
    </w:p>
    <w:p>
      <w:pPr>
        <w:outlineLvl w:val="9"/>
        <w:rPr>
          <w:rFonts w:hint="eastAsia" w:ascii="宋体" w:hAnsi="宋体" w:eastAsia="宋体" w:cs="宋体"/>
          <w:b/>
          <w:bCs/>
          <w:color w:val="auto"/>
          <w:kern w:val="0"/>
          <w:sz w:val="24"/>
          <w:szCs w:val="24"/>
          <w:highlight w:val="none"/>
        </w:rPr>
      </w:pPr>
      <w:bookmarkStart w:id="29" w:name="_Toc12789058"/>
    </w:p>
    <w:p>
      <w:pPr>
        <w:pStyle w:val="31"/>
        <w:spacing w:line="360" w:lineRule="auto"/>
        <w:ind w:firstLine="560" w:firstLineChars="200"/>
        <w:outlineLvl w:val="1"/>
        <w:rPr>
          <w:rFonts w:hint="eastAsia" w:ascii="宋体" w:hAnsi="宋体" w:eastAsia="宋体" w:cs="宋体"/>
          <w:b w:val="0"/>
          <w:bCs w:val="0"/>
          <w:snapToGrid w:val="0"/>
          <w:color w:val="auto"/>
          <w:kern w:val="0"/>
          <w:sz w:val="28"/>
          <w:szCs w:val="28"/>
          <w:highlight w:val="none"/>
          <w:u w:val="none" w:color="auto"/>
          <w:lang w:val="zh-TW" w:eastAsia="zh-CN"/>
        </w:rPr>
      </w:pPr>
      <w:bookmarkStart w:id="30" w:name="_Toc32529"/>
      <w:r>
        <w:rPr>
          <w:rFonts w:hint="eastAsia" w:ascii="宋体" w:hAnsi="宋体" w:eastAsia="宋体" w:cs="宋体"/>
          <w:b w:val="0"/>
          <w:bCs w:val="0"/>
          <w:snapToGrid w:val="0"/>
          <w:color w:val="auto"/>
          <w:kern w:val="0"/>
          <w:sz w:val="28"/>
          <w:szCs w:val="28"/>
          <w:highlight w:val="none"/>
          <w:u w:val="none" w:color="auto"/>
          <w:lang w:val="zh-TW" w:eastAsia="zh-CN"/>
        </w:rPr>
        <w:t>一</w:t>
      </w:r>
      <w:r>
        <w:rPr>
          <w:rFonts w:hint="eastAsia" w:ascii="宋体" w:hAnsi="宋体" w:eastAsia="宋体" w:cs="宋体"/>
          <w:b w:val="0"/>
          <w:bCs w:val="0"/>
          <w:snapToGrid w:val="0"/>
          <w:color w:val="auto"/>
          <w:kern w:val="0"/>
          <w:sz w:val="28"/>
          <w:szCs w:val="28"/>
          <w:highlight w:val="none"/>
          <w:u w:val="none" w:color="auto"/>
          <w:lang w:val="zh-TW"/>
        </w:rPr>
        <w:t>、项目</w:t>
      </w:r>
      <w:r>
        <w:rPr>
          <w:rFonts w:hint="eastAsia" w:ascii="宋体" w:hAnsi="宋体" w:eastAsia="宋体" w:cs="宋体"/>
          <w:b w:val="0"/>
          <w:bCs w:val="0"/>
          <w:snapToGrid w:val="0"/>
          <w:color w:val="auto"/>
          <w:kern w:val="0"/>
          <w:sz w:val="28"/>
          <w:szCs w:val="28"/>
          <w:highlight w:val="none"/>
          <w:u w:val="none" w:color="auto"/>
          <w:lang w:val="zh-TW" w:eastAsia="zh-CN"/>
        </w:rPr>
        <w:t>概况</w:t>
      </w:r>
      <w:bookmarkEnd w:id="30"/>
    </w:p>
    <w:p>
      <w:pPr>
        <w:spacing w:line="540" w:lineRule="exact"/>
        <w:ind w:firstLine="480" w:firstLineChars="200"/>
        <w:outlineLvl w:val="9"/>
        <w:rPr>
          <w:rFonts w:hint="eastAsia" w:ascii="宋体" w:hAnsi="宋体" w:eastAsia="宋体" w:cs="宋体"/>
          <w:snapToGrid w:val="0"/>
          <w:color w:val="auto"/>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u w:val="none" w:color="auto"/>
          <w:lang w:val="en-US" w:eastAsia="zh-CN" w:bidi="ar-SA"/>
        </w:rPr>
        <w:t>璧山新材料产业园项目一期工程经我委《关于璧山新材料产业园项目一期工程投资概算的批复》(璧发改【2022】277号)批复实施本工程为璧山新材料产业园项目一期工程配套外线接入电力建设工程，主要包括:电力电缆敷设、电缆保护管埋设、电力检查井修建:原有道路的拆除及恢复、铜母线安装、配电箱安装、桥架安装等工程内容。具体详见施工图及工程量清单内容。</w:t>
      </w:r>
    </w:p>
    <w:p>
      <w:pPr>
        <w:numPr>
          <w:ilvl w:val="0"/>
          <w:numId w:val="13"/>
        </w:numPr>
        <w:spacing w:line="540" w:lineRule="exact"/>
        <w:ind w:left="0" w:leftChars="0" w:firstLine="420" w:firstLineChars="0"/>
        <w:outlineLvl w:val="9"/>
        <w:rPr>
          <w:rFonts w:hint="eastAsia" w:ascii="宋体" w:hAnsi="宋体" w:eastAsia="宋体" w:cs="宋体"/>
          <w:snapToGrid w:val="0"/>
          <w:color w:val="auto"/>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u w:val="none" w:color="auto"/>
          <w:lang w:val="en-US" w:eastAsia="zh-CN" w:bidi="ar-SA"/>
        </w:rPr>
        <w:t>采购范围：包括《重庆两山建设开发有限公司璧山新材料产业园项目一期工程电力建设工程设计图》及《（对外发布招标控制价）璧山新材料产业园项目一期工程电力建设工程》中的全部内容，</w:t>
      </w:r>
      <w:r>
        <w:rPr>
          <w:rFonts w:hint="eastAsia" w:ascii="宋体" w:hAnsi="宋体" w:eastAsia="宋体" w:cs="宋体"/>
          <w:b/>
          <w:bCs/>
          <w:snapToGrid w:val="0"/>
          <w:color w:val="auto"/>
          <w:kern w:val="0"/>
          <w:sz w:val="24"/>
          <w:szCs w:val="24"/>
          <w:highlight w:val="none"/>
          <w:u w:val="none" w:color="auto"/>
          <w:lang w:val="en-US" w:eastAsia="zh-CN" w:bidi="ar-SA"/>
        </w:rPr>
        <w:t>详见招标清单</w:t>
      </w:r>
      <w:r>
        <w:rPr>
          <w:rFonts w:hint="eastAsia" w:ascii="宋体" w:hAnsi="宋体" w:eastAsia="宋体" w:cs="宋体"/>
          <w:snapToGrid w:val="0"/>
          <w:color w:val="auto"/>
          <w:kern w:val="0"/>
          <w:sz w:val="24"/>
          <w:szCs w:val="24"/>
          <w:highlight w:val="none"/>
          <w:u w:val="none" w:color="auto"/>
          <w:lang w:val="en-US" w:eastAsia="zh-CN" w:bidi="ar-SA"/>
        </w:rPr>
        <w:t>。</w:t>
      </w:r>
    </w:p>
    <w:p>
      <w:pPr>
        <w:numPr>
          <w:ilvl w:val="0"/>
          <w:numId w:val="13"/>
        </w:numPr>
        <w:spacing w:line="540" w:lineRule="exact"/>
        <w:ind w:left="0" w:leftChars="0" w:firstLine="420" w:firstLineChars="0"/>
        <w:outlineLvl w:val="9"/>
        <w:rPr>
          <w:rFonts w:hint="eastAsia" w:ascii="宋体" w:hAnsi="宋体" w:eastAsia="宋体" w:cs="宋体"/>
          <w:snapToGrid w:val="0"/>
          <w:color w:val="auto"/>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u w:val="none" w:color="auto"/>
          <w:lang w:val="zh-TW" w:eastAsia="zh-CN" w:bidi="ar-SA"/>
        </w:rPr>
        <w:t>计划工期：</w:t>
      </w:r>
      <w:r>
        <w:rPr>
          <w:rFonts w:hint="eastAsia" w:ascii="宋体" w:hAnsi="宋体" w:eastAsia="宋体" w:cs="宋体"/>
          <w:snapToGrid w:val="0"/>
          <w:color w:val="auto"/>
          <w:kern w:val="0"/>
          <w:sz w:val="24"/>
          <w:szCs w:val="24"/>
          <w:highlight w:val="none"/>
          <w:u w:val="none" w:color="auto"/>
          <w:lang w:val="en-US" w:eastAsia="zh-CN" w:bidi="ar-SA"/>
        </w:rPr>
        <w:t>45日历天，开工时间以（采购人或监理工程师）下达的开工令为准</w:t>
      </w:r>
      <w:r>
        <w:rPr>
          <w:rFonts w:hint="eastAsia" w:ascii="宋体" w:hAnsi="宋体" w:cs="宋体"/>
          <w:snapToGrid w:val="0"/>
          <w:color w:val="auto"/>
          <w:kern w:val="0"/>
          <w:sz w:val="24"/>
          <w:szCs w:val="24"/>
          <w:highlight w:val="none"/>
          <w:u w:val="none" w:color="auto"/>
          <w:lang w:val="en-US" w:eastAsia="zh-CN" w:bidi="ar-SA"/>
        </w:rPr>
        <w:t>，缺陷责任期24个月</w:t>
      </w:r>
      <w:r>
        <w:rPr>
          <w:rFonts w:hint="eastAsia" w:ascii="宋体" w:hAnsi="宋体" w:eastAsia="宋体" w:cs="宋体"/>
          <w:snapToGrid w:val="0"/>
          <w:color w:val="auto"/>
          <w:kern w:val="0"/>
          <w:sz w:val="24"/>
          <w:szCs w:val="24"/>
          <w:highlight w:val="none"/>
          <w:u w:val="none" w:color="auto"/>
          <w:lang w:val="en-US" w:eastAsia="zh-CN" w:bidi="ar-SA"/>
        </w:rPr>
        <w:t>。</w:t>
      </w:r>
    </w:p>
    <w:p>
      <w:pPr>
        <w:numPr>
          <w:ilvl w:val="0"/>
          <w:numId w:val="13"/>
        </w:numPr>
        <w:spacing w:line="540" w:lineRule="exact"/>
        <w:ind w:left="0" w:leftChars="0" w:firstLine="420" w:firstLineChars="0"/>
        <w:outlineLvl w:val="9"/>
        <w:rPr>
          <w:rFonts w:hint="eastAsia" w:ascii="宋体" w:hAnsi="宋体" w:eastAsia="宋体" w:cs="宋体"/>
          <w:snapToGrid w:val="0"/>
          <w:color w:val="auto"/>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u w:val="none" w:color="auto"/>
          <w:lang w:val="en-US" w:eastAsia="zh-CN" w:bidi="ar-SA"/>
        </w:rPr>
        <w:t>质量要求：符合强制性质量标准，符合国家和重庆市现行有关施工质量验收规范要求，并达到合格标准。</w:t>
      </w:r>
    </w:p>
    <w:p>
      <w:pPr>
        <w:numPr>
          <w:ilvl w:val="0"/>
          <w:numId w:val="13"/>
        </w:numPr>
        <w:spacing w:line="540" w:lineRule="exact"/>
        <w:ind w:left="0" w:leftChars="0" w:firstLine="420" w:firstLineChars="0"/>
        <w:outlineLvl w:val="9"/>
        <w:rPr>
          <w:rFonts w:hint="eastAsia" w:ascii="宋体" w:hAnsi="宋体" w:eastAsia="宋体" w:cs="宋体"/>
          <w:snapToGrid w:val="0"/>
          <w:color w:val="auto"/>
          <w:kern w:val="0"/>
          <w:sz w:val="24"/>
          <w:szCs w:val="24"/>
          <w:highlight w:val="none"/>
          <w:u w:val="none" w:color="auto"/>
          <w:lang w:val="en-US" w:eastAsia="zh-CN" w:bidi="ar-SA"/>
        </w:rPr>
      </w:pPr>
      <w:r>
        <w:rPr>
          <w:rFonts w:hint="eastAsia" w:ascii="宋体" w:hAnsi="宋体" w:eastAsia="宋体" w:cs="宋体"/>
          <w:snapToGrid w:val="0"/>
          <w:color w:val="auto"/>
          <w:kern w:val="0"/>
          <w:sz w:val="24"/>
          <w:szCs w:val="24"/>
          <w:highlight w:val="none"/>
          <w:u w:val="none" w:color="auto"/>
          <w:lang w:val="en-US" w:eastAsia="zh-CN" w:bidi="ar-SA"/>
        </w:rPr>
        <w:t>缺陷责任期：24个月。</w:t>
      </w:r>
    </w:p>
    <w:p>
      <w:pPr>
        <w:pStyle w:val="31"/>
        <w:spacing w:line="360" w:lineRule="auto"/>
        <w:outlineLvl w:val="9"/>
        <w:rPr>
          <w:rFonts w:hint="eastAsia" w:ascii="宋体" w:hAnsi="宋体" w:eastAsia="宋体" w:cs="宋体"/>
          <w:b/>
          <w:bCs/>
          <w:snapToGrid w:val="0"/>
          <w:color w:val="auto"/>
          <w:kern w:val="0"/>
          <w:sz w:val="28"/>
          <w:szCs w:val="28"/>
          <w:highlight w:val="none"/>
          <w:u w:val="none" w:color="auto"/>
          <w:lang w:val="zh-TW" w:eastAsia="zh-CN"/>
        </w:rPr>
      </w:pPr>
    </w:p>
    <w:p>
      <w:pPr>
        <w:pStyle w:val="31"/>
        <w:spacing w:line="360" w:lineRule="auto"/>
        <w:ind w:firstLine="560" w:firstLineChars="200"/>
        <w:outlineLvl w:val="1"/>
        <w:rPr>
          <w:rFonts w:hint="eastAsia" w:ascii="宋体" w:hAnsi="宋体" w:eastAsia="宋体" w:cs="宋体"/>
          <w:b w:val="0"/>
          <w:bCs w:val="0"/>
          <w:snapToGrid w:val="0"/>
          <w:color w:val="auto"/>
          <w:kern w:val="0"/>
          <w:sz w:val="28"/>
          <w:szCs w:val="28"/>
          <w:highlight w:val="none"/>
          <w:u w:val="none" w:color="auto"/>
          <w:lang w:val="zh-TW" w:eastAsia="zh-CN"/>
        </w:rPr>
      </w:pPr>
      <w:bookmarkStart w:id="31" w:name="_Toc18257"/>
      <w:r>
        <w:rPr>
          <w:rFonts w:hint="eastAsia" w:ascii="宋体" w:hAnsi="宋体" w:eastAsia="宋体" w:cs="宋体"/>
          <w:b w:val="0"/>
          <w:bCs w:val="0"/>
          <w:snapToGrid w:val="0"/>
          <w:color w:val="auto"/>
          <w:kern w:val="0"/>
          <w:sz w:val="28"/>
          <w:szCs w:val="28"/>
          <w:highlight w:val="none"/>
          <w:u w:val="none" w:color="auto"/>
          <w:lang w:val="zh-TW" w:eastAsia="zh-CN"/>
        </w:rPr>
        <w:t>二</w:t>
      </w:r>
      <w:r>
        <w:rPr>
          <w:rFonts w:hint="eastAsia" w:ascii="宋体" w:hAnsi="宋体" w:eastAsia="宋体" w:cs="宋体"/>
          <w:b w:val="0"/>
          <w:bCs w:val="0"/>
          <w:snapToGrid w:val="0"/>
          <w:color w:val="auto"/>
          <w:kern w:val="0"/>
          <w:sz w:val="28"/>
          <w:szCs w:val="28"/>
          <w:highlight w:val="none"/>
          <w:u w:val="none" w:color="auto"/>
          <w:lang w:val="zh-TW"/>
        </w:rPr>
        <w:t>、</w:t>
      </w:r>
      <w:r>
        <w:rPr>
          <w:rFonts w:hint="eastAsia" w:ascii="宋体" w:hAnsi="宋体" w:eastAsia="宋体" w:cs="宋体"/>
          <w:b w:val="0"/>
          <w:bCs w:val="0"/>
          <w:snapToGrid w:val="0"/>
          <w:color w:val="auto"/>
          <w:kern w:val="0"/>
          <w:sz w:val="28"/>
          <w:szCs w:val="28"/>
          <w:highlight w:val="none"/>
          <w:u w:val="none" w:color="auto"/>
          <w:lang w:val="zh-TW" w:eastAsia="zh-CN"/>
        </w:rPr>
        <w:t>实施要求</w:t>
      </w:r>
      <w:bookmarkEnd w:id="31"/>
    </w:p>
    <w:p>
      <w:pPr>
        <w:pStyle w:val="31"/>
        <w:spacing w:line="360" w:lineRule="auto"/>
        <w:ind w:firstLine="400" w:firstLineChars="200"/>
        <w:outlineLvl w:val="9"/>
        <w:rPr>
          <w:rFonts w:hint="eastAsia" w:ascii="宋体" w:hAnsi="宋体" w:eastAsia="宋体" w:cs="宋体"/>
          <w:snapToGrid w:val="0"/>
          <w:color w:val="auto"/>
          <w:sz w:val="24"/>
          <w:szCs w:val="24"/>
          <w:highlight w:val="none"/>
          <w:u w:val="none" w:color="auto"/>
        </w:rPr>
      </w:pPr>
      <w:r>
        <w:rPr>
          <w:rFonts w:hint="eastAsia" w:ascii="宋体" w:hAnsi="宋体" w:eastAsia="宋体" w:cs="宋体"/>
          <w:color w:val="auto"/>
          <w:sz w:val="20"/>
          <w:szCs w:val="18"/>
          <w:highlight w:val="none"/>
          <w:lang w:val="en-US" w:eastAsia="zh-CN"/>
        </w:rPr>
        <w:t xml:space="preserve"> </w:t>
      </w:r>
      <w:r>
        <w:rPr>
          <w:rFonts w:hint="eastAsia" w:ascii="宋体" w:hAnsi="宋体" w:eastAsia="宋体" w:cs="宋体"/>
          <w:snapToGrid w:val="0"/>
          <w:color w:val="auto"/>
          <w:sz w:val="24"/>
          <w:szCs w:val="24"/>
          <w:highlight w:val="none"/>
          <w:u w:val="none" w:color="auto"/>
          <w:lang w:val="en-US" w:eastAsia="zh-CN"/>
        </w:rPr>
        <w:t>（一）</w:t>
      </w:r>
      <w:r>
        <w:rPr>
          <w:rFonts w:hint="eastAsia" w:ascii="宋体" w:hAnsi="宋体" w:eastAsia="宋体" w:cs="宋体"/>
          <w:snapToGrid w:val="0"/>
          <w:color w:val="auto"/>
          <w:sz w:val="24"/>
          <w:szCs w:val="24"/>
          <w:highlight w:val="none"/>
          <w:u w:val="none" w:color="auto"/>
        </w:rPr>
        <w:t>项目经理</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val="en-US" w:eastAsia="zh-CN"/>
        </w:rPr>
        <w:t>1、拟派的项目经理已在申请人本单位注册并应具有机电专业二级及以上注册建造师执业资格，应为供应商本单位人员，并作出书面承诺：未在在建工程中担任项目经理，一经查实拟派项目经理已担任在建工程项目经理的，将取消其响应资格（若成交，则取消成交资格）</w:t>
      </w:r>
      <w:r>
        <w:rPr>
          <w:rFonts w:hint="eastAsia" w:ascii="宋体" w:hAnsi="宋体" w:eastAsia="宋体" w:cs="宋体"/>
          <w:b w:val="0"/>
          <w:bCs w:val="0"/>
          <w:snapToGrid w:val="0"/>
          <w:color w:val="auto"/>
          <w:sz w:val="24"/>
          <w:szCs w:val="24"/>
          <w:highlight w:val="none"/>
          <w:u w:val="none" w:color="auto"/>
        </w:rPr>
        <w:t>。</w:t>
      </w:r>
    </w:p>
    <w:p>
      <w:pPr>
        <w:pStyle w:val="31"/>
        <w:spacing w:line="360" w:lineRule="auto"/>
        <w:ind w:firstLine="482" w:firstLineChars="200"/>
        <w:outlineLvl w:val="9"/>
        <w:rPr>
          <w:rFonts w:hint="eastAsia" w:ascii="宋体" w:hAnsi="宋体" w:eastAsia="宋体" w:cs="宋体"/>
          <w:b/>
          <w:bCs/>
          <w:snapToGrid w:val="0"/>
          <w:color w:val="auto"/>
          <w:sz w:val="24"/>
          <w:szCs w:val="24"/>
          <w:highlight w:val="none"/>
          <w:u w:val="none" w:color="auto"/>
        </w:rPr>
      </w:pPr>
      <w:r>
        <w:rPr>
          <w:rFonts w:hint="eastAsia" w:ascii="宋体" w:hAnsi="宋体" w:eastAsia="宋体" w:cs="宋体"/>
          <w:b/>
          <w:bCs/>
          <w:snapToGrid w:val="0"/>
          <w:color w:val="auto"/>
          <w:sz w:val="24"/>
          <w:szCs w:val="24"/>
          <w:highlight w:val="none"/>
          <w:u w:val="none" w:color="auto"/>
          <w:lang w:val="zh-TW"/>
        </w:rPr>
        <w:t>注：提供有效的建造师注册证、本单位为其缴纳的养老保险证明材料、承诺书（见格式文件）。</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val="en-US" w:eastAsia="zh-CN"/>
        </w:rPr>
        <w:t>（二）项目技术负责人</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lang w:val="en-US" w:eastAsia="zh-CN"/>
        </w:rPr>
        <w:t>1、拟派项目技术负责人</w:t>
      </w:r>
      <w:r>
        <w:rPr>
          <w:rFonts w:hint="eastAsia" w:ascii="宋体" w:hAnsi="宋体" w:eastAsia="宋体" w:cs="宋体"/>
          <w:b w:val="0"/>
          <w:bCs w:val="0"/>
          <w:snapToGrid w:val="0"/>
          <w:color w:val="auto"/>
          <w:sz w:val="24"/>
          <w:szCs w:val="24"/>
          <w:highlight w:val="none"/>
          <w:u w:val="none" w:color="auto"/>
        </w:rPr>
        <w:t>应具有</w:t>
      </w:r>
      <w:r>
        <w:rPr>
          <w:rFonts w:hint="eastAsia" w:ascii="宋体" w:hAnsi="宋体" w:eastAsia="宋体" w:cs="宋体"/>
          <w:b w:val="0"/>
          <w:bCs w:val="0"/>
          <w:snapToGrid w:val="0"/>
          <w:color w:val="auto"/>
          <w:sz w:val="24"/>
          <w:szCs w:val="24"/>
          <w:highlight w:val="none"/>
          <w:u w:val="none" w:color="auto"/>
          <w:lang w:val="en-US" w:eastAsia="zh-CN"/>
        </w:rPr>
        <w:t>工程类</w:t>
      </w:r>
      <w:r>
        <w:rPr>
          <w:rFonts w:hint="eastAsia" w:ascii="宋体" w:hAnsi="宋体" w:eastAsia="宋体" w:cs="宋体"/>
          <w:b w:val="0"/>
          <w:bCs w:val="0"/>
          <w:snapToGrid w:val="0"/>
          <w:color w:val="auto"/>
          <w:sz w:val="24"/>
          <w:szCs w:val="24"/>
          <w:highlight w:val="none"/>
          <w:u w:val="none" w:color="auto"/>
        </w:rPr>
        <w:t>相关专业中级及以上职称</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lang w:val="en-US" w:eastAsia="zh-CN"/>
        </w:rPr>
        <w:t>2、供应商须书面承诺项目技术负责人</w:t>
      </w:r>
      <w:r>
        <w:rPr>
          <w:rFonts w:hint="eastAsia" w:ascii="宋体" w:hAnsi="宋体" w:eastAsia="宋体" w:cs="宋体"/>
          <w:b w:val="0"/>
          <w:bCs w:val="0"/>
          <w:snapToGrid w:val="0"/>
          <w:color w:val="auto"/>
          <w:sz w:val="24"/>
          <w:szCs w:val="24"/>
          <w:highlight w:val="none"/>
          <w:u w:val="none" w:color="auto"/>
          <w:lang w:eastAsia="zh-CN"/>
        </w:rPr>
        <w:t>除法定原因外不得进行变更。</w:t>
      </w:r>
    </w:p>
    <w:p>
      <w:pPr>
        <w:pStyle w:val="31"/>
        <w:spacing w:line="360" w:lineRule="auto"/>
        <w:ind w:firstLine="482"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bCs/>
          <w:snapToGrid w:val="0"/>
          <w:color w:val="auto"/>
          <w:sz w:val="24"/>
          <w:szCs w:val="24"/>
          <w:highlight w:val="none"/>
          <w:u w:val="none" w:color="auto"/>
          <w:lang w:val="zh-TW"/>
        </w:rPr>
        <w:t>注：提供有效的</w:t>
      </w:r>
      <w:r>
        <w:rPr>
          <w:rFonts w:hint="eastAsia" w:ascii="宋体" w:hAnsi="宋体" w:eastAsia="宋体" w:cs="宋体"/>
          <w:b/>
          <w:bCs/>
          <w:snapToGrid w:val="0"/>
          <w:color w:val="auto"/>
          <w:sz w:val="24"/>
          <w:szCs w:val="24"/>
          <w:highlight w:val="none"/>
          <w:u w:val="none" w:color="auto"/>
        </w:rPr>
        <w:t>职称证</w:t>
      </w:r>
      <w:r>
        <w:rPr>
          <w:rFonts w:hint="eastAsia" w:ascii="宋体" w:hAnsi="宋体" w:eastAsia="宋体" w:cs="宋体"/>
          <w:b/>
          <w:bCs/>
          <w:snapToGrid w:val="0"/>
          <w:color w:val="auto"/>
          <w:sz w:val="24"/>
          <w:szCs w:val="24"/>
          <w:highlight w:val="none"/>
          <w:u w:val="none" w:color="auto"/>
          <w:lang w:val="zh-TW"/>
        </w:rPr>
        <w:t>、本单位为其缴纳的养老保险证明材料、承诺书（见格式文件）</w:t>
      </w:r>
      <w:r>
        <w:rPr>
          <w:rFonts w:hint="eastAsia" w:ascii="宋体" w:hAnsi="宋体" w:eastAsia="宋体" w:cs="宋体"/>
          <w:b/>
          <w:bCs/>
          <w:snapToGrid w:val="0"/>
          <w:color w:val="auto"/>
          <w:sz w:val="24"/>
          <w:szCs w:val="24"/>
          <w:highlight w:val="none"/>
          <w:u w:val="none" w:color="auto"/>
          <w:lang w:val="zh-TW"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eastAsia="zh-CN"/>
        </w:rPr>
        <w:t>（三）</w:t>
      </w:r>
      <w:r>
        <w:rPr>
          <w:rFonts w:hint="eastAsia" w:ascii="宋体" w:hAnsi="宋体" w:eastAsia="宋体" w:cs="宋体"/>
          <w:b w:val="0"/>
          <w:bCs w:val="0"/>
          <w:snapToGrid w:val="0"/>
          <w:color w:val="auto"/>
          <w:sz w:val="24"/>
          <w:szCs w:val="24"/>
          <w:highlight w:val="none"/>
          <w:u w:val="none" w:color="auto"/>
        </w:rPr>
        <w:t>主要管理人员</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val="en-US" w:eastAsia="zh-CN"/>
        </w:rPr>
      </w:pPr>
      <w:r>
        <w:rPr>
          <w:rFonts w:hint="eastAsia" w:ascii="宋体" w:hAnsi="宋体" w:eastAsia="宋体" w:cs="宋体"/>
          <w:b w:val="0"/>
          <w:bCs w:val="0"/>
          <w:snapToGrid w:val="0"/>
          <w:color w:val="auto"/>
          <w:sz w:val="24"/>
          <w:szCs w:val="24"/>
          <w:highlight w:val="none"/>
          <w:u w:val="none" w:color="auto"/>
          <w:lang w:val="en-US" w:eastAsia="zh-CN"/>
        </w:rPr>
        <w:t>供应商自行承诺中标后在签订合同之前，须按照建设行政主管部门的要求组建施工项目部，配置项目管理班子，出具任命文件。任命文件应当明确施工项目部的职责、岗位设置、人员配备，并书面通知建设单位。相关岗位管理人员应持有建设行政主管部门要求的岗位证书，并提供供应商为其缴纳的养老保险证明材料。中标后不能满足该要求的，</w:t>
      </w:r>
      <w:r>
        <w:rPr>
          <w:rFonts w:hint="eastAsia" w:hAnsi="宋体" w:cs="宋体"/>
          <w:b w:val="0"/>
          <w:bCs w:val="0"/>
          <w:snapToGrid w:val="0"/>
          <w:color w:val="auto"/>
          <w:sz w:val="24"/>
          <w:szCs w:val="24"/>
          <w:highlight w:val="none"/>
          <w:u w:val="none" w:color="auto"/>
          <w:lang w:val="en-US" w:eastAsia="zh-CN"/>
        </w:rPr>
        <w:t>采购人</w:t>
      </w:r>
      <w:r>
        <w:rPr>
          <w:rFonts w:hint="eastAsia" w:ascii="宋体" w:hAnsi="宋体" w:eastAsia="宋体" w:cs="宋体"/>
          <w:b w:val="0"/>
          <w:bCs w:val="0"/>
          <w:snapToGrid w:val="0"/>
          <w:color w:val="auto"/>
          <w:sz w:val="24"/>
          <w:szCs w:val="24"/>
          <w:highlight w:val="none"/>
          <w:u w:val="none" w:color="auto"/>
          <w:lang w:val="en-US" w:eastAsia="zh-CN"/>
        </w:rPr>
        <w:t>可取消其中标资格，给</w:t>
      </w:r>
      <w:r>
        <w:rPr>
          <w:rFonts w:hint="eastAsia" w:hAnsi="宋体" w:cs="宋体"/>
          <w:b w:val="0"/>
          <w:bCs w:val="0"/>
          <w:snapToGrid w:val="0"/>
          <w:color w:val="auto"/>
          <w:sz w:val="24"/>
          <w:szCs w:val="24"/>
          <w:highlight w:val="none"/>
          <w:u w:val="none" w:color="auto"/>
          <w:lang w:val="en-US" w:eastAsia="zh-CN"/>
        </w:rPr>
        <w:t>采购人</w:t>
      </w:r>
      <w:r>
        <w:rPr>
          <w:rFonts w:hint="eastAsia" w:ascii="宋体" w:hAnsi="宋体" w:eastAsia="宋体" w:cs="宋体"/>
          <w:b w:val="0"/>
          <w:bCs w:val="0"/>
          <w:snapToGrid w:val="0"/>
          <w:color w:val="auto"/>
          <w:sz w:val="24"/>
          <w:szCs w:val="24"/>
          <w:highlight w:val="none"/>
          <w:u w:val="none" w:color="auto"/>
          <w:lang w:val="en-US" w:eastAsia="zh-CN"/>
        </w:rPr>
        <w:t>造成损失的，供应商依法承担违约赔偿责任。</w:t>
      </w:r>
    </w:p>
    <w:p>
      <w:pPr>
        <w:pStyle w:val="31"/>
        <w:spacing w:line="360" w:lineRule="auto"/>
        <w:ind w:firstLine="482" w:firstLineChars="200"/>
        <w:outlineLvl w:val="9"/>
        <w:rPr>
          <w:rFonts w:hint="eastAsia" w:ascii="宋体" w:hAnsi="宋体" w:eastAsia="宋体" w:cs="宋体"/>
          <w:b w:val="0"/>
          <w:bCs w:val="0"/>
          <w:snapToGrid w:val="0"/>
          <w:color w:val="auto"/>
          <w:sz w:val="24"/>
          <w:szCs w:val="24"/>
          <w:highlight w:val="none"/>
          <w:u w:val="none" w:color="auto"/>
          <w:lang w:val="en-US" w:eastAsia="zh-CN"/>
        </w:rPr>
      </w:pPr>
      <w:r>
        <w:rPr>
          <w:rFonts w:hint="eastAsia" w:ascii="宋体" w:hAnsi="宋体" w:eastAsia="宋体" w:cs="宋体"/>
          <w:b/>
          <w:bCs/>
          <w:snapToGrid w:val="0"/>
          <w:color w:val="auto"/>
          <w:sz w:val="24"/>
          <w:szCs w:val="24"/>
          <w:highlight w:val="none"/>
          <w:u w:val="none" w:color="auto"/>
          <w:lang w:val="zh-TW"/>
        </w:rPr>
        <w:t>注：提供承诺书</w:t>
      </w:r>
      <w:r>
        <w:rPr>
          <w:rFonts w:hint="eastAsia" w:ascii="宋体" w:hAnsi="宋体" w:eastAsia="宋体" w:cs="宋体"/>
          <w:b/>
          <w:bCs/>
          <w:snapToGrid w:val="0"/>
          <w:color w:val="auto"/>
          <w:sz w:val="24"/>
          <w:szCs w:val="24"/>
          <w:highlight w:val="none"/>
          <w:u w:val="none" w:color="auto"/>
          <w:lang w:val="zh-TW" w:eastAsia="zh-CN"/>
        </w:rPr>
        <w:t>，</w:t>
      </w:r>
      <w:r>
        <w:rPr>
          <w:rFonts w:hint="eastAsia" w:ascii="宋体" w:hAnsi="宋体" w:eastAsia="宋体" w:cs="宋体"/>
          <w:b/>
          <w:bCs/>
          <w:snapToGrid w:val="0"/>
          <w:color w:val="auto"/>
          <w:sz w:val="24"/>
          <w:szCs w:val="24"/>
          <w:highlight w:val="none"/>
          <w:u w:val="none" w:color="auto"/>
          <w:lang w:val="en-US" w:eastAsia="zh-CN"/>
        </w:rPr>
        <w:t>格式自拟</w:t>
      </w:r>
      <w:r>
        <w:rPr>
          <w:rFonts w:hint="eastAsia" w:ascii="宋体" w:hAnsi="宋体" w:eastAsia="宋体" w:cs="宋体"/>
          <w:b/>
          <w:bCs/>
          <w:snapToGrid w:val="0"/>
          <w:color w:val="auto"/>
          <w:sz w:val="24"/>
          <w:szCs w:val="24"/>
          <w:highlight w:val="none"/>
          <w:u w:val="none" w:color="auto"/>
          <w:lang w:val="zh-TW"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val="en-US" w:eastAsia="zh-CN"/>
        </w:rPr>
        <w:t>（四）</w:t>
      </w:r>
      <w:r>
        <w:rPr>
          <w:rFonts w:hint="eastAsia" w:ascii="宋体" w:hAnsi="宋体" w:eastAsia="宋体" w:cs="宋体"/>
          <w:b w:val="0"/>
          <w:bCs w:val="0"/>
          <w:snapToGrid w:val="0"/>
          <w:color w:val="auto"/>
          <w:sz w:val="24"/>
          <w:szCs w:val="24"/>
          <w:highlight w:val="none"/>
          <w:u w:val="none" w:color="auto"/>
        </w:rPr>
        <w:t>信誉要求</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rPr>
        <w:t>（1）</w:t>
      </w:r>
      <w:r>
        <w:rPr>
          <w:rFonts w:hint="eastAsia" w:ascii="宋体" w:hAnsi="宋体" w:eastAsia="宋体" w:cs="宋体"/>
          <w:b w:val="0"/>
          <w:bCs w:val="0"/>
          <w:snapToGrid w:val="0"/>
          <w:color w:val="auto"/>
          <w:sz w:val="24"/>
          <w:szCs w:val="24"/>
          <w:highlight w:val="none"/>
          <w:u w:val="none" w:color="auto"/>
          <w:lang w:eastAsia="zh-CN"/>
        </w:rPr>
        <w:t>未被有关行政部门暂停投标资格或</w:t>
      </w:r>
      <w:r>
        <w:rPr>
          <w:rFonts w:hint="eastAsia" w:ascii="宋体" w:hAnsi="宋体" w:eastAsia="宋体" w:cs="宋体"/>
          <w:b w:val="0"/>
          <w:bCs w:val="0"/>
          <w:snapToGrid w:val="0"/>
          <w:color w:val="auto"/>
          <w:sz w:val="24"/>
          <w:szCs w:val="24"/>
          <w:highlight w:val="none"/>
          <w:u w:val="none" w:color="auto"/>
        </w:rPr>
        <w:t>被有关行政部门暂停投标资格期限已满</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rPr>
        <w:t>（2）</w:t>
      </w:r>
      <w:r>
        <w:rPr>
          <w:rFonts w:hint="eastAsia" w:ascii="宋体" w:hAnsi="宋体" w:eastAsia="宋体" w:cs="宋体"/>
          <w:b w:val="0"/>
          <w:bCs w:val="0"/>
          <w:snapToGrid w:val="0"/>
          <w:color w:val="auto"/>
          <w:sz w:val="24"/>
          <w:szCs w:val="24"/>
          <w:highlight w:val="none"/>
          <w:u w:val="none" w:color="auto"/>
          <w:lang w:eastAsia="zh-CN"/>
        </w:rPr>
        <w:t>磋商</w:t>
      </w:r>
      <w:r>
        <w:rPr>
          <w:rFonts w:hint="eastAsia" w:ascii="宋体" w:hAnsi="宋体" w:eastAsia="宋体" w:cs="宋体"/>
          <w:b w:val="0"/>
          <w:bCs w:val="0"/>
          <w:snapToGrid w:val="0"/>
          <w:color w:val="auto"/>
          <w:sz w:val="24"/>
          <w:szCs w:val="24"/>
          <w:highlight w:val="none"/>
          <w:u w:val="none" w:color="auto"/>
        </w:rPr>
        <w:t>截止前二年内</w:t>
      </w:r>
      <w:r>
        <w:rPr>
          <w:rFonts w:hint="eastAsia" w:ascii="宋体" w:hAnsi="宋体" w:eastAsia="宋体" w:cs="宋体"/>
          <w:b w:val="0"/>
          <w:bCs w:val="0"/>
          <w:snapToGrid w:val="0"/>
          <w:color w:val="auto"/>
          <w:sz w:val="24"/>
          <w:szCs w:val="24"/>
          <w:highlight w:val="none"/>
          <w:u w:val="none" w:color="auto"/>
          <w:lang w:eastAsia="zh-CN"/>
        </w:rPr>
        <w:t>供应商</w:t>
      </w:r>
      <w:r>
        <w:rPr>
          <w:rFonts w:hint="eastAsia" w:ascii="宋体" w:hAnsi="宋体" w:eastAsia="宋体" w:cs="宋体"/>
          <w:b w:val="0"/>
          <w:bCs w:val="0"/>
          <w:snapToGrid w:val="0"/>
          <w:color w:val="auto"/>
          <w:sz w:val="24"/>
          <w:szCs w:val="24"/>
          <w:highlight w:val="none"/>
          <w:u w:val="none" w:color="auto"/>
        </w:rPr>
        <w:t>单位和其法定代表人无行贿犯罪记录</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rPr>
        <w:t>（3）</w:t>
      </w:r>
      <w:r>
        <w:rPr>
          <w:rFonts w:hint="eastAsia" w:ascii="宋体" w:hAnsi="宋体" w:eastAsia="宋体" w:cs="宋体"/>
          <w:b w:val="0"/>
          <w:bCs w:val="0"/>
          <w:snapToGrid w:val="0"/>
          <w:color w:val="auto"/>
          <w:sz w:val="24"/>
          <w:szCs w:val="24"/>
          <w:highlight w:val="none"/>
          <w:u w:val="none" w:color="auto"/>
          <w:lang w:eastAsia="zh-CN"/>
        </w:rPr>
        <w:t>供应商</w:t>
      </w:r>
      <w:r>
        <w:rPr>
          <w:rFonts w:hint="eastAsia" w:ascii="宋体" w:hAnsi="宋体" w:eastAsia="宋体" w:cs="宋体"/>
          <w:b w:val="0"/>
          <w:bCs w:val="0"/>
          <w:snapToGrid w:val="0"/>
          <w:color w:val="auto"/>
          <w:sz w:val="24"/>
          <w:szCs w:val="24"/>
          <w:highlight w:val="none"/>
          <w:u w:val="none" w:color="auto"/>
        </w:rPr>
        <w:t>被人民法院列为失信被执行人的不得参与</w:t>
      </w:r>
      <w:r>
        <w:rPr>
          <w:rFonts w:hint="eastAsia" w:ascii="宋体" w:hAnsi="宋体" w:eastAsia="宋体" w:cs="宋体"/>
          <w:b w:val="0"/>
          <w:bCs w:val="0"/>
          <w:snapToGrid w:val="0"/>
          <w:color w:val="auto"/>
          <w:sz w:val="24"/>
          <w:szCs w:val="24"/>
          <w:highlight w:val="none"/>
          <w:u w:val="none" w:color="auto"/>
          <w:lang w:eastAsia="zh-CN"/>
        </w:rPr>
        <w:t>本项目</w:t>
      </w:r>
      <w:r>
        <w:rPr>
          <w:rFonts w:hint="eastAsia" w:ascii="宋体" w:hAnsi="宋体" w:eastAsia="宋体" w:cs="宋体"/>
          <w:b w:val="0"/>
          <w:bCs w:val="0"/>
          <w:snapToGrid w:val="0"/>
          <w:color w:val="auto"/>
          <w:sz w:val="24"/>
          <w:szCs w:val="24"/>
          <w:highlight w:val="none"/>
          <w:u w:val="none" w:color="auto"/>
        </w:rPr>
        <w:t>。</w:t>
      </w:r>
      <w:r>
        <w:rPr>
          <w:rFonts w:hint="eastAsia" w:ascii="宋体" w:hAnsi="宋体" w:eastAsia="宋体" w:cs="宋体"/>
          <w:b w:val="0"/>
          <w:bCs w:val="0"/>
          <w:snapToGrid w:val="0"/>
          <w:color w:val="auto"/>
          <w:sz w:val="24"/>
          <w:szCs w:val="24"/>
          <w:highlight w:val="none"/>
          <w:u w:val="none" w:color="auto"/>
          <w:lang w:eastAsia="zh-CN"/>
        </w:rPr>
        <w:t>供应商</w:t>
      </w:r>
      <w:r>
        <w:rPr>
          <w:rFonts w:hint="eastAsia" w:ascii="宋体" w:hAnsi="宋体" w:eastAsia="宋体" w:cs="宋体"/>
          <w:b w:val="0"/>
          <w:bCs w:val="0"/>
          <w:snapToGrid w:val="0"/>
          <w:color w:val="auto"/>
          <w:sz w:val="24"/>
          <w:szCs w:val="24"/>
          <w:highlight w:val="none"/>
          <w:u w:val="none" w:color="auto"/>
        </w:rPr>
        <w:t>应通过“信用中国”网站（www.creditchina.gov.cn）查询被列为失信被执行人情况，并在</w:t>
      </w:r>
      <w:r>
        <w:rPr>
          <w:rFonts w:hint="eastAsia" w:ascii="宋体" w:hAnsi="宋体" w:eastAsia="宋体" w:cs="宋体"/>
          <w:b w:val="0"/>
          <w:bCs w:val="0"/>
          <w:snapToGrid w:val="0"/>
          <w:color w:val="auto"/>
          <w:sz w:val="24"/>
          <w:szCs w:val="24"/>
          <w:highlight w:val="none"/>
          <w:u w:val="none" w:color="auto"/>
          <w:lang w:eastAsia="zh-CN"/>
        </w:rPr>
        <w:t>响应</w:t>
      </w:r>
      <w:r>
        <w:rPr>
          <w:rFonts w:hint="eastAsia" w:ascii="宋体" w:hAnsi="宋体" w:eastAsia="宋体" w:cs="宋体"/>
          <w:b w:val="0"/>
          <w:bCs w:val="0"/>
          <w:snapToGrid w:val="0"/>
          <w:color w:val="auto"/>
          <w:sz w:val="24"/>
          <w:szCs w:val="24"/>
          <w:highlight w:val="none"/>
          <w:u w:val="none" w:color="auto"/>
        </w:rPr>
        <w:t>文件中提供相关查询截图并加盖</w:t>
      </w:r>
      <w:r>
        <w:rPr>
          <w:rFonts w:hint="eastAsia" w:ascii="宋体" w:hAnsi="宋体" w:eastAsia="宋体" w:cs="宋体"/>
          <w:b w:val="0"/>
          <w:bCs w:val="0"/>
          <w:snapToGrid w:val="0"/>
          <w:color w:val="auto"/>
          <w:sz w:val="24"/>
          <w:szCs w:val="24"/>
          <w:highlight w:val="none"/>
          <w:u w:val="none" w:color="auto"/>
          <w:lang w:eastAsia="zh-CN"/>
        </w:rPr>
        <w:t>供应商</w:t>
      </w:r>
      <w:r>
        <w:rPr>
          <w:rFonts w:hint="eastAsia" w:ascii="宋体" w:hAnsi="宋体" w:eastAsia="宋体" w:cs="宋体"/>
          <w:b w:val="0"/>
          <w:bCs w:val="0"/>
          <w:snapToGrid w:val="0"/>
          <w:color w:val="auto"/>
          <w:sz w:val="24"/>
          <w:szCs w:val="24"/>
          <w:highlight w:val="none"/>
          <w:u w:val="none" w:color="auto"/>
        </w:rPr>
        <w:t>公章</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（4）</w:t>
      </w:r>
      <w:r>
        <w:rPr>
          <w:rFonts w:hint="eastAsia" w:ascii="宋体" w:hAnsi="宋体" w:eastAsia="宋体" w:cs="宋体"/>
          <w:b w:val="0"/>
          <w:bCs w:val="0"/>
          <w:snapToGrid w:val="0"/>
          <w:color w:val="auto"/>
          <w:sz w:val="24"/>
          <w:szCs w:val="24"/>
          <w:highlight w:val="none"/>
          <w:u w:val="none" w:color="auto"/>
          <w:lang w:eastAsia="zh-CN"/>
        </w:rPr>
        <w:t>供应商自行</w:t>
      </w:r>
      <w:r>
        <w:rPr>
          <w:rFonts w:hint="eastAsia" w:ascii="宋体" w:hAnsi="宋体" w:eastAsia="宋体" w:cs="宋体"/>
          <w:b w:val="0"/>
          <w:bCs w:val="0"/>
          <w:snapToGrid w:val="0"/>
          <w:color w:val="auto"/>
          <w:sz w:val="24"/>
          <w:szCs w:val="24"/>
          <w:highlight w:val="none"/>
          <w:u w:val="none" w:color="auto"/>
        </w:rPr>
        <w:t>提交承诺书原件</w:t>
      </w:r>
      <w:r>
        <w:rPr>
          <w:rFonts w:hint="eastAsia" w:ascii="宋体" w:hAnsi="宋体" w:eastAsia="宋体" w:cs="宋体"/>
          <w:b w:val="0"/>
          <w:bCs w:val="0"/>
          <w:snapToGrid w:val="0"/>
          <w:color w:val="auto"/>
          <w:sz w:val="24"/>
          <w:szCs w:val="24"/>
          <w:highlight w:val="none"/>
          <w:u w:val="none" w:color="auto"/>
          <w:lang w:eastAsia="zh-CN"/>
        </w:rPr>
        <w:t>，</w:t>
      </w:r>
      <w:r>
        <w:rPr>
          <w:rFonts w:hint="eastAsia" w:ascii="宋体" w:hAnsi="宋体" w:eastAsia="宋体" w:cs="宋体"/>
          <w:b w:val="0"/>
          <w:bCs w:val="0"/>
          <w:snapToGrid w:val="0"/>
          <w:color w:val="auto"/>
          <w:sz w:val="24"/>
          <w:szCs w:val="24"/>
          <w:highlight w:val="none"/>
          <w:u w:val="none" w:color="auto"/>
        </w:rPr>
        <w:t>承诺不得存在下列情形之一：</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1）被列入《重庆市工程建设领域</w:t>
      </w:r>
      <w:r>
        <w:rPr>
          <w:rFonts w:hint="eastAsia" w:ascii="宋体" w:hAnsi="宋体" w:eastAsia="宋体" w:cs="宋体"/>
          <w:b w:val="0"/>
          <w:bCs w:val="0"/>
          <w:snapToGrid w:val="0"/>
          <w:color w:val="auto"/>
          <w:sz w:val="24"/>
          <w:szCs w:val="24"/>
          <w:highlight w:val="none"/>
          <w:u w:val="none" w:color="auto"/>
          <w:lang w:eastAsia="zh-CN"/>
        </w:rPr>
        <w:t>招标</w:t>
      </w:r>
      <w:r>
        <w:rPr>
          <w:rFonts w:hint="eastAsia" w:ascii="宋体" w:hAnsi="宋体" w:eastAsia="宋体" w:cs="宋体"/>
          <w:b w:val="0"/>
          <w:bCs w:val="0"/>
          <w:snapToGrid w:val="0"/>
          <w:color w:val="auto"/>
          <w:sz w:val="24"/>
          <w:szCs w:val="24"/>
          <w:highlight w:val="none"/>
          <w:u w:val="none" w:color="auto"/>
        </w:rPr>
        <w:t>投标信用管理暂行办法》规定的重点关注名单且记分达到12分；</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2）被列入《重庆市工程建设领域</w:t>
      </w:r>
      <w:r>
        <w:rPr>
          <w:rFonts w:hint="eastAsia" w:ascii="宋体" w:hAnsi="宋体" w:eastAsia="宋体" w:cs="宋体"/>
          <w:b w:val="0"/>
          <w:bCs w:val="0"/>
          <w:snapToGrid w:val="0"/>
          <w:color w:val="auto"/>
          <w:sz w:val="24"/>
          <w:szCs w:val="24"/>
          <w:highlight w:val="none"/>
          <w:u w:val="none" w:color="auto"/>
          <w:lang w:eastAsia="zh-CN"/>
        </w:rPr>
        <w:t>招标</w:t>
      </w:r>
      <w:r>
        <w:rPr>
          <w:rFonts w:hint="eastAsia" w:ascii="宋体" w:hAnsi="宋体" w:eastAsia="宋体" w:cs="宋体"/>
          <w:b w:val="0"/>
          <w:bCs w:val="0"/>
          <w:snapToGrid w:val="0"/>
          <w:color w:val="auto"/>
          <w:sz w:val="24"/>
          <w:szCs w:val="24"/>
          <w:highlight w:val="none"/>
          <w:u w:val="none" w:color="auto"/>
        </w:rPr>
        <w:t>投标信用管理暂行办法》规定的黑名单；</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3）被国家、重庆市（含市或任意区县）有关行政部门处以暂停投标资格行政处罚，且在处罚期限内；</w:t>
      </w:r>
    </w:p>
    <w:p>
      <w:pPr>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4）被重庆市住房和城乡建设主管部门暂停在渝承揽新业务。</w:t>
      </w:r>
    </w:p>
    <w:p>
      <w:pPr>
        <w:ind w:firstLine="482" w:firstLineChars="200"/>
        <w:outlineLvl w:val="9"/>
        <w:rPr>
          <w:rFonts w:hint="eastAsia" w:ascii="宋体" w:hAnsi="宋体" w:eastAsia="宋体" w:cs="宋体"/>
          <w:b/>
          <w:bCs/>
          <w:snapToGrid w:val="0"/>
          <w:color w:val="auto"/>
          <w:kern w:val="2"/>
          <w:sz w:val="24"/>
          <w:szCs w:val="24"/>
          <w:highlight w:val="none"/>
          <w:u w:val="none" w:color="auto"/>
          <w:lang w:val="en-US" w:eastAsia="zh-CN" w:bidi="ar-SA"/>
        </w:rPr>
      </w:pPr>
      <w:r>
        <w:rPr>
          <w:rFonts w:hint="eastAsia" w:ascii="宋体" w:hAnsi="宋体" w:eastAsia="宋体" w:cs="宋体"/>
          <w:b/>
          <w:bCs/>
          <w:snapToGrid w:val="0"/>
          <w:color w:val="auto"/>
          <w:kern w:val="2"/>
          <w:sz w:val="24"/>
          <w:szCs w:val="24"/>
          <w:highlight w:val="none"/>
          <w:u w:val="none" w:color="auto"/>
          <w:lang w:val="en-US" w:eastAsia="zh-CN" w:bidi="ar-SA"/>
        </w:rPr>
        <w:t>注：提供承诺书（见格式文件）。</w:t>
      </w:r>
    </w:p>
    <w:p>
      <w:pPr>
        <w:pStyle w:val="53"/>
        <w:widowControl/>
        <w:spacing w:before="0" w:beforeAutospacing="0" w:after="0" w:afterAutospacing="0" w:line="360" w:lineRule="auto"/>
        <w:ind w:firstLine="420"/>
        <w:jc w:val="both"/>
        <w:rPr>
          <w:rFonts w:hint="eastAsia" w:ascii="宋体" w:hAnsi="宋体" w:eastAsia="宋体" w:cs="宋体"/>
          <w:b/>
          <w:bCs/>
          <w:snapToGrid w:val="0"/>
          <w:color w:val="auto"/>
          <w:kern w:val="2"/>
          <w:sz w:val="24"/>
          <w:szCs w:val="24"/>
          <w:highlight w:val="none"/>
          <w:u w:val="none" w:color="auto"/>
          <w:lang w:val="en-US" w:eastAsia="zh-CN" w:bidi="ar-SA"/>
        </w:rPr>
      </w:pPr>
      <w:r>
        <w:rPr>
          <w:rFonts w:hint="eastAsia" w:ascii="宋体" w:hAnsi="宋体" w:eastAsia="宋体" w:cs="宋体"/>
          <w:b/>
          <w:bCs/>
          <w:snapToGrid w:val="0"/>
          <w:color w:val="auto"/>
          <w:kern w:val="2"/>
          <w:sz w:val="24"/>
          <w:szCs w:val="24"/>
          <w:highlight w:val="none"/>
          <w:u w:val="none" w:color="auto"/>
          <w:lang w:val="zh-TW" w:eastAsia="zh-CN" w:bidi="ar-SA"/>
        </w:rPr>
        <w:t>特别提醒：</w:t>
      </w:r>
      <w:r>
        <w:rPr>
          <w:rFonts w:hint="eastAsia" w:ascii="宋体" w:hAnsi="宋体" w:eastAsia="宋体" w:cs="宋体"/>
          <w:b/>
          <w:bCs/>
          <w:snapToGrid w:val="0"/>
          <w:color w:val="auto"/>
          <w:kern w:val="2"/>
          <w:sz w:val="24"/>
          <w:szCs w:val="24"/>
          <w:highlight w:val="none"/>
          <w:u w:val="none" w:color="auto"/>
          <w:lang w:val="en-US" w:eastAsia="zh-CN" w:bidi="ar-SA"/>
        </w:rPr>
        <w:t>（1）项目经理、项目技术负责人的连续养老保险证明期限须包含</w:t>
      </w:r>
      <w:r>
        <w:rPr>
          <w:rFonts w:hint="eastAsia" w:ascii="宋体" w:hAnsi="宋体" w:eastAsia="宋体" w:cs="宋体"/>
          <w:b/>
          <w:bCs/>
          <w:snapToGrid w:val="0"/>
          <w:color w:val="auto"/>
          <w:kern w:val="2"/>
          <w:sz w:val="24"/>
          <w:szCs w:val="24"/>
          <w:highlight w:val="none"/>
          <w:u w:val="single" w:color="auto"/>
          <w:lang w:val="en-US" w:eastAsia="zh-CN" w:bidi="ar-SA"/>
        </w:rPr>
        <w:t>2024</w:t>
      </w:r>
      <w:r>
        <w:rPr>
          <w:rFonts w:hint="eastAsia" w:ascii="宋体" w:hAnsi="宋体" w:eastAsia="宋体" w:cs="宋体"/>
          <w:b/>
          <w:bCs/>
          <w:snapToGrid w:val="0"/>
          <w:color w:val="auto"/>
          <w:kern w:val="2"/>
          <w:sz w:val="24"/>
          <w:szCs w:val="24"/>
          <w:highlight w:val="none"/>
          <w:u w:val="none" w:color="auto"/>
          <w:lang w:val="en-US" w:eastAsia="zh-CN" w:bidi="ar-SA"/>
        </w:rPr>
        <w:t>年</w:t>
      </w:r>
      <w:r>
        <w:rPr>
          <w:rFonts w:hint="eastAsia" w:ascii="宋体" w:hAnsi="宋体" w:eastAsia="宋体" w:cs="宋体"/>
          <w:b/>
          <w:bCs/>
          <w:snapToGrid w:val="0"/>
          <w:color w:val="auto"/>
          <w:kern w:val="2"/>
          <w:sz w:val="24"/>
          <w:szCs w:val="24"/>
          <w:highlight w:val="none"/>
          <w:u w:val="single" w:color="auto"/>
          <w:lang w:val="en-US" w:eastAsia="zh-CN" w:bidi="ar-SA"/>
        </w:rPr>
        <w:t xml:space="preserve"> 1 </w:t>
      </w:r>
      <w:r>
        <w:rPr>
          <w:rFonts w:hint="eastAsia" w:ascii="宋体" w:hAnsi="宋体" w:eastAsia="宋体" w:cs="宋体"/>
          <w:b/>
          <w:bCs/>
          <w:snapToGrid w:val="0"/>
          <w:color w:val="auto"/>
          <w:kern w:val="2"/>
          <w:sz w:val="24"/>
          <w:szCs w:val="24"/>
          <w:highlight w:val="none"/>
          <w:u w:val="none" w:color="auto"/>
          <w:lang w:val="en-US" w:eastAsia="zh-CN" w:bidi="ar-SA"/>
        </w:rPr>
        <w:t xml:space="preserve">月至 </w:t>
      </w:r>
      <w:r>
        <w:rPr>
          <w:rFonts w:hint="eastAsia" w:ascii="宋体" w:hAnsi="宋体" w:eastAsia="宋体" w:cs="宋体"/>
          <w:b/>
          <w:bCs/>
          <w:snapToGrid w:val="0"/>
          <w:color w:val="auto"/>
          <w:kern w:val="2"/>
          <w:sz w:val="24"/>
          <w:szCs w:val="24"/>
          <w:highlight w:val="none"/>
          <w:u w:val="single" w:color="auto"/>
          <w:lang w:val="en-US" w:eastAsia="zh-CN" w:bidi="ar-SA"/>
        </w:rPr>
        <w:t xml:space="preserve"> 2024</w:t>
      </w:r>
      <w:r>
        <w:rPr>
          <w:rFonts w:hint="eastAsia" w:ascii="宋体" w:hAnsi="宋体" w:eastAsia="宋体" w:cs="宋体"/>
          <w:b/>
          <w:bCs/>
          <w:snapToGrid w:val="0"/>
          <w:color w:val="auto"/>
          <w:kern w:val="2"/>
          <w:sz w:val="24"/>
          <w:szCs w:val="24"/>
          <w:highlight w:val="none"/>
          <w:u w:val="none" w:color="auto"/>
          <w:lang w:val="en-US" w:eastAsia="zh-CN" w:bidi="ar-SA"/>
        </w:rPr>
        <w:t>年</w:t>
      </w:r>
      <w:r>
        <w:rPr>
          <w:rFonts w:hint="eastAsia" w:ascii="宋体" w:hAnsi="宋体" w:eastAsia="宋体" w:cs="宋体"/>
          <w:b/>
          <w:bCs/>
          <w:snapToGrid w:val="0"/>
          <w:color w:val="auto"/>
          <w:kern w:val="2"/>
          <w:sz w:val="24"/>
          <w:szCs w:val="24"/>
          <w:highlight w:val="none"/>
          <w:u w:val="single" w:color="auto"/>
          <w:lang w:val="en-US" w:eastAsia="zh-CN" w:bidi="ar-SA"/>
        </w:rPr>
        <w:t xml:space="preserve"> 4 </w:t>
      </w:r>
      <w:r>
        <w:rPr>
          <w:rFonts w:hint="eastAsia" w:ascii="宋体" w:hAnsi="宋体" w:eastAsia="宋体" w:cs="宋体"/>
          <w:b/>
          <w:bCs/>
          <w:snapToGrid w:val="0"/>
          <w:color w:val="auto"/>
          <w:kern w:val="2"/>
          <w:sz w:val="24"/>
          <w:szCs w:val="24"/>
          <w:highlight w:val="none"/>
          <w:u w:val="none" w:color="auto"/>
          <w:lang w:val="en-US" w:eastAsia="zh-CN" w:bidi="ar-SA"/>
        </w:rPr>
        <w:t>月。提供的养老保险参保证明须体现上述人员的姓名、身份证号（或社保号）、单位名称、本单位参保时间（或起始参保时间），并带有社保部门公章或社保部门的有效电子印章。</w:t>
      </w:r>
    </w:p>
    <w:p>
      <w:pPr>
        <w:pStyle w:val="53"/>
        <w:widowControl/>
        <w:numPr>
          <w:ilvl w:val="0"/>
          <w:numId w:val="14"/>
        </w:numPr>
        <w:spacing w:before="0" w:beforeAutospacing="0" w:after="0" w:afterAutospacing="0" w:line="360" w:lineRule="auto"/>
        <w:ind w:firstLine="420"/>
        <w:jc w:val="both"/>
        <w:rPr>
          <w:rFonts w:hint="eastAsia" w:ascii="宋体" w:hAnsi="宋体" w:eastAsia="宋体" w:cs="宋体"/>
          <w:b/>
          <w:bCs/>
          <w:snapToGrid w:val="0"/>
          <w:color w:val="auto"/>
          <w:kern w:val="2"/>
          <w:sz w:val="24"/>
          <w:szCs w:val="24"/>
          <w:highlight w:val="none"/>
          <w:u w:val="none" w:color="auto"/>
          <w:lang w:val="zh-TW" w:eastAsia="zh-CN" w:bidi="ar-SA"/>
        </w:rPr>
      </w:pPr>
      <w:r>
        <w:rPr>
          <w:rFonts w:hint="eastAsia" w:ascii="宋体" w:hAnsi="宋体" w:eastAsia="宋体" w:cs="宋体"/>
          <w:b/>
          <w:bCs/>
          <w:snapToGrid w:val="0"/>
          <w:color w:val="auto"/>
          <w:kern w:val="2"/>
          <w:sz w:val="24"/>
          <w:szCs w:val="24"/>
          <w:highlight w:val="none"/>
          <w:u w:val="none" w:color="auto"/>
          <w:lang w:val="zh-TW" w:eastAsia="zh-TW" w:bidi="ar-SA"/>
        </w:rPr>
        <w:t>以上相关证书、</w:t>
      </w:r>
      <w:r>
        <w:rPr>
          <w:rFonts w:hint="eastAsia" w:ascii="宋体" w:hAnsi="宋体" w:eastAsia="宋体" w:cs="宋体"/>
          <w:b/>
          <w:bCs/>
          <w:snapToGrid w:val="0"/>
          <w:color w:val="auto"/>
          <w:kern w:val="2"/>
          <w:sz w:val="24"/>
          <w:szCs w:val="24"/>
          <w:highlight w:val="none"/>
          <w:u w:val="none" w:color="auto"/>
          <w:lang w:val="zh-TW" w:eastAsia="zh-CN" w:bidi="ar-SA"/>
        </w:rPr>
        <w:t>证明材料</w:t>
      </w:r>
      <w:r>
        <w:rPr>
          <w:rFonts w:hint="eastAsia" w:ascii="宋体" w:hAnsi="宋体" w:eastAsia="宋体" w:cs="宋体"/>
          <w:b/>
          <w:bCs/>
          <w:snapToGrid w:val="0"/>
          <w:color w:val="auto"/>
          <w:kern w:val="2"/>
          <w:sz w:val="24"/>
          <w:szCs w:val="24"/>
          <w:highlight w:val="none"/>
          <w:u w:val="none" w:color="auto"/>
          <w:lang w:val="zh-TW" w:eastAsia="zh-TW" w:bidi="ar-SA"/>
        </w:rPr>
        <w:t>均须真实、有效。</w:t>
      </w:r>
      <w:r>
        <w:rPr>
          <w:rFonts w:hint="eastAsia" w:ascii="宋体" w:hAnsi="宋体" w:eastAsia="宋体" w:cs="宋体"/>
          <w:b/>
          <w:bCs/>
          <w:snapToGrid w:val="0"/>
          <w:color w:val="auto"/>
          <w:kern w:val="2"/>
          <w:sz w:val="24"/>
          <w:szCs w:val="24"/>
          <w:highlight w:val="none"/>
          <w:u w:val="none" w:color="auto"/>
          <w:lang w:val="zh-TW" w:eastAsia="zh-CN" w:bidi="ar-SA"/>
        </w:rPr>
        <w:t>以上所有复印件均应加盖</w:t>
      </w:r>
      <w:r>
        <w:rPr>
          <w:rFonts w:hint="eastAsia" w:ascii="宋体" w:hAnsi="宋体" w:eastAsia="宋体" w:cs="宋体"/>
          <w:b/>
          <w:bCs/>
          <w:snapToGrid w:val="0"/>
          <w:color w:val="auto"/>
          <w:kern w:val="2"/>
          <w:sz w:val="24"/>
          <w:szCs w:val="24"/>
          <w:highlight w:val="none"/>
          <w:u w:val="none" w:color="auto"/>
          <w:lang w:val="en-US" w:eastAsia="zh-CN" w:bidi="ar-SA"/>
        </w:rPr>
        <w:t>供应商</w:t>
      </w:r>
      <w:r>
        <w:rPr>
          <w:rFonts w:hint="eastAsia" w:ascii="宋体" w:hAnsi="宋体" w:eastAsia="宋体" w:cs="宋体"/>
          <w:b/>
          <w:bCs/>
          <w:snapToGrid w:val="0"/>
          <w:color w:val="auto"/>
          <w:kern w:val="2"/>
          <w:sz w:val="24"/>
          <w:szCs w:val="24"/>
          <w:highlight w:val="none"/>
          <w:u w:val="none" w:color="auto"/>
          <w:lang w:val="zh-TW" w:eastAsia="zh-CN" w:bidi="ar-SA"/>
        </w:rPr>
        <w:t>单位公章。</w:t>
      </w:r>
    </w:p>
    <w:p>
      <w:pPr>
        <w:pStyle w:val="53"/>
        <w:widowControl/>
        <w:spacing w:before="0" w:beforeAutospacing="0" w:after="0" w:afterAutospacing="0" w:line="360" w:lineRule="auto"/>
        <w:ind w:firstLine="420"/>
        <w:jc w:val="both"/>
        <w:rPr>
          <w:rFonts w:hint="eastAsia" w:ascii="宋体" w:hAnsi="宋体" w:eastAsia="宋体" w:cs="宋体"/>
          <w:b/>
          <w:bCs/>
          <w:snapToGrid w:val="0"/>
          <w:color w:val="auto"/>
          <w:kern w:val="2"/>
          <w:sz w:val="24"/>
          <w:szCs w:val="24"/>
          <w:highlight w:val="none"/>
          <w:u w:val="none" w:color="auto"/>
          <w:lang w:val="zh-TW" w:eastAsia="zh-TW" w:bidi="ar-SA"/>
        </w:rPr>
      </w:pPr>
      <w:r>
        <w:rPr>
          <w:rFonts w:hint="eastAsia" w:ascii="宋体" w:hAnsi="宋体" w:eastAsia="宋体" w:cs="宋体"/>
          <w:b/>
          <w:bCs/>
          <w:snapToGrid w:val="0"/>
          <w:color w:val="auto"/>
          <w:kern w:val="2"/>
          <w:sz w:val="24"/>
          <w:szCs w:val="24"/>
          <w:highlight w:val="none"/>
          <w:u w:val="none" w:color="auto"/>
          <w:lang w:val="zh-TW" w:eastAsia="zh-CN" w:bidi="ar-SA"/>
        </w:rPr>
        <w:t>（</w:t>
      </w:r>
      <w:r>
        <w:rPr>
          <w:rFonts w:hint="eastAsia" w:ascii="宋体" w:hAnsi="宋体" w:eastAsia="宋体" w:cs="宋体"/>
          <w:b/>
          <w:bCs/>
          <w:snapToGrid w:val="0"/>
          <w:color w:val="auto"/>
          <w:kern w:val="2"/>
          <w:sz w:val="24"/>
          <w:szCs w:val="24"/>
          <w:highlight w:val="none"/>
          <w:u w:val="none" w:color="auto"/>
          <w:lang w:val="en-US" w:eastAsia="zh-CN" w:bidi="ar-SA"/>
        </w:rPr>
        <w:t>3</w:t>
      </w:r>
      <w:r>
        <w:rPr>
          <w:rFonts w:hint="eastAsia" w:ascii="宋体" w:hAnsi="宋体" w:eastAsia="宋体" w:cs="宋体"/>
          <w:b/>
          <w:bCs/>
          <w:snapToGrid w:val="0"/>
          <w:color w:val="auto"/>
          <w:kern w:val="2"/>
          <w:sz w:val="24"/>
          <w:szCs w:val="24"/>
          <w:highlight w:val="none"/>
          <w:u w:val="none" w:color="auto"/>
          <w:lang w:val="zh-TW" w:eastAsia="zh-CN" w:bidi="ar-SA"/>
        </w:rPr>
        <w:t>）</w:t>
      </w:r>
      <w:r>
        <w:rPr>
          <w:rFonts w:hint="eastAsia" w:ascii="宋体" w:hAnsi="宋体" w:eastAsia="宋体" w:cs="宋体"/>
          <w:b/>
          <w:bCs/>
          <w:snapToGrid w:val="0"/>
          <w:color w:val="auto"/>
          <w:kern w:val="2"/>
          <w:sz w:val="24"/>
          <w:szCs w:val="24"/>
          <w:highlight w:val="none"/>
          <w:u w:val="none" w:color="auto"/>
          <w:lang w:val="en-US" w:eastAsia="zh-CN" w:bidi="ar-SA"/>
        </w:rPr>
        <w:t>采购人</w:t>
      </w:r>
      <w:r>
        <w:rPr>
          <w:rFonts w:hint="eastAsia" w:ascii="宋体" w:hAnsi="宋体" w:eastAsia="宋体" w:cs="宋体"/>
          <w:b/>
          <w:bCs/>
          <w:snapToGrid w:val="0"/>
          <w:color w:val="auto"/>
          <w:kern w:val="2"/>
          <w:sz w:val="24"/>
          <w:szCs w:val="24"/>
          <w:highlight w:val="none"/>
          <w:u w:val="none" w:color="auto"/>
          <w:lang w:val="zh-TW" w:eastAsia="zh-TW" w:bidi="ar-SA"/>
        </w:rPr>
        <w:t>发现弄虚作假者，取消</w:t>
      </w:r>
      <w:r>
        <w:rPr>
          <w:rFonts w:hint="eastAsia" w:ascii="宋体" w:hAnsi="宋体" w:eastAsia="宋体" w:cs="宋体"/>
          <w:b/>
          <w:bCs/>
          <w:snapToGrid w:val="0"/>
          <w:color w:val="auto"/>
          <w:kern w:val="2"/>
          <w:sz w:val="24"/>
          <w:szCs w:val="24"/>
          <w:highlight w:val="none"/>
          <w:u w:val="none" w:color="auto"/>
          <w:lang w:val="en-US" w:eastAsia="zh-CN" w:bidi="ar-SA"/>
        </w:rPr>
        <w:t>响应</w:t>
      </w:r>
      <w:r>
        <w:rPr>
          <w:rFonts w:hint="eastAsia" w:ascii="宋体" w:hAnsi="宋体" w:eastAsia="宋体" w:cs="宋体"/>
          <w:b/>
          <w:bCs/>
          <w:snapToGrid w:val="0"/>
          <w:color w:val="auto"/>
          <w:kern w:val="2"/>
          <w:sz w:val="24"/>
          <w:szCs w:val="24"/>
          <w:highlight w:val="none"/>
          <w:u w:val="none" w:color="auto"/>
          <w:lang w:val="zh-TW" w:eastAsia="zh-TW" w:bidi="ar-SA"/>
        </w:rPr>
        <w:t>资格或</w:t>
      </w:r>
      <w:r>
        <w:rPr>
          <w:rFonts w:hint="eastAsia" w:ascii="宋体" w:hAnsi="宋体" w:eastAsia="宋体" w:cs="宋体"/>
          <w:b/>
          <w:bCs/>
          <w:snapToGrid w:val="0"/>
          <w:color w:val="auto"/>
          <w:kern w:val="2"/>
          <w:sz w:val="24"/>
          <w:szCs w:val="24"/>
          <w:highlight w:val="none"/>
          <w:u w:val="none" w:color="auto"/>
          <w:lang w:val="en-US" w:eastAsia="zh-CN" w:bidi="ar-SA"/>
        </w:rPr>
        <w:t>成交</w:t>
      </w:r>
      <w:r>
        <w:rPr>
          <w:rFonts w:hint="eastAsia" w:ascii="宋体" w:hAnsi="宋体" w:eastAsia="宋体" w:cs="宋体"/>
          <w:b/>
          <w:bCs/>
          <w:snapToGrid w:val="0"/>
          <w:color w:val="auto"/>
          <w:kern w:val="2"/>
          <w:sz w:val="24"/>
          <w:szCs w:val="24"/>
          <w:highlight w:val="none"/>
          <w:u w:val="none" w:color="auto"/>
          <w:lang w:val="zh-TW" w:eastAsia="zh-TW" w:bidi="ar-SA"/>
        </w:rPr>
        <w:t>资格，并依据有关法规处理。</w:t>
      </w:r>
    </w:p>
    <w:p>
      <w:pPr>
        <w:pStyle w:val="53"/>
        <w:widowControl/>
        <w:spacing w:before="0" w:beforeAutospacing="0" w:after="0" w:afterAutospacing="0" w:line="360" w:lineRule="auto"/>
        <w:ind w:firstLine="420"/>
        <w:jc w:val="both"/>
        <w:rPr>
          <w:rFonts w:hint="eastAsia" w:ascii="宋体" w:hAnsi="宋体" w:eastAsia="宋体" w:cs="宋体"/>
          <w:b/>
          <w:bCs/>
          <w:snapToGrid w:val="0"/>
          <w:color w:val="auto"/>
          <w:sz w:val="24"/>
          <w:szCs w:val="24"/>
          <w:highlight w:val="none"/>
          <w:u w:val="none" w:color="auto"/>
          <w:lang w:val="en-US" w:eastAsia="zh-CN"/>
        </w:rPr>
      </w:pPr>
      <w:r>
        <w:rPr>
          <w:rFonts w:hint="eastAsia" w:ascii="宋体" w:hAnsi="宋体" w:eastAsia="宋体" w:cs="宋体"/>
          <w:b/>
          <w:bCs/>
          <w:snapToGrid w:val="0"/>
          <w:color w:val="auto"/>
          <w:kern w:val="2"/>
          <w:sz w:val="24"/>
          <w:szCs w:val="24"/>
          <w:highlight w:val="none"/>
          <w:u w:val="none" w:color="auto"/>
          <w:lang w:val="zh-TW" w:eastAsia="zh-CN" w:bidi="ar-SA"/>
        </w:rPr>
        <w:t>（</w:t>
      </w:r>
      <w:r>
        <w:rPr>
          <w:rFonts w:hint="eastAsia" w:ascii="宋体" w:hAnsi="宋体" w:eastAsia="宋体" w:cs="宋体"/>
          <w:b/>
          <w:bCs/>
          <w:snapToGrid w:val="0"/>
          <w:color w:val="auto"/>
          <w:kern w:val="2"/>
          <w:sz w:val="24"/>
          <w:szCs w:val="24"/>
          <w:highlight w:val="none"/>
          <w:u w:val="none" w:color="auto"/>
          <w:lang w:val="en-US" w:eastAsia="zh-CN" w:bidi="ar-SA"/>
        </w:rPr>
        <w:t>4</w:t>
      </w:r>
      <w:r>
        <w:rPr>
          <w:rFonts w:hint="eastAsia" w:ascii="宋体" w:hAnsi="宋体" w:eastAsia="宋体" w:cs="宋体"/>
          <w:b/>
          <w:bCs/>
          <w:snapToGrid w:val="0"/>
          <w:color w:val="auto"/>
          <w:kern w:val="2"/>
          <w:sz w:val="24"/>
          <w:szCs w:val="24"/>
          <w:highlight w:val="none"/>
          <w:u w:val="none" w:color="auto"/>
          <w:lang w:val="zh-TW" w:eastAsia="zh-CN" w:bidi="ar-SA"/>
        </w:rPr>
        <w:t>）未按上述要求进行响应的文件视作符合性审查不合格，将不再进入下一步评审。</w:t>
      </w:r>
    </w:p>
    <w:p>
      <w:pPr>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br w:type="page"/>
      </w:r>
    </w:p>
    <w:p>
      <w:pPr>
        <w:spacing w:before="0" w:after="0" w:line="360" w:lineRule="auto"/>
        <w:ind w:firstLine="2891" w:firstLineChars="800"/>
        <w:outlineLvl w:val="0"/>
        <w:rPr>
          <w:rFonts w:hint="eastAsia" w:ascii="宋体" w:hAnsi="宋体" w:eastAsia="宋体" w:cs="宋体"/>
          <w:b/>
          <w:bCs/>
          <w:color w:val="auto"/>
          <w:sz w:val="36"/>
          <w:szCs w:val="36"/>
          <w:highlight w:val="none"/>
        </w:rPr>
      </w:pPr>
      <w:bookmarkStart w:id="32" w:name="_Toc20934"/>
      <w:bookmarkStart w:id="33" w:name="_Toc30316"/>
      <w:r>
        <w:rPr>
          <w:rFonts w:hint="eastAsia" w:ascii="宋体" w:hAnsi="宋体" w:eastAsia="宋体" w:cs="宋体"/>
          <w:b/>
          <w:bCs/>
          <w:color w:val="auto"/>
          <w:sz w:val="36"/>
          <w:szCs w:val="36"/>
          <w:highlight w:val="none"/>
        </w:rPr>
        <w:t>第三篇  采购商务需求</w:t>
      </w:r>
      <w:bookmarkEnd w:id="29"/>
      <w:bookmarkEnd w:id="32"/>
      <w:bookmarkEnd w:id="33"/>
    </w:p>
    <w:p>
      <w:pPr>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
          <w:bCs/>
          <w:color w:val="auto"/>
          <w:sz w:val="24"/>
          <w:szCs w:val="24"/>
          <w:highlight w:val="none"/>
        </w:rPr>
      </w:pPr>
      <w:bookmarkStart w:id="34" w:name="_Toc344475120"/>
      <w:r>
        <w:rPr>
          <w:rFonts w:hint="eastAsia" w:ascii="宋体" w:hAnsi="宋体" w:eastAsia="宋体" w:cs="宋体"/>
          <w:b/>
          <w:bCs/>
          <w:color w:val="auto"/>
          <w:sz w:val="24"/>
          <w:szCs w:val="24"/>
          <w:highlight w:val="none"/>
        </w:rPr>
        <w:t>备注：★标注条款为实质性要求，作为符合性评审标准。</w:t>
      </w:r>
    </w:p>
    <w:p>
      <w:pPr>
        <w:pageBreakBefore w:val="0"/>
        <w:widowControl w:val="0"/>
        <w:kinsoku/>
        <w:wordWrap/>
        <w:overflowPunct/>
        <w:topLinePunct w:val="0"/>
        <w:autoSpaceDE/>
        <w:autoSpaceDN/>
        <w:bidi w:val="0"/>
        <w:adjustRightInd/>
        <w:spacing w:before="0" w:after="0" w:line="400" w:lineRule="exact"/>
        <w:textAlignment w:val="auto"/>
        <w:outlineLvl w:val="1"/>
        <w:rPr>
          <w:rFonts w:hint="eastAsia" w:ascii="宋体" w:hAnsi="宋体" w:eastAsia="宋体" w:cs="宋体"/>
          <w:b w:val="0"/>
          <w:bCs w:val="0"/>
          <w:color w:val="auto"/>
          <w:sz w:val="24"/>
          <w:szCs w:val="24"/>
          <w:highlight w:val="none"/>
        </w:rPr>
      </w:pPr>
      <w:bookmarkStart w:id="35" w:name="_Toc4239"/>
      <w:bookmarkStart w:id="36" w:name="_Toc23359"/>
      <w:bookmarkStart w:id="37" w:name="_Toc6655"/>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2"/>
          <w:highlight w:val="none"/>
          <w:lang w:eastAsia="zh-CN"/>
        </w:rPr>
        <w:t>工期</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建设</w:t>
      </w:r>
      <w:r>
        <w:rPr>
          <w:rFonts w:hint="eastAsia" w:ascii="宋体" w:hAnsi="宋体" w:eastAsia="宋体" w:cs="宋体"/>
          <w:b w:val="0"/>
          <w:bCs w:val="0"/>
          <w:color w:val="auto"/>
          <w:sz w:val="24"/>
          <w:szCs w:val="24"/>
          <w:highlight w:val="none"/>
        </w:rPr>
        <w:t>地点</w:t>
      </w:r>
      <w:bookmarkEnd w:id="34"/>
      <w:bookmarkEnd w:id="35"/>
      <w:bookmarkEnd w:id="36"/>
      <w:bookmarkEnd w:id="37"/>
    </w:p>
    <w:p>
      <w:pPr>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b w:val="0"/>
          <w:bCs w:val="0"/>
          <w:color w:val="auto"/>
          <w:sz w:val="24"/>
          <w:szCs w:val="24"/>
          <w:highlight w:val="none"/>
        </w:rPr>
      </w:pPr>
      <w:bookmarkStart w:id="38" w:name="_Toc344475121"/>
      <w:r>
        <w:rPr>
          <w:rFonts w:hint="eastAsia" w:ascii="宋体" w:hAnsi="宋体" w:eastAsia="宋体" w:cs="宋体"/>
          <w:b w:val="0"/>
          <w:bCs w:val="0"/>
          <w:color w:val="auto"/>
          <w:sz w:val="24"/>
          <w:szCs w:val="24"/>
          <w:highlight w:val="none"/>
        </w:rPr>
        <w:t>（一）</w:t>
      </w:r>
      <w:r>
        <w:rPr>
          <w:rFonts w:hint="eastAsia" w:ascii="宋体" w:hAnsi="宋体" w:eastAsia="宋体" w:cs="宋体"/>
          <w:b w:val="0"/>
          <w:bCs w:val="0"/>
          <w:color w:val="auto"/>
          <w:sz w:val="24"/>
          <w:szCs w:val="24"/>
          <w:highlight w:val="none"/>
          <w:lang w:eastAsia="zh-CN"/>
        </w:rPr>
        <w:t>工</w:t>
      </w:r>
      <w:r>
        <w:rPr>
          <w:rFonts w:hint="eastAsia" w:ascii="宋体" w:hAnsi="宋体" w:eastAsia="宋体" w:cs="宋体"/>
          <w:b w:val="0"/>
          <w:bCs w:val="0"/>
          <w:color w:val="auto"/>
          <w:sz w:val="24"/>
          <w:szCs w:val="24"/>
          <w:highlight w:val="none"/>
        </w:rPr>
        <w:t>期：合同签订后</w:t>
      </w:r>
      <w:r>
        <w:rPr>
          <w:rFonts w:hint="eastAsia" w:ascii="宋体" w:hAnsi="宋体" w:eastAsia="宋体" w:cs="宋体"/>
          <w:b w:val="0"/>
          <w:bCs w:val="0"/>
          <w:color w:val="auto"/>
          <w:sz w:val="24"/>
          <w:szCs w:val="24"/>
          <w:highlight w:val="none"/>
          <w:lang w:val="en-US" w:eastAsia="zh-CN"/>
        </w:rPr>
        <w:t>45</w:t>
      </w:r>
      <w:r>
        <w:rPr>
          <w:rFonts w:hint="eastAsia" w:ascii="宋体" w:hAnsi="宋体" w:eastAsia="宋体" w:cs="宋体"/>
          <w:b w:val="0"/>
          <w:bCs w:val="0"/>
          <w:color w:val="auto"/>
          <w:sz w:val="24"/>
          <w:szCs w:val="24"/>
          <w:highlight w:val="none"/>
        </w:rPr>
        <w:t>日历日内完成</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缺陷责任期24个月</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autoSpaceDE/>
        <w:autoSpaceDN/>
        <w:bidi w:val="0"/>
        <w:adjustRightIn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建设</w:t>
      </w:r>
      <w:r>
        <w:rPr>
          <w:rFonts w:hint="eastAsia" w:ascii="宋体" w:hAnsi="宋体" w:eastAsia="宋体" w:cs="宋体"/>
          <w:b w:val="0"/>
          <w:bCs w:val="0"/>
          <w:color w:val="auto"/>
          <w:sz w:val="24"/>
          <w:szCs w:val="24"/>
          <w:highlight w:val="none"/>
        </w:rPr>
        <w:t>地点：重庆市璧山区璧泉街道新胜村</w:t>
      </w:r>
      <w:r>
        <w:rPr>
          <w:rFonts w:hint="eastAsia" w:ascii="宋体" w:hAnsi="宋体" w:eastAsia="宋体" w:cs="宋体"/>
          <w:b w:val="0"/>
          <w:bCs w:val="0"/>
          <w:color w:val="auto"/>
          <w:sz w:val="24"/>
          <w:szCs w:val="24"/>
          <w:highlight w:val="none"/>
          <w:lang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（三）验收方式：</w:t>
      </w:r>
      <w:r>
        <w:rPr>
          <w:rFonts w:hint="eastAsia" w:ascii="宋体" w:hAnsi="宋体" w:eastAsia="宋体" w:cs="宋体"/>
          <w:b w:val="0"/>
          <w:bCs w:val="0"/>
          <w:color w:val="auto"/>
          <w:sz w:val="24"/>
          <w:szCs w:val="24"/>
          <w:highlight w:val="none"/>
          <w:lang w:eastAsia="zh-CN"/>
        </w:rPr>
        <w:t>建设完毕后成交供应商向采购人提出验收申请，由采购人具体组织验收，并出具验收材料</w:t>
      </w:r>
      <w:r>
        <w:rPr>
          <w:rFonts w:hint="eastAsia" w:ascii="宋体" w:hAnsi="宋体" w:eastAsia="宋体" w:cs="宋体"/>
          <w:b w:val="0"/>
          <w:bCs w:val="0"/>
          <w:color w:val="auto"/>
          <w:sz w:val="24"/>
          <w:szCs w:val="24"/>
          <w:highlight w:val="none"/>
        </w:rPr>
        <w:t>。</w:t>
      </w:r>
    </w:p>
    <w:p>
      <w:pPr>
        <w:pageBreakBefore w:val="0"/>
        <w:widowControl w:val="0"/>
        <w:kinsoku/>
        <w:wordWrap/>
        <w:overflowPunct/>
        <w:topLinePunct w:val="0"/>
        <w:autoSpaceDE/>
        <w:autoSpaceDN/>
        <w:bidi w:val="0"/>
        <w:adjustRightInd/>
        <w:snapToGrid/>
        <w:spacing w:before="0" w:after="0" w:line="400" w:lineRule="exact"/>
        <w:textAlignment w:val="auto"/>
        <w:outlineLvl w:val="1"/>
        <w:rPr>
          <w:rFonts w:hint="eastAsia" w:ascii="宋体" w:hAnsi="宋体" w:eastAsia="宋体" w:cs="宋体"/>
          <w:b w:val="0"/>
          <w:bCs w:val="0"/>
          <w:color w:val="auto"/>
          <w:sz w:val="24"/>
          <w:szCs w:val="24"/>
          <w:highlight w:val="none"/>
          <w:lang w:eastAsia="zh-CN"/>
        </w:rPr>
      </w:pPr>
      <w:bookmarkStart w:id="39" w:name="_Toc5882"/>
      <w:bookmarkStart w:id="40" w:name="_Toc29586"/>
      <w:bookmarkStart w:id="41" w:name="_Toc19339"/>
      <w:r>
        <w:rPr>
          <w:rFonts w:hint="eastAsia" w:ascii="宋体" w:hAnsi="宋体" w:eastAsia="宋体" w:cs="宋体"/>
          <w:b w:val="0"/>
          <w:bCs w:val="0"/>
          <w:color w:val="auto"/>
          <w:sz w:val="24"/>
          <w:szCs w:val="24"/>
          <w:highlight w:val="none"/>
        </w:rPr>
        <w:t>二、</w:t>
      </w:r>
      <w:bookmarkEnd w:id="38"/>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4"/>
          <w:highlight w:val="none"/>
        </w:rPr>
        <w:t>报价</w:t>
      </w:r>
      <w:bookmarkEnd w:id="39"/>
      <w:bookmarkEnd w:id="40"/>
      <w:bookmarkEnd w:id="41"/>
      <w:r>
        <w:rPr>
          <w:rFonts w:hint="eastAsia" w:ascii="宋体" w:hAnsi="宋体" w:cs="宋体"/>
          <w:b w:val="0"/>
          <w:bCs w:val="0"/>
          <w:color w:val="auto"/>
          <w:sz w:val="24"/>
          <w:szCs w:val="24"/>
          <w:highlight w:val="none"/>
          <w:lang w:val="en-US" w:eastAsia="zh-CN"/>
        </w:rPr>
        <w:t>要求</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（一）供应商应按本项目对外发布工程量清单的要求填写相应清单表格。供应商的响应报价应是本项目采购范围内的全部工程的报价，并以供应商在工程量清单中提出的单价或总价为依据</w:t>
      </w:r>
      <w:r>
        <w:rPr>
          <w:rFonts w:hint="eastAsia" w:ascii="宋体" w:hAnsi="宋体" w:eastAsia="宋体" w:cs="宋体"/>
          <w:b w:val="0"/>
          <w:bCs w:val="0"/>
          <w:color w:val="auto"/>
          <w:sz w:val="24"/>
          <w:szCs w:val="24"/>
          <w:highlight w:val="none"/>
          <w:lang w:val="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二）供应商应认真填写工程量清单中所列的本合同各工程子目的单价或总价。供应商没有填入单价或总价的工程子目，采购人将认为该子目的价款已包括在工程量清单其他子目的单价和总价中，成交后必须完成该子项工作内容，采购人不对该子项进行结算与支付，并不能获得索赔。供应商在工程量清单中多报的子目和单价或总价发包人将不予接受，并将被视为重大偏差，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三）参考的规范及定额：区公共资源交易监督管理委员会《关于印发璧山区政府投资项目计价原则(2023年第3期)的通知》(璧公管办〔2023〕5号)、《建设工程工程量清单计价规范》（GB50500-2013）、《重庆市建设工程工程量清单计价规则》（CQJJGZ-2013）、《重庆市建设工程工程量计算规则》（CQJLGZ-2013）、2018年《重庆市通用安装工程计价定额》、2018年《重庆市市政工程计价定额》、2018年《重庆市建设工程费用定额》、重庆市住房城乡建委《关于适用增值税新税率调整建设工程计价依据的通知》（渝建〔2019〕143号）及相关配套文件。</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color w:val="auto"/>
          <w:highlight w:val="none"/>
          <w:lang w:val="zh-CN" w:eastAsia="zh-CN"/>
        </w:rPr>
      </w:pPr>
      <w:r>
        <w:rPr>
          <w:rFonts w:hint="eastAsia" w:ascii="宋体" w:hAnsi="宋体" w:eastAsia="宋体" w:cs="宋体"/>
          <w:b w:val="0"/>
          <w:bCs w:val="0"/>
          <w:color w:val="auto"/>
          <w:sz w:val="24"/>
          <w:szCs w:val="24"/>
          <w:highlight w:val="none"/>
          <w:lang w:val="zh-CN" w:eastAsia="zh-CN"/>
        </w:rPr>
        <w:t>（四）人工、材料采购及价格：本工程所需材料由供应商按照施工图设计要求采购，所选材料的产品质量均不得低于本工程的设计要求，其价格参考《重庆工程造价信息》发布的璧山地区材料价格，并结合璧山区的市场行情及供应商的自身实力自主报价，并结合璧山区的市场行情及供应商的自身实力自主报价；人工价格参考重庆市城乡建委发布的2018年重庆市定额基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val="zh-CN" w:eastAsia="zh-CN"/>
        </w:rPr>
        <w:t>）工程量清单中的工程量</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1、各供应商均应以采购人发出的工程量清单为准予以报价，结算时工程量按有关计量规定计量后据实结算。</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2、如发现工程量清单中的数量与图纸中数量不一致，应于质疑截止时间前书面通知采购人核查，除非采购人以补遗书的形式予以更正，否则，应以工程量清单中列出的数量为准。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采购人提供的工程量清单格式以及采购人在工程量清单中所列出的各清单子项排列顺序、各清单子项项目编码、项目名称、项目特征、工作内容、计量单位、工程量等，供应商不得修改，否则视为对竞争性磋商文件不作实质性响应，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4、供应商总报价不得超过最高限价，总报价必须与所附工程量清单报价表所报总金额一致。</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5、本工程各分部分项工程量清单综合单价和其他以非综合单价表示的子项报价应包括但不仅限于完成该子项的人工费、材料费、机械费、其他费、其他直接费、现场经费、间接费、企业管理费、利润、价差以及本竞争性磋商文件中明示或暗示的风险费等所有费用。</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6、总报价应由分部分项工程费、措施项目费、其他项目费、规费、税金组成。</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7、采购人在招标控制价（工程量）清单中所列出的价格（包括暂列金额、暂估价等），供应商不得修改，否则其响应文件作符合性审查不合格处理。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8、安全文明施工费：</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严格按照《重庆市建设工程安全文明施工费计取及使用管理规定》（渝建发〔2014〕25号）、《重庆市住房和城乡建设委员会关于适用增值税新税率调整建设工程计价依据的通知》（渝建〔2019〕143号）文件的规定标准计算，</w:t>
      </w:r>
      <w:r>
        <w:rPr>
          <w:rFonts w:hint="eastAsia" w:ascii="宋体" w:hAnsi="宋体" w:eastAsia="宋体" w:cs="宋体"/>
          <w:b w:val="0"/>
          <w:bCs w:val="0"/>
          <w:color w:val="auto"/>
          <w:sz w:val="24"/>
          <w:szCs w:val="24"/>
          <w:highlight w:val="none"/>
          <w:lang w:val="zh-CN" w:eastAsia="zh-CN"/>
        </w:rPr>
        <w:t>安全文明施工费暂定金额为</w:t>
      </w:r>
      <w:r>
        <w:rPr>
          <w:rFonts w:hint="eastAsia" w:ascii="宋体" w:hAnsi="宋体" w:eastAsia="宋体" w:cs="宋体"/>
          <w:b w:val="0"/>
          <w:bCs w:val="0"/>
          <w:color w:val="auto"/>
          <w:sz w:val="24"/>
          <w:szCs w:val="24"/>
          <w:highlight w:val="none"/>
          <w:u w:val="single"/>
          <w:lang w:val="zh-CN" w:eastAsia="zh-CN"/>
        </w:rPr>
        <w:t xml:space="preserve"> </w:t>
      </w:r>
      <w:r>
        <w:rPr>
          <w:rFonts w:hint="eastAsia" w:ascii="宋体" w:hAnsi="宋体" w:eastAsia="宋体" w:cs="宋体"/>
          <w:b w:val="0"/>
          <w:bCs w:val="0"/>
          <w:color w:val="auto"/>
          <w:sz w:val="24"/>
          <w:szCs w:val="24"/>
          <w:highlight w:val="none"/>
          <w:u w:val="single"/>
          <w:lang w:val="en-US" w:eastAsia="zh-CN"/>
        </w:rPr>
        <w:t>19671.76</w:t>
      </w:r>
      <w:r>
        <w:rPr>
          <w:rFonts w:hint="eastAsia" w:ascii="宋体" w:hAnsi="宋体" w:eastAsia="宋体" w:cs="宋体"/>
          <w:b w:val="0"/>
          <w:bCs w:val="0"/>
          <w:color w:val="auto"/>
          <w:sz w:val="24"/>
          <w:szCs w:val="24"/>
          <w:highlight w:val="none"/>
          <w:u w:val="single"/>
          <w:lang w:val="zh-CN" w:eastAsia="zh-CN"/>
        </w:rPr>
        <w:t xml:space="preserve"> </w:t>
      </w:r>
      <w:r>
        <w:rPr>
          <w:rFonts w:hint="eastAsia" w:ascii="宋体" w:hAnsi="宋体" w:eastAsia="宋体" w:cs="宋体"/>
          <w:b w:val="0"/>
          <w:bCs w:val="0"/>
          <w:color w:val="auto"/>
          <w:sz w:val="24"/>
          <w:szCs w:val="24"/>
          <w:highlight w:val="none"/>
          <w:lang w:val="zh-CN" w:eastAsia="zh-CN"/>
        </w:rPr>
        <w:t>元。</w:t>
      </w:r>
      <w:r>
        <w:rPr>
          <w:rFonts w:hint="eastAsia" w:ascii="宋体" w:hAnsi="宋体" w:eastAsia="宋体" w:cs="宋体"/>
          <w:b w:val="0"/>
          <w:bCs w:val="0"/>
          <w:color w:val="auto"/>
          <w:sz w:val="24"/>
          <w:szCs w:val="24"/>
          <w:highlight w:val="none"/>
          <w:lang w:val="zh-CN" w:eastAsia="zh-CN"/>
        </w:rPr>
        <w:t>供应商在其响应文件中的安全文明施工费必须按采购人给定的暂定金额填报，不得浮动，否则，视为对竞争性磋商文件不作实质性响应，其响应文件作符合性审查不合格处理。最后报价中安全文明施工费不变（最后报价不下浮）。</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9、供应商应先到工地踏勘以充分了解工地位置、情况、道路、储存空间、装卸限制及任何其它足以影响承包价格的情况，任何因忽视或误解工地情况而导致的索赔或工期延长申请将不获批准。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10、该项目用地范围即为成交人的工作用地面，采购人不再提供其它场地，如因该原因造成成交人施工降效所产生的费用包含在报价内。</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11、本项目将设置总价最高限价和清单单价最高限价。供应商的总报价不得超过总价最高限价的95%</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eastAsia="zh-CN"/>
        </w:rPr>
        <w:t>清单单价不得超过对应的综合单价最高限价，否则其响应文件作符合性审查不合格处理。</w:t>
      </w:r>
      <w:r>
        <w:rPr>
          <w:rFonts w:hint="eastAsia" w:ascii="宋体" w:hAnsi="宋体" w:eastAsia="宋体" w:cs="宋体"/>
          <w:b w:val="0"/>
          <w:bCs w:val="0"/>
          <w:color w:val="auto"/>
          <w:sz w:val="24"/>
          <w:szCs w:val="24"/>
          <w:highlight w:val="none"/>
          <w:lang w:val="zh-CN" w:eastAsia="zh-CN"/>
        </w:rPr>
        <w:t>本项目总价最高限价为</w:t>
      </w:r>
      <w:r>
        <w:rPr>
          <w:rFonts w:hint="eastAsia" w:ascii="宋体" w:hAnsi="宋体" w:eastAsia="宋体" w:cs="宋体"/>
          <w:b w:val="0"/>
          <w:bCs w:val="0"/>
          <w:color w:val="auto"/>
          <w:sz w:val="24"/>
          <w:szCs w:val="24"/>
          <w:highlight w:val="none"/>
          <w:lang w:val="en-US" w:eastAsia="zh-CN"/>
        </w:rPr>
        <w:t>人民币</w:t>
      </w:r>
      <w:r>
        <w:rPr>
          <w:rFonts w:hint="eastAsia" w:ascii="宋体" w:hAnsi="宋体" w:eastAsia="宋体" w:cs="宋体"/>
          <w:b w:val="0"/>
          <w:bCs w:val="0"/>
          <w:color w:val="auto"/>
          <w:sz w:val="24"/>
          <w:szCs w:val="24"/>
          <w:highlight w:val="none"/>
          <w:u w:val="single"/>
          <w:lang w:val="zh-CN" w:eastAsia="zh-CN"/>
        </w:rPr>
        <w:t xml:space="preserve"> 2253513.91</w:t>
      </w:r>
      <w:r>
        <w:rPr>
          <w:rFonts w:hint="eastAsia" w:ascii="宋体" w:hAnsi="宋体" w:eastAsia="宋体" w:cs="宋体"/>
          <w:b w:val="0"/>
          <w:bCs w:val="0"/>
          <w:color w:val="auto"/>
          <w:sz w:val="24"/>
          <w:szCs w:val="24"/>
          <w:highlight w:val="none"/>
          <w:lang w:val="zh-CN" w:eastAsia="zh-CN"/>
        </w:rPr>
        <w:t>元（</w:t>
      </w:r>
      <w:r>
        <w:rPr>
          <w:rFonts w:hint="eastAsia" w:ascii="宋体" w:hAnsi="宋体" w:eastAsia="宋体" w:cs="宋体"/>
          <w:b w:val="0"/>
          <w:bCs w:val="0"/>
          <w:color w:val="auto"/>
          <w:sz w:val="24"/>
          <w:szCs w:val="24"/>
          <w:highlight w:val="none"/>
          <w:lang w:val="en-US" w:eastAsia="zh-CN"/>
        </w:rPr>
        <w:t>大写：</w:t>
      </w:r>
      <w:r>
        <w:rPr>
          <w:rFonts w:hint="eastAsia" w:ascii="宋体" w:hAnsi="宋体" w:eastAsia="宋体" w:cs="宋体"/>
          <w:b w:val="0"/>
          <w:bCs w:val="0"/>
          <w:color w:val="auto"/>
          <w:sz w:val="24"/>
          <w:szCs w:val="24"/>
          <w:highlight w:val="none"/>
          <w:u w:val="single"/>
          <w:lang w:val="en-US" w:eastAsia="zh-CN"/>
        </w:rPr>
        <w:t xml:space="preserve">贰佰贰拾伍万叁仟伍佰壹拾叁元玖角壹分  </w:t>
      </w:r>
      <w:r>
        <w:rPr>
          <w:rFonts w:hint="eastAsia" w:ascii="宋体" w:hAnsi="宋体" w:eastAsia="宋体" w:cs="宋体"/>
          <w:b w:val="0"/>
          <w:bCs w:val="0"/>
          <w:color w:val="auto"/>
          <w:sz w:val="24"/>
          <w:szCs w:val="24"/>
          <w:highlight w:val="none"/>
          <w:u w:val="none"/>
          <w:lang w:val="zh-CN" w:eastAsia="zh-CN"/>
        </w:rPr>
        <w:t>）</w:t>
      </w: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zh-CN" w:eastAsia="zh-CN"/>
        </w:rPr>
        <w:t>清单单价限价详见附件。</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12、预拌商品砂浆（如有）按重庆市城乡建设委员会渝建〔2018〕375号和璧建发〔2018〕129号执行，由供应商综合考虑，包含在报价中，结算时不予调整。</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lang w:val="zh-CN" w:eastAsia="zh-CN"/>
        </w:rPr>
        <w:t>）</w:t>
      </w:r>
      <w:bookmarkStart w:id="42" w:name="_Toc14790"/>
      <w:r>
        <w:rPr>
          <w:rFonts w:hint="eastAsia" w:ascii="宋体" w:hAnsi="宋体" w:eastAsia="宋体" w:cs="宋体"/>
          <w:b w:val="0"/>
          <w:bCs w:val="0"/>
          <w:color w:val="auto"/>
          <w:sz w:val="24"/>
          <w:szCs w:val="24"/>
          <w:highlight w:val="none"/>
          <w:lang w:val="zh-CN" w:eastAsia="zh-CN"/>
        </w:rPr>
        <w:t>本工程最高限价核查范围内对设计图纸不明确的内容，经商你单位并根据《璧山新材料产业园项目一期工程电力建设工程最高限价核查相关问题及回复》,按以下原则处理：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1、携带式接地线一组即为一套成品接地线(不用安装，放置于储物柜)。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2、工程量按设计材料汇总表(图号D101-03和D102-02)中的工程量计算(设计工程量未考虑损耗量)。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3、环网柜不纳入本次核查范围内。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4、线路部分按设计说明计算，电气部分包括高压电源点至开闭所(含开闭所设备),以及开闭所至各配电室的出线电缆，工程量详材料表图号D101-03。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5、对于现有排管暂不考虑利旧使用，考虑新建排管60m,若实际为利用现有排管，结算时按实计算利旧和新建排管长度；对现有道路拆除的材料不考虑利旧使用，穿越现有道路段总长为24.6米(其中车行道长度20.6米，人行道长度为4米);拆除路面及恢复路面的宽度按设计图示宽1.05米计算；拆除及恢复草皮按长3米×宽1.05计算，采用人工铺草皮方式实施，草皮品种为早熟禾需养护1个月；电缆管道疏通长度暂按5m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6、原有电缆沟敷设电缆时需要考虑揭盖板和盖板恢复的费用，电缆沟揭盖板和盖板恢复长度各为4.4m。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7、电缆标识牌按图号D101-0710KV中的标识图2计算。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8、图号D101-03铜接线端子DT-400数量按12个计算。</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9、BVR-185mm²铜芯线和185mm²铜端子此为电缆头接地线，工程量已包括在电缆头定额辅材中，不再单独计算。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10、设计图图号D101-03材料表二中，ZB-YJV22-8.7/15kV3×400mm²电力电缆总长为416米。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11、电缆在排管和桥架中敷设长度为排管和桥架长度1.025米，电缆总长度按材料表中长度计算。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12、弃渣外运运输距离为10km。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13、该项目混凝土其制品采用商品料，砂浆采用自拌砂浆；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14、电缆排管沟内接地扁钢的规格按50×6mm计算，底板在回填较深时不考虑配筋，底板砼强度等级为C20,CPVC电缆排管的规格调整为2×C110×5mm。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15、电缆检修井净空尺寸按2200×1300mm进行计算，沟内侧壁做法采用5mm厚1:2.5防水砂浆抹面(掺5%防水剂)。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16、坑槽开挖方式采用机械开挖。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15、外线电缆调试纳入本次核查范围内；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17、荧光灯按双管灯具吸顶安装计算。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18、开闭所内的设备、照明、空调、灭火器、风机、防雷接地纳入本次核查范围内，室内的砼设备基础不需要计算，只计算槽钢基础；室内土建及装修不纳入本次核查范围内；开闭所内试运行准备费在纳入本次核查范围内，按材料表图号D102-02工程量计算，开闭所内接地极不纳入本次核查范围内。</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19、开闭所配电箱进线、出线纳入本次核查范围内。本工程所涉及的2个开闭所的管线工程量如下：WDZCN-BYJ-4mm²配线为738 米，WDZCN-BYJ-6mm²配线为936米；SC15管道(明敷)为240 米，WDZBN-YJY-0.6/1kV-5×16mm²电力电缆为40米；SC20管道(明敷)为300米。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20、AH12、AH22开关柜的参数按系统图所示12kV,1250A,31.5kA (固封)计算。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21、直流电源箱安装方式采用壁挂。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22、柜式空调规格按3P空调计算。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23、灭火器工程量按4个灭火器箱，8具灭火器计算。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24、轴流风机的规格参数为600W,直径400mm。 </w:t>
      </w:r>
    </w:p>
    <w:p>
      <w:pPr>
        <w:pStyle w:val="2"/>
        <w:ind w:firstLine="482" w:firstLineChars="200"/>
        <w:rPr>
          <w:rFonts w:hint="eastAsia"/>
          <w:b/>
          <w:bCs/>
          <w:color w:val="auto"/>
          <w:highlight w:val="none"/>
          <w:lang w:val="zh-CN" w:eastAsia="zh-CN"/>
        </w:rPr>
      </w:pPr>
    </w:p>
    <w:p>
      <w:pPr>
        <w:pStyle w:val="2"/>
        <w:ind w:firstLine="482" w:firstLineChars="200"/>
        <w:rPr>
          <w:rFonts w:hint="eastAsia"/>
          <w:color w:val="auto"/>
          <w:highlight w:val="none"/>
          <w:lang w:val="zh-CN" w:eastAsia="zh-CN"/>
        </w:rPr>
      </w:pPr>
      <w:r>
        <w:rPr>
          <w:rFonts w:hint="eastAsia"/>
          <w:b/>
          <w:bCs/>
          <w:color w:val="auto"/>
          <w:highlight w:val="none"/>
          <w:lang w:val="zh-CN" w:eastAsia="zh-CN"/>
        </w:rPr>
        <w:t>本项目设置的单价限价和总价限价详见工程量清单。按照第一次总报价与第二次总报价（即最后报价）的差额比例同比例下浮作为结算单价。</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三、</w:t>
      </w: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4"/>
          <w:highlight w:val="none"/>
          <w:lang w:val="zh-CN" w:eastAsia="zh-CN"/>
        </w:rPr>
        <w:t>工程结算</w:t>
      </w:r>
      <w:bookmarkEnd w:id="42"/>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en-US" w:eastAsia="zh-CN"/>
        </w:rPr>
        <w:t>按第六篇</w:t>
      </w:r>
      <w:r>
        <w:rPr>
          <w:rFonts w:hint="eastAsia" w:ascii="宋体" w:hAnsi="宋体" w:cs="宋体"/>
          <w:b w:val="0"/>
          <w:bCs w:val="0"/>
          <w:color w:val="auto"/>
          <w:sz w:val="24"/>
          <w:szCs w:val="24"/>
          <w:highlight w:val="none"/>
          <w:lang w:val="en-US" w:eastAsia="zh-CN"/>
        </w:rPr>
        <w:t>《建设工程施工</w:t>
      </w:r>
      <w:r>
        <w:rPr>
          <w:rFonts w:hint="eastAsia" w:ascii="宋体" w:hAnsi="宋体" w:eastAsia="宋体" w:cs="宋体"/>
          <w:b w:val="0"/>
          <w:bCs w:val="0"/>
          <w:color w:val="auto"/>
          <w:sz w:val="24"/>
          <w:szCs w:val="24"/>
          <w:highlight w:val="none"/>
          <w:lang w:val="en-US" w:eastAsia="zh-CN"/>
        </w:rPr>
        <w:t>合同</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条款执行。</w:t>
      </w:r>
    </w:p>
    <w:p>
      <w:pPr>
        <w:pageBreakBefore w:val="0"/>
        <w:widowControl w:val="0"/>
        <w:kinsoku/>
        <w:wordWrap/>
        <w:overflowPunct/>
        <w:topLinePunct w:val="0"/>
        <w:autoSpaceDE/>
        <w:autoSpaceDN/>
        <w:bidi w:val="0"/>
        <w:adjustRightInd/>
        <w:snapToGrid/>
        <w:spacing w:line="400" w:lineRule="exact"/>
        <w:textAlignment w:val="auto"/>
        <w:outlineLvl w:val="1"/>
        <w:rPr>
          <w:rFonts w:hint="eastAsia" w:ascii="宋体" w:hAnsi="宋体" w:eastAsia="宋体" w:cs="宋体"/>
          <w:b w:val="0"/>
          <w:bCs w:val="0"/>
          <w:color w:val="auto"/>
          <w:sz w:val="24"/>
          <w:szCs w:val="24"/>
          <w:highlight w:val="none"/>
          <w:lang w:val="zh-CN" w:eastAsia="zh-CN"/>
        </w:rPr>
      </w:pPr>
      <w:bookmarkStart w:id="43" w:name="_Toc29728"/>
      <w:r>
        <w:rPr>
          <w:rFonts w:hint="eastAsia" w:ascii="宋体" w:hAnsi="宋体" w:eastAsia="宋体" w:cs="宋体"/>
          <w:b w:val="0"/>
          <w:bCs w:val="0"/>
          <w:color w:val="auto"/>
          <w:sz w:val="24"/>
          <w:szCs w:val="24"/>
          <w:highlight w:val="none"/>
          <w:lang w:val="zh-CN" w:eastAsia="zh-CN"/>
        </w:rPr>
        <w:t>四、</w:t>
      </w: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4"/>
          <w:highlight w:val="none"/>
          <w:lang w:val="zh-CN" w:eastAsia="zh-CN"/>
        </w:rPr>
        <w:t>履约担保</w:t>
      </w:r>
      <w:bookmarkEnd w:id="43"/>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1.履约担保的形式：履约保证金。</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2.履约保证金金额：签约合同价格的</w:t>
      </w:r>
      <w:r>
        <w:rPr>
          <w:rFonts w:hint="eastAsia" w:ascii="宋体" w:hAnsi="宋体" w:eastAsia="宋体" w:cs="宋体"/>
          <w:b w:val="0"/>
          <w:bCs w:val="0"/>
          <w:color w:val="auto"/>
          <w:sz w:val="24"/>
          <w:szCs w:val="24"/>
          <w:highlight w:val="none"/>
          <w:u w:val="single"/>
          <w:lang w:val="zh-CN" w:eastAsia="zh-CN"/>
        </w:rPr>
        <w:t>10</w:t>
      </w:r>
      <w:r>
        <w:rPr>
          <w:rFonts w:hint="eastAsia" w:ascii="宋体" w:hAnsi="宋体" w:eastAsia="宋体" w:cs="宋体"/>
          <w:b w:val="0"/>
          <w:bCs w:val="0"/>
          <w:color w:val="auto"/>
          <w:sz w:val="24"/>
          <w:szCs w:val="24"/>
          <w:highlight w:val="none"/>
          <w:u w:val="single"/>
          <w:lang w:val="en-US" w:eastAsia="zh-CN"/>
        </w:rPr>
        <w:t xml:space="preserve"> </w:t>
      </w:r>
      <w:r>
        <w:rPr>
          <w:rFonts w:hint="eastAsia" w:ascii="宋体" w:hAnsi="宋体" w:eastAsia="宋体" w:cs="宋体"/>
          <w:b w:val="0"/>
          <w:bCs w:val="0"/>
          <w:color w:val="auto"/>
          <w:sz w:val="24"/>
          <w:szCs w:val="24"/>
          <w:highlight w:val="none"/>
          <w:u w:val="single"/>
          <w:lang w:val="zh-CN" w:eastAsia="zh-CN"/>
        </w:rPr>
        <w:t>%</w:t>
      </w:r>
      <w:r>
        <w:rPr>
          <w:rFonts w:hint="eastAsia" w:ascii="宋体" w:hAnsi="宋体" w:eastAsia="宋体" w:cs="宋体"/>
          <w:b w:val="0"/>
          <w:bCs w:val="0"/>
          <w:color w:val="auto"/>
          <w:sz w:val="24"/>
          <w:szCs w:val="24"/>
          <w:highlight w:val="none"/>
          <w:lang w:val="zh-CN"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3.履约保证金的缴纳方式：以支票、汇票、本票或者金融机构、担保机构出具的见索即付保函等非现金形式提交。</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4.履约保证金的递交时间：自成交通知书发出之日起10个工作日内书面合同签订前递交至采购人指定账户。</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5.履约保证金返还：竣工验收合格后一次性无息退还。（履约保证金不计息）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1"/>
        <w:rPr>
          <w:rFonts w:hint="eastAsia" w:ascii="宋体" w:hAnsi="宋体" w:eastAsia="宋体" w:cs="宋体"/>
          <w:b w:val="0"/>
          <w:bCs w:val="0"/>
          <w:color w:val="auto"/>
          <w:sz w:val="24"/>
          <w:szCs w:val="24"/>
          <w:highlight w:val="none"/>
          <w:lang w:val="zh-CN" w:eastAsia="zh-CN"/>
        </w:rPr>
      </w:pPr>
      <w:bookmarkStart w:id="44" w:name="_Toc19719"/>
      <w:r>
        <w:rPr>
          <w:rFonts w:hint="eastAsia" w:ascii="宋体" w:hAnsi="宋体" w:eastAsia="宋体" w:cs="宋体"/>
          <w:b w:val="0"/>
          <w:bCs w:val="0"/>
          <w:color w:val="auto"/>
          <w:sz w:val="24"/>
          <w:szCs w:val="24"/>
          <w:highlight w:val="none"/>
          <w:lang w:val="zh-CN" w:eastAsia="zh-CN"/>
        </w:rPr>
        <w:t>五、</w:t>
      </w: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sz w:val="24"/>
          <w:szCs w:val="24"/>
          <w:highlight w:val="none"/>
          <w:lang w:val="zh-CN" w:eastAsia="zh-CN"/>
        </w:rPr>
        <w:t>工程款支付</w:t>
      </w:r>
      <w:bookmarkEnd w:id="44"/>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bookmarkStart w:id="45" w:name="_Toc6625"/>
      <w:bookmarkStart w:id="46" w:name="_Toc31012"/>
      <w:bookmarkStart w:id="47" w:name="_Toc344475123"/>
      <w:bookmarkStart w:id="48" w:name="_Toc20699"/>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val="zh-CN" w:eastAsia="zh-CN"/>
        </w:rPr>
        <w:t>工程竣工（或交工）验收合格后支付至经审核的已完成合格工程量计价款的80%(注：使用专项债券资金，或者使用有拨付进度考核的上级专项资金的项目，支付进度从其规定)。本工程按重庆市璧山区政府投资项目管理办法（璧发改【2022】265号）和政府结算审核相关规定（璧财发【2021】2号）办理结算，并移交档案资料且通过档案验收合格后支付至审定金额的97%，余下3%作为质量保证金，待24个月的缺陷责任期满后按规定无息退还。</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zh-CN" w:eastAsia="zh-CN"/>
        </w:rPr>
        <w:t xml:space="preserve"> </w:t>
      </w:r>
      <w:r>
        <w:rPr>
          <w:rFonts w:hint="eastAsia" w:ascii="宋体" w:hAnsi="宋体" w:cs="宋体"/>
          <w:b w:val="0"/>
          <w:bCs w:val="0"/>
          <w:color w:val="auto"/>
          <w:sz w:val="24"/>
          <w:szCs w:val="24"/>
          <w:highlight w:val="none"/>
          <w:lang w:val="en-US" w:eastAsia="zh-CN"/>
        </w:rPr>
        <w:t>2.农民工工资支付</w:t>
      </w:r>
      <w:r>
        <w:rPr>
          <w:rFonts w:hint="eastAsia" w:ascii="宋体" w:hAnsi="宋体" w:eastAsia="宋体" w:cs="宋体"/>
          <w:b w:val="0"/>
          <w:bCs w:val="0"/>
          <w:color w:val="auto"/>
          <w:sz w:val="24"/>
          <w:szCs w:val="24"/>
          <w:highlight w:val="none"/>
          <w:lang w:val="zh-CN" w:eastAsia="zh-CN"/>
        </w:rPr>
        <w:t>：按</w:t>
      </w:r>
      <w:r>
        <w:rPr>
          <w:rFonts w:hint="eastAsia" w:ascii="宋体" w:hAnsi="宋体" w:cs="宋体"/>
          <w:b w:val="0"/>
          <w:bCs w:val="0"/>
          <w:color w:val="auto"/>
          <w:sz w:val="24"/>
          <w:szCs w:val="24"/>
          <w:highlight w:val="none"/>
          <w:lang w:val="zh-CN" w:eastAsia="zh-CN"/>
        </w:rPr>
        <w:t>《</w:t>
      </w:r>
      <w:r>
        <w:rPr>
          <w:rFonts w:hint="eastAsia" w:ascii="宋体" w:hAnsi="宋体" w:cs="宋体"/>
          <w:b w:val="0"/>
          <w:bCs w:val="0"/>
          <w:color w:val="auto"/>
          <w:sz w:val="24"/>
          <w:szCs w:val="24"/>
          <w:highlight w:val="none"/>
          <w:lang w:val="en-US" w:eastAsia="zh-CN"/>
        </w:rPr>
        <w:t>建设工程施工合同》附件8</w:t>
      </w:r>
      <w:r>
        <w:rPr>
          <w:rFonts w:hint="eastAsia" w:ascii="宋体" w:hAnsi="宋体" w:eastAsia="宋体" w:cs="宋体"/>
          <w:b w:val="0"/>
          <w:bCs w:val="0"/>
          <w:color w:val="auto"/>
          <w:sz w:val="24"/>
          <w:szCs w:val="24"/>
          <w:highlight w:val="none"/>
          <w:lang w:val="zh-CN" w:eastAsia="zh-CN"/>
        </w:rPr>
        <w:t>农民工工资补充协议执行</w:t>
      </w:r>
      <w:r>
        <w:rPr>
          <w:rFonts w:hint="eastAsia" w:ascii="宋体" w:hAnsi="宋体" w:cs="宋体"/>
          <w:b w:val="0"/>
          <w:bCs w:val="0"/>
          <w:color w:val="auto"/>
          <w:sz w:val="24"/>
          <w:szCs w:val="24"/>
          <w:highlight w:val="none"/>
          <w:lang w:val="zh-CN" w:eastAsia="zh-CN"/>
        </w:rPr>
        <w:t>。</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六、★知识产权</w:t>
      </w:r>
      <w:bookmarkEnd w:id="45"/>
      <w:bookmarkEnd w:id="46"/>
      <w:bookmarkEnd w:id="47"/>
      <w:bookmarkEnd w:id="48"/>
    </w:p>
    <w:p>
      <w:pPr>
        <w:pageBreakBefore w:val="0"/>
        <w:widowControl w:val="0"/>
        <w:kinsoku/>
        <w:wordWrap/>
        <w:overflowPunct/>
        <w:topLinePunct w:val="0"/>
        <w:autoSpaceDE/>
        <w:autoSpaceDN/>
        <w:bidi w:val="0"/>
        <w:adjustRightInd/>
        <w:snapToGrid w:val="0"/>
        <w:spacing w:line="400" w:lineRule="exact"/>
        <w:ind w:firstLine="54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采购人在中华人民共和国境内使用成交供应商提供的货物</w:t>
      </w:r>
      <w:r>
        <w:rPr>
          <w:rFonts w:hint="eastAsia" w:ascii="宋体" w:hAnsi="宋体" w:eastAsia="宋体" w:cs="宋体"/>
          <w:b w:val="0"/>
          <w:bCs w:val="0"/>
          <w:color w:val="auto"/>
          <w:sz w:val="24"/>
          <w:szCs w:val="24"/>
          <w:highlight w:val="none"/>
          <w:lang w:eastAsia="zh-CN"/>
        </w:rPr>
        <w:t>、工程</w:t>
      </w:r>
      <w:r>
        <w:rPr>
          <w:rFonts w:hint="eastAsia" w:ascii="宋体" w:hAnsi="宋体" w:eastAsia="宋体" w:cs="宋体"/>
          <w:b w:val="0"/>
          <w:bCs w:val="0"/>
          <w:color w:val="auto"/>
          <w:sz w:val="24"/>
          <w:szCs w:val="24"/>
          <w:highlight w:val="none"/>
        </w:rPr>
        <w:t>及服务时免受第三方提出的侵犯其专利权或其它知识产权的起诉。如果第三方提出侵权指控，成交供应商应承担由此而引起的一切法律责任和费用。</w:t>
      </w:r>
    </w:p>
    <w:p>
      <w:pPr>
        <w:pageBreakBefore w:val="0"/>
        <w:widowControl w:val="0"/>
        <w:kinsoku/>
        <w:wordWrap/>
        <w:overflowPunct/>
        <w:topLinePunct w:val="0"/>
        <w:autoSpaceDE/>
        <w:autoSpaceDN/>
        <w:bidi w:val="0"/>
        <w:adjustRightInd/>
        <w:spacing w:before="0" w:after="0" w:line="400" w:lineRule="exact"/>
        <w:ind w:firstLine="480" w:firstLineChars="200"/>
        <w:textAlignment w:val="auto"/>
        <w:outlineLvl w:val="1"/>
        <w:rPr>
          <w:rFonts w:hint="eastAsia" w:ascii="宋体" w:hAnsi="宋体" w:eastAsia="宋体" w:cs="宋体"/>
          <w:b w:val="0"/>
          <w:bCs w:val="0"/>
          <w:color w:val="auto"/>
          <w:sz w:val="24"/>
          <w:szCs w:val="24"/>
          <w:highlight w:val="none"/>
        </w:rPr>
      </w:pPr>
      <w:bookmarkStart w:id="49" w:name="_Toc344475124"/>
      <w:bookmarkStart w:id="50" w:name="_Toc7760"/>
      <w:bookmarkStart w:id="51" w:name="_Toc22482"/>
      <w:bookmarkStart w:id="52" w:name="_Toc21497"/>
      <w:r>
        <w:rPr>
          <w:rFonts w:hint="eastAsia" w:ascii="宋体" w:hAnsi="宋体" w:eastAsia="宋体" w:cs="宋体"/>
          <w:b w:val="0"/>
          <w:bCs w:val="0"/>
          <w:color w:val="auto"/>
          <w:sz w:val="24"/>
          <w:szCs w:val="24"/>
          <w:highlight w:val="none"/>
          <w:lang w:eastAsia="zh-CN"/>
        </w:rPr>
        <w:t>七</w:t>
      </w:r>
      <w:r>
        <w:rPr>
          <w:rFonts w:hint="eastAsia" w:ascii="宋体" w:hAnsi="宋体" w:eastAsia="宋体" w:cs="宋体"/>
          <w:b w:val="0"/>
          <w:bCs w:val="0"/>
          <w:color w:val="auto"/>
          <w:sz w:val="24"/>
          <w:szCs w:val="24"/>
          <w:highlight w:val="none"/>
        </w:rPr>
        <w:t>、</w:t>
      </w:r>
      <w:bookmarkEnd w:id="49"/>
      <w:bookmarkStart w:id="53" w:name="_Toc344475125"/>
      <w:r>
        <w:rPr>
          <w:rFonts w:hint="eastAsia" w:ascii="宋体" w:hAnsi="宋体" w:eastAsia="宋体" w:cs="宋体"/>
          <w:b w:val="0"/>
          <w:bCs w:val="0"/>
          <w:color w:val="auto"/>
          <w:sz w:val="24"/>
          <w:szCs w:val="24"/>
          <w:highlight w:val="none"/>
        </w:rPr>
        <w:t>其他</w:t>
      </w:r>
      <w:bookmarkEnd w:id="50"/>
      <w:bookmarkEnd w:id="51"/>
      <w:bookmarkEnd w:id="52"/>
    </w:p>
    <w:bookmarkEnd w:id="53"/>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（一）供应商必须在响应文件中对以上条款和承诺明确列出，承诺内容必须达到本篇及竞争性磋商文件其他条款的要求。</w:t>
      </w:r>
    </w:p>
    <w:p>
      <w:pPr>
        <w:pageBreakBefore w:val="0"/>
        <w:widowControl w:val="0"/>
        <w:kinsoku/>
        <w:wordWrap/>
        <w:overflowPunct/>
        <w:topLinePunct w:val="0"/>
        <w:autoSpaceDE/>
        <w:autoSpaceDN/>
        <w:bidi w:val="0"/>
        <w:adjustRightInd/>
        <w:snapToGrid w:val="0"/>
        <w:spacing w:line="400" w:lineRule="exact"/>
        <w:ind w:firstLine="480" w:firstLineChars="20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（二）其他未尽事宜由供需双方在</w:t>
      </w:r>
      <w:r>
        <w:rPr>
          <w:rFonts w:hint="eastAsia" w:ascii="宋体" w:hAnsi="宋体" w:cs="宋体"/>
          <w:b w:val="0"/>
          <w:bCs w:val="0"/>
          <w:color w:val="auto"/>
          <w:sz w:val="24"/>
          <w:szCs w:val="24"/>
          <w:highlight w:val="none"/>
          <w:lang w:eastAsia="zh-CN"/>
        </w:rPr>
        <w:t>建筑工程施工合同</w:t>
      </w:r>
      <w:r>
        <w:rPr>
          <w:rFonts w:hint="eastAsia" w:ascii="宋体" w:hAnsi="宋体" w:eastAsia="宋体" w:cs="宋体"/>
          <w:b w:val="0"/>
          <w:bCs w:val="0"/>
          <w:color w:val="auto"/>
          <w:sz w:val="24"/>
          <w:szCs w:val="24"/>
          <w:highlight w:val="none"/>
        </w:rPr>
        <w:t>中详细约定。</w:t>
      </w:r>
    </w:p>
    <w:p>
      <w:pP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br w:type="page"/>
      </w:r>
    </w:p>
    <w:p>
      <w:pPr>
        <w:spacing w:before="0" w:after="0" w:line="360" w:lineRule="auto"/>
        <w:outlineLvl w:val="0"/>
        <w:rPr>
          <w:rFonts w:hint="eastAsia" w:ascii="宋体" w:hAnsi="宋体" w:eastAsia="宋体" w:cs="宋体"/>
          <w:b/>
          <w:bCs/>
          <w:color w:val="auto"/>
          <w:sz w:val="36"/>
          <w:szCs w:val="36"/>
          <w:highlight w:val="none"/>
          <w:lang w:val="en-US" w:eastAsia="zh-CN"/>
        </w:rPr>
      </w:pPr>
      <w:bookmarkStart w:id="54" w:name="_Toc15097"/>
    </w:p>
    <w:p>
      <w:pPr>
        <w:spacing w:before="0" w:after="0" w:line="360" w:lineRule="auto"/>
        <w:outlineLvl w:val="0"/>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第四篇  磋商程序及方法、评审标准、无效响应和采购终止</w:t>
      </w:r>
      <w:bookmarkEnd w:id="54"/>
    </w:p>
    <w:p>
      <w:pPr>
        <w:keepNext/>
        <w:keepLines/>
        <w:widowControl w:val="0"/>
        <w:spacing w:before="0" w:beforeLines="0" w:beforeAutospacing="0" w:after="0" w:afterLines="0" w:afterAutospacing="0" w:line="360" w:lineRule="auto"/>
        <w:jc w:val="both"/>
        <w:outlineLvl w:val="0"/>
        <w:rPr>
          <w:rFonts w:hint="eastAsia" w:ascii="宋体" w:hAnsi="宋体" w:eastAsia="宋体" w:cs="宋体"/>
          <w:b w:val="0"/>
          <w:bCs w:val="0"/>
          <w:color w:val="auto"/>
          <w:kern w:val="2"/>
          <w:sz w:val="24"/>
          <w:szCs w:val="24"/>
          <w:highlight w:val="none"/>
          <w:lang w:val="en-US" w:eastAsia="zh-CN" w:bidi="ar-SA"/>
        </w:rPr>
      </w:pPr>
      <w:bookmarkStart w:id="55" w:name="_Toc26188"/>
      <w:r>
        <w:rPr>
          <w:rFonts w:hint="eastAsia" w:ascii="宋体" w:hAnsi="宋体" w:eastAsia="宋体" w:cs="宋体"/>
          <w:b w:val="0"/>
          <w:bCs w:val="0"/>
          <w:color w:val="auto"/>
          <w:kern w:val="2"/>
          <w:sz w:val="24"/>
          <w:szCs w:val="24"/>
          <w:highlight w:val="none"/>
          <w:lang w:val="en-US" w:eastAsia="zh-CN" w:bidi="ar-SA"/>
        </w:rPr>
        <w:t>一、磋商程序及方法</w:t>
      </w:r>
      <w:bookmarkEnd w:id="55"/>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磋商按竞争性磋商文件规定的时间和地点进行，供应商须有法定代表人（或分支机构负责人）或其授权代表参加并签到。竞争性磋商以抽签的形式确定磋商顺序，由本项目依法组建的磋商小组分别与各供应商进行磋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（二）磋商小组对各供应商的资格条件、响应文件的有效性、完整性和响应程度进行审查。各供应商只有在完全符合要求的前提下，才能参与正式磋商。</w:t>
      </w:r>
    </w:p>
    <w:p>
      <w:pPr>
        <w:snapToGrid w:val="0"/>
        <w:spacing w:line="360" w:lineRule="auto"/>
        <w:ind w:firstLine="480" w:firstLineChars="20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kern w:val="0"/>
          <w:sz w:val="24"/>
          <w:szCs w:val="24"/>
          <w:highlight w:val="none"/>
        </w:rPr>
        <w:t>资格性检查。依据法律法规和竞争性磋商文件的规定，对响应文件中的资格证明进行审查，以确定供应商是否具备磋商资格。资格性检查资料表如下：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967"/>
        <w:gridCol w:w="2934"/>
        <w:gridCol w:w="5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676" w:type="dxa"/>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序号</w:t>
            </w:r>
          </w:p>
        </w:tc>
        <w:tc>
          <w:tcPr>
            <w:tcW w:w="3901" w:type="dxa"/>
            <w:gridSpan w:val="2"/>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检查因素</w:t>
            </w:r>
          </w:p>
        </w:tc>
        <w:tc>
          <w:tcPr>
            <w:tcW w:w="5051" w:type="dxa"/>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2" w:hRule="atLeast"/>
        </w:trPr>
        <w:tc>
          <w:tcPr>
            <w:tcW w:w="676" w:type="dxa"/>
            <w:vMerge w:val="restart"/>
            <w:noWrap w:val="0"/>
            <w:vAlign w:val="center"/>
          </w:tcPr>
          <w:p>
            <w:pPr>
              <w:spacing w:line="360" w:lineRule="auto"/>
              <w:jc w:val="center"/>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p>
        </w:tc>
        <w:tc>
          <w:tcPr>
            <w:tcW w:w="967" w:type="dxa"/>
            <w:vMerge w:val="restart"/>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供应商</w:t>
            </w:r>
            <w:r>
              <w:rPr>
                <w:rFonts w:hint="eastAsia" w:ascii="宋体" w:hAnsi="宋体" w:eastAsia="宋体" w:cs="宋体"/>
                <w:b w:val="0"/>
                <w:bCs w:val="0"/>
                <w:color w:val="auto"/>
                <w:sz w:val="22"/>
                <w:szCs w:val="22"/>
                <w:highlight w:val="none"/>
                <w:lang w:val="zh-CN"/>
              </w:rPr>
              <w:t>应符合的基本资格条件</w:t>
            </w:r>
          </w:p>
        </w:tc>
        <w:tc>
          <w:tcPr>
            <w:tcW w:w="2934"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（1）具有独立承担民事责任的能力</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法人营业执照（副本）或事业单位法人证书（副本）或个体工商户营业执照或有效的自然人身份证明、组织机构代码证复印件（注</w:t>
            </w:r>
            <w:r>
              <w:rPr>
                <w:rFonts w:hint="eastAsia" w:ascii="宋体" w:hAnsi="宋体" w:eastAsia="宋体" w:cs="宋体"/>
                <w:b w:val="0"/>
                <w:bCs w:val="0"/>
                <w:color w:val="auto"/>
                <w:kern w:val="0"/>
                <w:sz w:val="16"/>
                <w:szCs w:val="16"/>
                <w:highlight w:val="none"/>
              </w:rPr>
              <w:fldChar w:fldCharType="begin"/>
            </w:r>
            <w:r>
              <w:rPr>
                <w:rFonts w:hint="eastAsia" w:ascii="宋体" w:hAnsi="宋体" w:eastAsia="宋体" w:cs="宋体"/>
                <w:b w:val="0"/>
                <w:bCs w:val="0"/>
                <w:color w:val="auto"/>
                <w:kern w:val="0"/>
                <w:sz w:val="16"/>
                <w:szCs w:val="16"/>
                <w:highlight w:val="none"/>
              </w:rPr>
              <w:instrText xml:space="preserve"> eq \o\ac(</w:instrText>
            </w:r>
            <w:r>
              <w:rPr>
                <w:rFonts w:hint="eastAsia" w:ascii="宋体" w:hAnsi="宋体" w:eastAsia="宋体" w:cs="宋体"/>
                <w:b w:val="0"/>
                <w:bCs w:val="0"/>
                <w:color w:val="auto"/>
                <w:kern w:val="0"/>
                <w:position w:val="-3"/>
                <w:sz w:val="24"/>
                <w:szCs w:val="16"/>
                <w:highlight w:val="none"/>
              </w:rPr>
              <w:instrText xml:space="preserve">○</w:instrText>
            </w:r>
            <w:r>
              <w:rPr>
                <w:rFonts w:hint="eastAsia" w:ascii="宋体" w:hAnsi="宋体" w:eastAsia="宋体" w:cs="宋体"/>
                <w:b w:val="0"/>
                <w:bCs w:val="0"/>
                <w:color w:val="auto"/>
                <w:kern w:val="0"/>
                <w:position w:val="0"/>
                <w:sz w:val="16"/>
                <w:szCs w:val="16"/>
                <w:highlight w:val="none"/>
              </w:rPr>
              <w:instrText xml:space="preserve">,1)</w:instrText>
            </w:r>
            <w:r>
              <w:rPr>
                <w:rFonts w:hint="eastAsia" w:ascii="宋体" w:hAnsi="宋体" w:eastAsia="宋体" w:cs="宋体"/>
                <w:b w:val="0"/>
                <w:bCs w:val="0"/>
                <w:color w:val="auto"/>
                <w:kern w:val="0"/>
                <w:sz w:val="16"/>
                <w:szCs w:val="16"/>
                <w:highlight w:val="none"/>
              </w:rPr>
              <w:fldChar w:fldCharType="end"/>
            </w:r>
            <w:r>
              <w:rPr>
                <w:rFonts w:hint="eastAsia" w:ascii="宋体" w:hAnsi="宋体" w:eastAsia="宋体" w:cs="宋体"/>
                <w:b w:val="0"/>
                <w:bCs w:val="0"/>
                <w:color w:val="auto"/>
                <w:sz w:val="22"/>
                <w:szCs w:val="22"/>
                <w:highlight w:val="none"/>
              </w:rPr>
              <w:t xml:space="preserve">）； </w:t>
            </w:r>
          </w:p>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法定代表人</w:t>
            </w:r>
            <w:r>
              <w:rPr>
                <w:rFonts w:hint="eastAsia" w:ascii="宋体" w:hAnsi="宋体" w:eastAsia="宋体" w:cs="宋体"/>
                <w:b w:val="0"/>
                <w:bCs w:val="0"/>
                <w:color w:val="auto"/>
                <w:sz w:val="22"/>
                <w:szCs w:val="22"/>
                <w:highlight w:val="none"/>
                <w:lang w:eastAsia="zh-CN"/>
              </w:rPr>
              <w:t>（或分支机构负责人）</w:t>
            </w:r>
            <w:r>
              <w:rPr>
                <w:rFonts w:hint="eastAsia" w:ascii="宋体" w:hAnsi="宋体" w:eastAsia="宋体" w:cs="宋体"/>
                <w:b w:val="0"/>
                <w:bCs w:val="0"/>
                <w:color w:val="auto"/>
                <w:sz w:val="22"/>
                <w:szCs w:val="22"/>
                <w:highlight w:val="none"/>
              </w:rPr>
              <w:t>身份证明和法定代表人</w:t>
            </w:r>
            <w:r>
              <w:rPr>
                <w:rFonts w:hint="eastAsia" w:ascii="宋体" w:hAnsi="宋体" w:eastAsia="宋体" w:cs="宋体"/>
                <w:b w:val="0"/>
                <w:bCs w:val="0"/>
                <w:color w:val="auto"/>
                <w:sz w:val="22"/>
                <w:szCs w:val="22"/>
                <w:highlight w:val="none"/>
                <w:lang w:eastAsia="zh-CN"/>
              </w:rPr>
              <w:t>（或分支机构负责人）</w:t>
            </w:r>
            <w:r>
              <w:rPr>
                <w:rFonts w:hint="eastAsia" w:ascii="宋体" w:hAnsi="宋体" w:eastAsia="宋体" w:cs="宋体"/>
                <w:b w:val="0"/>
                <w:bCs w:val="0"/>
                <w:color w:val="auto"/>
                <w:sz w:val="22"/>
                <w:szCs w:val="22"/>
                <w:highlight w:val="none"/>
              </w:rPr>
              <w:t>授权代表委托书。</w:t>
            </w:r>
          </w:p>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分公司、办事处等分支机构</w:t>
            </w:r>
            <w:r>
              <w:rPr>
                <w:rFonts w:hint="eastAsia" w:ascii="宋体" w:hAnsi="宋体" w:eastAsia="宋体" w:cs="宋体"/>
                <w:b w:val="0"/>
                <w:bCs w:val="0"/>
                <w:color w:val="auto"/>
                <w:sz w:val="22"/>
                <w:szCs w:val="22"/>
                <w:highlight w:val="none"/>
                <w:lang w:eastAsia="zh-CN"/>
              </w:rPr>
              <w:t>参加磋商的，须提供总公司授权</w:t>
            </w:r>
            <w:r>
              <w:rPr>
                <w:rFonts w:hint="eastAsia" w:ascii="宋体" w:hAnsi="宋体" w:eastAsia="宋体" w:cs="宋体"/>
                <w:b w:val="0"/>
                <w:bCs w:val="0"/>
                <w:color w:val="auto"/>
                <w:sz w:val="22"/>
                <w:szCs w:val="22"/>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676" w:type="dxa"/>
            <w:vMerge w:val="continue"/>
            <w:noWrap w:val="0"/>
            <w:vAlign w:val="center"/>
          </w:tcPr>
          <w:p>
            <w:pPr>
              <w:spacing w:line="360" w:lineRule="auto"/>
              <w:jc w:val="center"/>
              <w:outlineLvl w:val="9"/>
              <w:rPr>
                <w:rFonts w:hint="eastAsia" w:ascii="宋体" w:hAnsi="宋体" w:eastAsia="宋体" w:cs="宋体"/>
                <w:b w:val="0"/>
                <w:bCs w:val="0"/>
                <w:color w:val="auto"/>
                <w:sz w:val="22"/>
                <w:szCs w:val="22"/>
                <w:highlight w:val="none"/>
                <w:lang w:eastAsia="zh-CN"/>
              </w:rPr>
            </w:pPr>
            <w:r>
              <w:rPr>
                <w:rFonts w:hint="eastAsia" w:ascii="宋体" w:hAnsi="宋体" w:eastAsia="宋体" w:cs="宋体"/>
                <w:b w:val="0"/>
                <w:bCs w:val="0"/>
                <w:color w:val="auto"/>
                <w:sz w:val="22"/>
                <w:szCs w:val="22"/>
                <w:highlight w:val="none"/>
                <w:lang w:eastAsia="zh-CN"/>
              </w:rPr>
              <w:t xml:space="preserve"> </w:t>
            </w:r>
          </w:p>
        </w:tc>
        <w:tc>
          <w:tcPr>
            <w:tcW w:w="967" w:type="dxa"/>
            <w:vMerge w:val="continue"/>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p>
        </w:tc>
        <w:tc>
          <w:tcPr>
            <w:tcW w:w="2934"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val="zh-CN"/>
              </w:rPr>
              <w:t>（2）</w:t>
            </w:r>
            <w:r>
              <w:rPr>
                <w:rFonts w:hint="eastAsia" w:ascii="宋体" w:hAnsi="宋体" w:eastAsia="宋体" w:cs="宋体"/>
                <w:b w:val="0"/>
                <w:bCs w:val="0"/>
                <w:color w:val="auto"/>
                <w:sz w:val="22"/>
                <w:szCs w:val="22"/>
                <w:highlight w:val="none"/>
              </w:rPr>
              <w:t>具有良好的商业信誉和健全的财务会计制度</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1" w:hRule="atLeast"/>
        </w:trPr>
        <w:tc>
          <w:tcPr>
            <w:tcW w:w="676" w:type="dxa"/>
            <w:vMerge w:val="continue"/>
            <w:noWrap w:val="0"/>
            <w:vAlign w:val="center"/>
          </w:tcPr>
          <w:p>
            <w:pPr>
              <w:spacing w:line="360" w:lineRule="auto"/>
              <w:jc w:val="center"/>
              <w:outlineLvl w:val="9"/>
              <w:rPr>
                <w:rFonts w:hint="eastAsia" w:ascii="宋体" w:hAnsi="宋体" w:eastAsia="宋体" w:cs="宋体"/>
                <w:b w:val="0"/>
                <w:bCs w:val="0"/>
                <w:color w:val="auto"/>
                <w:sz w:val="22"/>
                <w:szCs w:val="22"/>
                <w:highlight w:val="none"/>
              </w:rPr>
            </w:pPr>
          </w:p>
        </w:tc>
        <w:tc>
          <w:tcPr>
            <w:tcW w:w="967" w:type="dxa"/>
            <w:vMerge w:val="continue"/>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p>
        </w:tc>
        <w:tc>
          <w:tcPr>
            <w:tcW w:w="2934" w:type="dxa"/>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（3）具有履行合同所必需的设备和专业技术能力</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供应商提供书面声明（见格式文件）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宋体" w:hAnsi="宋体" w:eastAsia="宋体" w:cs="宋体"/>
                <w:b w:val="0"/>
                <w:bCs w:val="0"/>
                <w:color w:val="auto"/>
                <w:sz w:val="22"/>
                <w:szCs w:val="22"/>
                <w:highlight w:val="none"/>
              </w:rPr>
            </w:pPr>
          </w:p>
        </w:tc>
        <w:tc>
          <w:tcPr>
            <w:tcW w:w="967" w:type="dxa"/>
            <w:vMerge w:val="continue"/>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p>
        </w:tc>
        <w:tc>
          <w:tcPr>
            <w:tcW w:w="2934" w:type="dxa"/>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（4）有依法缴纳税收和社会保障金的良好记录</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提供书面声明（见格式文件）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宋体" w:hAnsi="宋体" w:eastAsia="宋体" w:cs="宋体"/>
                <w:b w:val="0"/>
                <w:bCs w:val="0"/>
                <w:color w:val="auto"/>
                <w:sz w:val="22"/>
                <w:szCs w:val="22"/>
                <w:highlight w:val="none"/>
              </w:rPr>
            </w:pPr>
          </w:p>
        </w:tc>
        <w:tc>
          <w:tcPr>
            <w:tcW w:w="967" w:type="dxa"/>
            <w:vMerge w:val="continue"/>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p>
        </w:tc>
        <w:tc>
          <w:tcPr>
            <w:tcW w:w="2934" w:type="dxa"/>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（5）参加政府采购活动前三年内，在经营活动中没有重大违法记录</w:t>
            </w:r>
            <w:r>
              <w:rPr>
                <w:rFonts w:hint="eastAsia" w:ascii="宋体" w:hAnsi="宋体" w:eastAsia="宋体" w:cs="宋体"/>
                <w:b w:val="0"/>
                <w:bCs w:val="0"/>
                <w:color w:val="auto"/>
                <w:sz w:val="20"/>
                <w:szCs w:val="20"/>
                <w:highlight w:val="none"/>
              </w:rPr>
              <w:t>（注</w:t>
            </w:r>
            <w:r>
              <w:rPr>
                <w:rFonts w:hint="eastAsia" w:ascii="宋体" w:hAnsi="宋体" w:eastAsia="宋体" w:cs="宋体"/>
                <w:b w:val="0"/>
                <w:bCs w:val="0"/>
                <w:color w:val="auto"/>
                <w:kern w:val="0"/>
                <w:sz w:val="16"/>
                <w:szCs w:val="16"/>
                <w:highlight w:val="none"/>
              </w:rPr>
              <w:fldChar w:fldCharType="begin"/>
            </w:r>
            <w:r>
              <w:rPr>
                <w:rFonts w:hint="eastAsia" w:ascii="宋体" w:hAnsi="宋体" w:eastAsia="宋体" w:cs="宋体"/>
                <w:b w:val="0"/>
                <w:bCs w:val="0"/>
                <w:color w:val="auto"/>
                <w:kern w:val="0"/>
                <w:sz w:val="16"/>
                <w:szCs w:val="16"/>
                <w:highlight w:val="none"/>
              </w:rPr>
              <w:instrText xml:space="preserve"> eq \o\ac(</w:instrText>
            </w:r>
            <w:r>
              <w:rPr>
                <w:rFonts w:hint="eastAsia" w:ascii="宋体" w:hAnsi="宋体" w:eastAsia="宋体" w:cs="宋体"/>
                <w:b w:val="0"/>
                <w:bCs w:val="0"/>
                <w:color w:val="auto"/>
                <w:kern w:val="0"/>
                <w:position w:val="-3"/>
                <w:sz w:val="24"/>
                <w:szCs w:val="16"/>
                <w:highlight w:val="none"/>
              </w:rPr>
              <w:instrText xml:space="preserve">○</w:instrText>
            </w:r>
            <w:r>
              <w:rPr>
                <w:rFonts w:hint="eastAsia" w:ascii="宋体" w:hAnsi="宋体" w:eastAsia="宋体" w:cs="宋体"/>
                <w:b w:val="0"/>
                <w:bCs w:val="0"/>
                <w:color w:val="auto"/>
                <w:kern w:val="0"/>
                <w:position w:val="0"/>
                <w:sz w:val="16"/>
                <w:szCs w:val="16"/>
                <w:highlight w:val="none"/>
              </w:rPr>
              <w:instrText xml:space="preserve">,2)</w:instrText>
            </w:r>
            <w:r>
              <w:rPr>
                <w:rFonts w:hint="eastAsia" w:ascii="宋体" w:hAnsi="宋体" w:eastAsia="宋体" w:cs="宋体"/>
                <w:b w:val="0"/>
                <w:bCs w:val="0"/>
                <w:color w:val="auto"/>
                <w:kern w:val="0"/>
                <w:sz w:val="16"/>
                <w:szCs w:val="16"/>
                <w:highlight w:val="none"/>
              </w:rPr>
              <w:fldChar w:fldCharType="end"/>
            </w:r>
            <w:r>
              <w:rPr>
                <w:rFonts w:hint="eastAsia" w:ascii="宋体" w:hAnsi="宋体" w:eastAsia="宋体" w:cs="宋体"/>
                <w:b w:val="0"/>
                <w:bCs w:val="0"/>
                <w:color w:val="auto"/>
                <w:sz w:val="20"/>
                <w:szCs w:val="20"/>
                <w:highlight w:val="none"/>
              </w:rPr>
              <w:t>）</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1.</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提供书面声明（见格式文件）；</w:t>
            </w:r>
          </w:p>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2.采购人或采购</w:t>
            </w:r>
            <w:r>
              <w:rPr>
                <w:rFonts w:hint="eastAsia" w:ascii="宋体" w:hAnsi="宋体" w:eastAsia="宋体" w:cs="宋体"/>
                <w:b w:val="0"/>
                <w:bCs w:val="0"/>
                <w:color w:val="auto"/>
                <w:sz w:val="22"/>
                <w:szCs w:val="22"/>
                <w:highlight w:val="none"/>
                <w:lang w:eastAsia="zh-CN"/>
              </w:rPr>
              <w:t>采购代理机构</w:t>
            </w:r>
            <w:r>
              <w:rPr>
                <w:rFonts w:hint="eastAsia" w:ascii="宋体" w:hAnsi="宋体" w:eastAsia="宋体" w:cs="宋体"/>
                <w:b w:val="0"/>
                <w:bCs w:val="0"/>
                <w:color w:val="auto"/>
                <w:sz w:val="22"/>
                <w:szCs w:val="22"/>
                <w:highlight w:val="none"/>
              </w:rPr>
              <w:t>将通过 “信用中国”网站(www.creditchina.gov.cn)、"中国政府采购网"(www.ccgp.gov.cn)等渠道查询</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信用记录，对列入失信被执行人、重大税收违法案件当事人名单、政府采购严重违法失信行为记录名单的</w:t>
            </w:r>
            <w:r>
              <w:rPr>
                <w:rFonts w:hint="eastAsia" w:ascii="宋体" w:hAnsi="宋体" w:eastAsia="宋体" w:cs="宋体"/>
                <w:b w:val="0"/>
                <w:bCs w:val="0"/>
                <w:color w:val="auto"/>
                <w:sz w:val="22"/>
                <w:szCs w:val="22"/>
                <w:highlight w:val="none"/>
                <w:lang w:eastAsia="zh-CN"/>
              </w:rPr>
              <w:t>供应商</w:t>
            </w:r>
            <w:r>
              <w:rPr>
                <w:rFonts w:hint="eastAsia" w:ascii="宋体" w:hAnsi="宋体" w:eastAsia="宋体" w:cs="宋体"/>
                <w:b w:val="0"/>
                <w:bCs w:val="0"/>
                <w:color w:val="auto"/>
                <w:sz w:val="22"/>
                <w:szCs w:val="22"/>
                <w:highlight w:val="none"/>
              </w:rPr>
              <w:t>将拒绝其参与采购活动。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676" w:type="dxa"/>
            <w:vMerge w:val="continue"/>
            <w:noWrap w:val="0"/>
            <w:vAlign w:val="center"/>
          </w:tcPr>
          <w:p>
            <w:pPr>
              <w:spacing w:line="360" w:lineRule="auto"/>
              <w:jc w:val="center"/>
              <w:outlineLvl w:val="9"/>
              <w:rPr>
                <w:rFonts w:hint="eastAsia" w:ascii="宋体" w:hAnsi="宋体" w:eastAsia="宋体" w:cs="宋体"/>
                <w:b w:val="0"/>
                <w:bCs w:val="0"/>
                <w:color w:val="auto"/>
                <w:sz w:val="22"/>
                <w:szCs w:val="22"/>
                <w:highlight w:val="none"/>
              </w:rPr>
            </w:pPr>
          </w:p>
        </w:tc>
        <w:tc>
          <w:tcPr>
            <w:tcW w:w="967" w:type="dxa"/>
            <w:vMerge w:val="continue"/>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p>
        </w:tc>
        <w:tc>
          <w:tcPr>
            <w:tcW w:w="2934"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（6）法律、行政法规规定的其他条件</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lang w:val="en-US" w:eastAsia="zh-CN"/>
              </w:rPr>
            </w:pPr>
            <w:r>
              <w:rPr>
                <w:rFonts w:hint="eastAsia" w:ascii="宋体" w:hAnsi="宋体" w:eastAsia="宋体" w:cs="宋体"/>
                <w:b w:val="0"/>
                <w:bCs w:val="0"/>
                <w:color w:val="auto"/>
                <w:sz w:val="22"/>
                <w:szCs w:val="22"/>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76"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2</w:t>
            </w:r>
          </w:p>
        </w:tc>
        <w:tc>
          <w:tcPr>
            <w:tcW w:w="3901" w:type="dxa"/>
            <w:gridSpan w:val="2"/>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特定资格条件</w:t>
            </w:r>
          </w:p>
        </w:tc>
        <w:tc>
          <w:tcPr>
            <w:tcW w:w="505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按第一篇“（二）特定资格条件”的要求提交</w:t>
            </w:r>
          </w:p>
        </w:tc>
      </w:tr>
    </w:tbl>
    <w:p>
      <w:pPr>
        <w:snapToGrid w:val="0"/>
        <w:spacing w:line="360" w:lineRule="auto"/>
        <w:ind w:firstLine="480" w:firstLineChars="20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注：</w:t>
      </w:r>
    </w:p>
    <w:p>
      <w:pPr>
        <w:snapToGrid w:val="0"/>
        <w:spacing w:line="360" w:lineRule="auto"/>
        <w:ind w:firstLine="360" w:firstLineChars="20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18"/>
          <w:szCs w:val="18"/>
          <w:highlight w:val="none"/>
        </w:rPr>
        <w:fldChar w:fldCharType="begin"/>
      </w:r>
      <w:r>
        <w:rPr>
          <w:rFonts w:hint="eastAsia" w:ascii="宋体" w:hAnsi="宋体" w:eastAsia="宋体" w:cs="宋体"/>
          <w:b w:val="0"/>
          <w:bCs w:val="0"/>
          <w:color w:val="auto"/>
          <w:kern w:val="0"/>
          <w:sz w:val="18"/>
          <w:szCs w:val="18"/>
          <w:highlight w:val="none"/>
        </w:rPr>
        <w:instrText xml:space="preserve"> eq \o\ac(</w:instrText>
      </w:r>
      <w:r>
        <w:rPr>
          <w:rFonts w:hint="eastAsia" w:ascii="宋体" w:hAnsi="宋体" w:eastAsia="宋体" w:cs="宋体"/>
          <w:b w:val="0"/>
          <w:bCs w:val="0"/>
          <w:color w:val="auto"/>
          <w:kern w:val="0"/>
          <w:position w:val="-3"/>
          <w:sz w:val="27"/>
          <w:szCs w:val="18"/>
          <w:highlight w:val="none"/>
        </w:rPr>
        <w:instrText xml:space="preserve">○</w:instrText>
      </w:r>
      <w:r>
        <w:rPr>
          <w:rFonts w:hint="eastAsia" w:ascii="宋体" w:hAnsi="宋体" w:eastAsia="宋体" w:cs="宋体"/>
          <w:b w:val="0"/>
          <w:bCs w:val="0"/>
          <w:color w:val="auto"/>
          <w:kern w:val="0"/>
          <w:position w:val="0"/>
          <w:sz w:val="18"/>
          <w:szCs w:val="18"/>
          <w:highlight w:val="none"/>
        </w:rPr>
        <w:instrText xml:space="preserve">,1)</w:instrText>
      </w:r>
      <w:r>
        <w:rPr>
          <w:rFonts w:hint="eastAsia" w:ascii="宋体" w:hAnsi="宋体" w:eastAsia="宋体" w:cs="宋体"/>
          <w:b w:val="0"/>
          <w:bCs w:val="0"/>
          <w:color w:val="auto"/>
          <w:kern w:val="0"/>
          <w:sz w:val="18"/>
          <w:szCs w:val="18"/>
          <w:highlight w:val="none"/>
        </w:rPr>
        <w:fldChar w:fldCharType="end"/>
      </w:r>
      <w:r>
        <w:rPr>
          <w:rFonts w:hint="eastAsia" w:ascii="宋体" w:hAnsi="宋体" w:eastAsia="宋体" w:cs="宋体"/>
          <w:b w:val="0"/>
          <w:bCs w:val="0"/>
          <w:color w:val="auto"/>
          <w:kern w:val="0"/>
          <w:sz w:val="24"/>
          <w:szCs w:val="24"/>
          <w:highlight w:val="none"/>
        </w:rPr>
        <w:t>供应商按“多证合一”登记制度办理营业执照的，组织机构代码证</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sz w:val="24"/>
          <w:szCs w:val="24"/>
          <w:highlight w:val="none"/>
        </w:rPr>
        <w:t>社会保险登记证</w:t>
      </w:r>
      <w:r>
        <w:rPr>
          <w:rFonts w:hint="eastAsia" w:ascii="宋体" w:hAnsi="宋体" w:eastAsia="宋体" w:cs="宋体"/>
          <w:b w:val="0"/>
          <w:bCs w:val="0"/>
          <w:color w:val="auto"/>
          <w:kern w:val="0"/>
          <w:sz w:val="24"/>
          <w:szCs w:val="24"/>
          <w:highlight w:val="none"/>
        </w:rPr>
        <w:t>和税务登记证（副本）以供应商所提供的营业执照（副本）复印件为准。</w:t>
      </w:r>
    </w:p>
    <w:p>
      <w:pPr>
        <w:snapToGrid w:val="0"/>
        <w:spacing w:line="360" w:lineRule="auto"/>
        <w:ind w:firstLine="360" w:firstLineChars="20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18"/>
          <w:szCs w:val="18"/>
          <w:highlight w:val="none"/>
        </w:rPr>
        <w:fldChar w:fldCharType="begin"/>
      </w:r>
      <w:r>
        <w:rPr>
          <w:rFonts w:hint="eastAsia" w:ascii="宋体" w:hAnsi="宋体" w:eastAsia="宋体" w:cs="宋体"/>
          <w:b w:val="0"/>
          <w:bCs w:val="0"/>
          <w:color w:val="auto"/>
          <w:kern w:val="0"/>
          <w:sz w:val="18"/>
          <w:szCs w:val="18"/>
          <w:highlight w:val="none"/>
        </w:rPr>
        <w:instrText xml:space="preserve"> eq \o\ac(</w:instrText>
      </w:r>
      <w:r>
        <w:rPr>
          <w:rFonts w:hint="eastAsia" w:ascii="宋体" w:hAnsi="宋体" w:eastAsia="宋体" w:cs="宋体"/>
          <w:b w:val="0"/>
          <w:bCs w:val="0"/>
          <w:color w:val="auto"/>
          <w:kern w:val="0"/>
          <w:position w:val="-3"/>
          <w:sz w:val="27"/>
          <w:szCs w:val="18"/>
          <w:highlight w:val="none"/>
        </w:rPr>
        <w:instrText xml:space="preserve">○</w:instrText>
      </w:r>
      <w:r>
        <w:rPr>
          <w:rFonts w:hint="eastAsia" w:ascii="宋体" w:hAnsi="宋体" w:eastAsia="宋体" w:cs="宋体"/>
          <w:b w:val="0"/>
          <w:bCs w:val="0"/>
          <w:color w:val="auto"/>
          <w:kern w:val="0"/>
          <w:position w:val="0"/>
          <w:sz w:val="18"/>
          <w:szCs w:val="18"/>
          <w:highlight w:val="none"/>
        </w:rPr>
        <w:instrText xml:space="preserve">,2)</w:instrText>
      </w:r>
      <w:r>
        <w:rPr>
          <w:rFonts w:hint="eastAsia" w:ascii="宋体" w:hAnsi="宋体" w:eastAsia="宋体" w:cs="宋体"/>
          <w:b w:val="0"/>
          <w:bCs w:val="0"/>
          <w:color w:val="auto"/>
          <w:kern w:val="0"/>
          <w:sz w:val="18"/>
          <w:szCs w:val="18"/>
          <w:highlight w:val="none"/>
        </w:rPr>
        <w:fldChar w:fldCharType="end"/>
      </w:r>
      <w:r>
        <w:rPr>
          <w:rFonts w:hint="eastAsia" w:ascii="宋体" w:hAnsi="宋体" w:eastAsia="宋体" w:cs="宋体"/>
          <w:b w:val="0"/>
          <w:bCs w:val="0"/>
          <w:color w:val="auto"/>
          <w:kern w:val="0"/>
          <w:sz w:val="24"/>
          <w:szCs w:val="24"/>
          <w:highlight w:val="none"/>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号）”执行。供应商可于响应文件递交截止时间前通过“信用中国”网站(www.creditchina.gov.cn)、"中国政府采购网"(www.ccgp.gov.cn)等渠道查询信用记录。</w:t>
      </w:r>
    </w:p>
    <w:p>
      <w:pPr>
        <w:snapToGrid w:val="0"/>
        <w:spacing w:line="360" w:lineRule="auto"/>
        <w:ind w:firstLine="480" w:firstLineChars="200"/>
        <w:outlineLvl w:val="9"/>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2、符合性检查。依据竞争性磋商文件的规定，从响应文件的有效性、完整性和对竞争性磋商文件的响应程度进行审查，以确定是否对竞争性磋商文件的实质性要求作出响应。符合性检查资料表如下：</w:t>
      </w:r>
    </w:p>
    <w:tbl>
      <w:tblPr>
        <w:tblStyle w:val="6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0"/>
        <w:gridCol w:w="2222"/>
        <w:gridCol w:w="5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序号</w:t>
            </w:r>
          </w:p>
        </w:tc>
        <w:tc>
          <w:tcPr>
            <w:tcW w:w="3782" w:type="dxa"/>
            <w:gridSpan w:val="2"/>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评审因素</w:t>
            </w:r>
          </w:p>
        </w:tc>
        <w:tc>
          <w:tcPr>
            <w:tcW w:w="5171" w:type="dxa"/>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1</w:t>
            </w:r>
          </w:p>
        </w:tc>
        <w:tc>
          <w:tcPr>
            <w:tcW w:w="1560" w:type="dxa"/>
            <w:vMerge w:val="restart"/>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有效性审查</w:t>
            </w:r>
          </w:p>
        </w:tc>
        <w:tc>
          <w:tcPr>
            <w:tcW w:w="2222"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rPr>
              <w:t>响应文件签署</w:t>
            </w:r>
          </w:p>
        </w:tc>
        <w:tc>
          <w:tcPr>
            <w:tcW w:w="5171"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rPr>
              <w:t>响应文件上法定代表人（或分支机构负责人）或其授权代表人的签字齐全。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p>
        </w:tc>
        <w:tc>
          <w:tcPr>
            <w:tcW w:w="2222"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法定代表人（或分支机构负责人）身份证明及授权委托书</w:t>
            </w:r>
          </w:p>
        </w:tc>
        <w:tc>
          <w:tcPr>
            <w:tcW w:w="5171" w:type="dxa"/>
            <w:noWrap w:val="0"/>
            <w:vAlign w:val="center"/>
          </w:tcPr>
          <w:p>
            <w:pPr>
              <w:spacing w:line="360" w:lineRule="auto"/>
              <w:outlineLvl w:val="9"/>
              <w:rPr>
                <w:rFonts w:hint="eastAsia" w:ascii="宋体" w:hAnsi="宋体" w:eastAsia="宋体" w:cs="宋体"/>
                <w:b w:val="0"/>
                <w:bCs w:val="0"/>
                <w:color w:val="auto"/>
                <w:sz w:val="22"/>
                <w:szCs w:val="22"/>
                <w:highlight w:val="none"/>
              </w:rPr>
            </w:pPr>
            <w:r>
              <w:rPr>
                <w:rFonts w:hint="eastAsia" w:ascii="宋体" w:hAnsi="宋体" w:eastAsia="宋体" w:cs="宋体"/>
                <w:b w:val="0"/>
                <w:bCs w:val="0"/>
                <w:color w:val="auto"/>
                <w:sz w:val="22"/>
                <w:szCs w:val="22"/>
                <w:highlight w:val="none"/>
              </w:rPr>
              <w:t>法定代表人（或分支机构负责人）身份证明及授权委托书有效，符合竞争性磋商文件规定的格式，签字或盖章齐全。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p>
        </w:tc>
        <w:tc>
          <w:tcPr>
            <w:tcW w:w="2222" w:type="dxa"/>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响应</w:t>
            </w:r>
            <w:r>
              <w:rPr>
                <w:rFonts w:hint="eastAsia" w:ascii="宋体" w:hAnsi="宋体" w:eastAsia="宋体" w:cs="宋体"/>
                <w:b w:val="0"/>
                <w:bCs w:val="0"/>
                <w:color w:val="auto"/>
                <w:sz w:val="22"/>
                <w:szCs w:val="22"/>
                <w:highlight w:val="none"/>
                <w:lang w:val="zh-CN"/>
              </w:rPr>
              <w:t>方案</w:t>
            </w:r>
          </w:p>
        </w:tc>
        <w:tc>
          <w:tcPr>
            <w:tcW w:w="5171"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lang w:val="zh-CN"/>
              </w:rPr>
              <w:t>只能有一个</w:t>
            </w:r>
            <w:r>
              <w:rPr>
                <w:rFonts w:hint="eastAsia" w:ascii="宋体" w:hAnsi="宋体" w:eastAsia="宋体" w:cs="宋体"/>
                <w:b w:val="0"/>
                <w:bCs w:val="0"/>
                <w:color w:val="auto"/>
                <w:sz w:val="22"/>
                <w:szCs w:val="22"/>
                <w:highlight w:val="none"/>
              </w:rPr>
              <w:t>响应</w:t>
            </w:r>
            <w:r>
              <w:rPr>
                <w:rFonts w:hint="eastAsia" w:ascii="宋体" w:hAnsi="宋体" w:eastAsia="宋体" w:cs="宋体"/>
                <w:b w:val="0"/>
                <w:bCs w:val="0"/>
                <w:color w:val="auto"/>
                <w:sz w:val="22"/>
                <w:szCs w:val="22"/>
                <w:highlight w:val="none"/>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p>
        </w:tc>
        <w:tc>
          <w:tcPr>
            <w:tcW w:w="2222" w:type="dxa"/>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rPr>
              <w:t>报价唯一</w:t>
            </w:r>
          </w:p>
        </w:tc>
        <w:tc>
          <w:tcPr>
            <w:tcW w:w="5171" w:type="dxa"/>
            <w:noWrap w:val="0"/>
            <w:vAlign w:val="center"/>
          </w:tcPr>
          <w:p>
            <w:pPr>
              <w:spacing w:line="360" w:lineRule="auto"/>
              <w:outlineLvl w:val="9"/>
              <w:rPr>
                <w:rFonts w:hint="eastAsia" w:ascii="宋体" w:hAnsi="宋体" w:eastAsia="宋体" w:cs="宋体"/>
                <w:b w:val="0"/>
                <w:bCs w:val="0"/>
                <w:color w:val="auto"/>
                <w:kern w:val="0"/>
                <w:sz w:val="22"/>
                <w:szCs w:val="22"/>
                <w:highlight w:val="none"/>
                <w:lang w:eastAsia="zh-CN"/>
              </w:rPr>
            </w:pPr>
            <w:r>
              <w:rPr>
                <w:rFonts w:hint="eastAsia" w:ascii="宋体" w:hAnsi="宋体" w:eastAsia="宋体" w:cs="宋体"/>
                <w:color w:val="auto"/>
                <w:sz w:val="21"/>
                <w:szCs w:val="21"/>
                <w:highlight w:val="none"/>
              </w:rPr>
              <w:t>只能有一个有效报价，不得提交选择性报价</w:t>
            </w:r>
            <w:r>
              <w:rPr>
                <w:rFonts w:hint="eastAsia" w:ascii="宋体" w:hAnsi="宋体" w:eastAsia="宋体" w:cs="宋体"/>
                <w:color w:val="auto"/>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675" w:type="dxa"/>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2</w:t>
            </w:r>
          </w:p>
        </w:tc>
        <w:tc>
          <w:tcPr>
            <w:tcW w:w="1560"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完整性审查</w:t>
            </w:r>
          </w:p>
        </w:tc>
        <w:tc>
          <w:tcPr>
            <w:tcW w:w="2222"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sz w:val="22"/>
                <w:szCs w:val="22"/>
                <w:highlight w:val="none"/>
              </w:rPr>
              <w:t>响应</w:t>
            </w:r>
            <w:r>
              <w:rPr>
                <w:rFonts w:hint="eastAsia" w:ascii="宋体" w:hAnsi="宋体" w:eastAsia="宋体" w:cs="宋体"/>
                <w:b w:val="0"/>
                <w:bCs w:val="0"/>
                <w:color w:val="auto"/>
                <w:sz w:val="22"/>
                <w:szCs w:val="22"/>
                <w:highlight w:val="none"/>
                <w:lang w:val="zh-CN"/>
              </w:rPr>
              <w:t>文件份数</w:t>
            </w:r>
          </w:p>
        </w:tc>
        <w:tc>
          <w:tcPr>
            <w:tcW w:w="5171" w:type="dxa"/>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sz w:val="22"/>
                <w:szCs w:val="22"/>
                <w:highlight w:val="none"/>
                <w:lang w:val="zh-CN"/>
              </w:rPr>
              <w:t>响应文件正、副本数量符合竞争性磋商文件要求。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675" w:type="dxa"/>
            <w:vMerge w:val="restart"/>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3</w:t>
            </w:r>
          </w:p>
        </w:tc>
        <w:tc>
          <w:tcPr>
            <w:tcW w:w="1560" w:type="dxa"/>
            <w:vMerge w:val="restart"/>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r>
              <w:rPr>
                <w:rFonts w:hint="eastAsia" w:ascii="宋体" w:hAnsi="宋体" w:eastAsia="宋体" w:cs="宋体"/>
                <w:b w:val="0"/>
                <w:bCs w:val="0"/>
                <w:color w:val="auto"/>
                <w:kern w:val="0"/>
                <w:sz w:val="22"/>
                <w:szCs w:val="22"/>
                <w:highlight w:val="none"/>
              </w:rPr>
              <w:t>竞争性磋商文件的响应程度审查</w:t>
            </w:r>
          </w:p>
        </w:tc>
        <w:tc>
          <w:tcPr>
            <w:tcW w:w="2222"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响应文件内容</w:t>
            </w:r>
          </w:p>
        </w:tc>
        <w:tc>
          <w:tcPr>
            <w:tcW w:w="5171" w:type="dxa"/>
            <w:noWrap w:val="0"/>
            <w:vAlign w:val="center"/>
          </w:tcPr>
          <w:p>
            <w:pPr>
              <w:pStyle w:val="33"/>
              <w:spacing w:line="360" w:lineRule="auto"/>
              <w:outlineLvl w:val="9"/>
              <w:rPr>
                <w:rFonts w:hint="eastAsia" w:ascii="宋体" w:hAnsi="宋体" w:eastAsia="宋体" w:cs="宋体"/>
                <w:b w:val="0"/>
                <w:bCs w:val="0"/>
                <w:color w:val="auto"/>
                <w:kern w:val="0"/>
                <w:sz w:val="22"/>
                <w:szCs w:val="22"/>
                <w:highlight w:val="none"/>
                <w:lang w:val="en-US" w:eastAsia="zh-CN"/>
              </w:rPr>
            </w:pPr>
            <w:r>
              <w:rPr>
                <w:rFonts w:hint="eastAsia" w:ascii="宋体" w:hAnsi="宋体" w:eastAsia="宋体" w:cs="宋体"/>
                <w:b w:val="0"/>
                <w:bCs w:val="0"/>
                <w:color w:val="auto"/>
                <w:kern w:val="0"/>
                <w:sz w:val="22"/>
                <w:szCs w:val="22"/>
                <w:highlight w:val="none"/>
                <w:lang w:val="en-US" w:eastAsia="zh-CN"/>
              </w:rPr>
              <w:t>对竞争性磋商文件第二篇全部和第三篇</w:t>
            </w:r>
            <w:r>
              <w:rPr>
                <w:rFonts w:hint="eastAsia" w:ascii="宋体" w:hAnsi="宋体" w:eastAsia="宋体" w:cs="宋体"/>
                <w:b w:val="0"/>
                <w:bCs w:val="0"/>
                <w:color w:val="auto"/>
                <w:sz w:val="24"/>
                <w:szCs w:val="22"/>
                <w:highlight w:val="none"/>
              </w:rPr>
              <w:t>★</w:t>
            </w:r>
            <w:r>
              <w:rPr>
                <w:rFonts w:hint="eastAsia" w:ascii="宋体" w:hAnsi="宋体" w:eastAsia="宋体" w:cs="宋体"/>
                <w:b w:val="0"/>
                <w:bCs w:val="0"/>
                <w:color w:val="auto"/>
                <w:kern w:val="0"/>
                <w:sz w:val="22"/>
                <w:szCs w:val="22"/>
                <w:highlight w:val="none"/>
                <w:lang w:val="en-US" w:eastAsia="zh-CN"/>
              </w:rPr>
              <w:t>内容作出实质性响应。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pPr>
              <w:spacing w:line="360" w:lineRule="auto"/>
              <w:jc w:val="center"/>
              <w:outlineLvl w:val="9"/>
              <w:rPr>
                <w:rFonts w:hint="eastAsia" w:ascii="宋体" w:hAnsi="宋体" w:eastAsia="宋体" w:cs="宋体"/>
                <w:b w:val="0"/>
                <w:bCs w:val="0"/>
                <w:color w:val="auto"/>
                <w:kern w:val="0"/>
                <w:sz w:val="22"/>
                <w:szCs w:val="22"/>
                <w:highlight w:val="none"/>
              </w:rPr>
            </w:pPr>
          </w:p>
        </w:tc>
        <w:tc>
          <w:tcPr>
            <w:tcW w:w="1560" w:type="dxa"/>
            <w:vMerge w:val="continue"/>
            <w:noWrap w:val="0"/>
            <w:vAlign w:val="center"/>
          </w:tcPr>
          <w:p>
            <w:pPr>
              <w:spacing w:line="360" w:lineRule="auto"/>
              <w:outlineLvl w:val="9"/>
              <w:rPr>
                <w:rFonts w:hint="eastAsia" w:ascii="宋体" w:hAnsi="宋体" w:eastAsia="宋体" w:cs="宋体"/>
                <w:b w:val="0"/>
                <w:bCs w:val="0"/>
                <w:color w:val="auto"/>
                <w:sz w:val="22"/>
                <w:szCs w:val="22"/>
                <w:highlight w:val="none"/>
                <w:lang w:val="zh-CN"/>
              </w:rPr>
            </w:pPr>
          </w:p>
        </w:tc>
        <w:tc>
          <w:tcPr>
            <w:tcW w:w="2222"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磋商有效期</w:t>
            </w:r>
          </w:p>
        </w:tc>
        <w:tc>
          <w:tcPr>
            <w:tcW w:w="5171" w:type="dxa"/>
            <w:noWrap w:val="0"/>
            <w:vAlign w:val="center"/>
          </w:tcPr>
          <w:p>
            <w:pPr>
              <w:spacing w:line="360" w:lineRule="auto"/>
              <w:outlineLvl w:val="9"/>
              <w:rPr>
                <w:rFonts w:hint="eastAsia" w:ascii="宋体" w:hAnsi="宋体" w:eastAsia="宋体" w:cs="宋体"/>
                <w:b w:val="0"/>
                <w:bCs w:val="0"/>
                <w:color w:val="auto"/>
                <w:kern w:val="0"/>
                <w:sz w:val="22"/>
                <w:szCs w:val="22"/>
                <w:highlight w:val="none"/>
              </w:rPr>
            </w:pPr>
            <w:r>
              <w:rPr>
                <w:rFonts w:hint="eastAsia" w:ascii="宋体" w:hAnsi="宋体" w:eastAsia="宋体" w:cs="宋体"/>
                <w:b w:val="0"/>
                <w:bCs w:val="0"/>
                <w:color w:val="auto"/>
                <w:kern w:val="0"/>
                <w:sz w:val="22"/>
                <w:szCs w:val="22"/>
                <w:highlight w:val="none"/>
              </w:rPr>
              <w:t>满足磋商文件</w:t>
            </w:r>
            <w:r>
              <w:rPr>
                <w:rFonts w:hint="eastAsia" w:ascii="宋体" w:hAnsi="宋体" w:eastAsia="宋体" w:cs="宋体"/>
                <w:b w:val="0"/>
                <w:bCs w:val="0"/>
                <w:color w:val="auto"/>
                <w:sz w:val="22"/>
                <w:szCs w:val="22"/>
                <w:highlight w:val="none"/>
                <w:lang w:val="zh-CN"/>
              </w:rPr>
              <w:t>规定。</w:t>
            </w:r>
          </w:p>
        </w:tc>
      </w:tr>
    </w:tbl>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根据《财政部关于政府采购竞争性磋商采购方式管理暂行办法有关问题的补充通知》（财库〔2015〕124号）采用竞争性磋商采购方式采购的政府购买服务项目（含政府和社会资本合作项目），在采购过程中符合要求的供应商（社会资本）只有2家的，竞争性磋商采购活动可以继续进行。</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磋商小组要求供应商澄清、说明或者更正响应文件应当以书面形式作出。供应商的澄清、说明或者更正应当由法定代表人（或分支机构负责人）或其授权代表签字或者加盖公章。由授权代表签字的，应当附法定代表人（或分支机构负责人）授权书。</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（五）在磋商过程中磋商的任何一方不得向他人透露与磋商有关的技术资料、价格或其他信息。</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六）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（七）供应商在磋商时作出的所有书面承诺须由法定代表人（或分支机构负责人）或其授权代表签字。</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经磋商确定最终采购需求且磋商结束后，供应商应当按照竞争性磋商文件的变动情况和磋商小组的要求重新提交响应文件或重新做出相关的书面承诺，最后书面提交最后报价及有关承诺（《最后报价表》在磋商现场向供应商提供）。已提交响应文件但未在规定时间内进行最后报价的供应商，视为放弃最后报价，以供应商响应文件中的报价为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rPr>
        <w:t>九）磋商小组采用综合评分法对供应商的响应文件和</w:t>
      </w:r>
      <w:r>
        <w:rPr>
          <w:rFonts w:hint="eastAsia" w:ascii="宋体" w:hAnsi="宋体" w:eastAsia="宋体" w:cs="宋体"/>
          <w:b w:val="0"/>
          <w:bCs w:val="0"/>
          <w:color w:val="auto"/>
          <w:sz w:val="24"/>
          <w:szCs w:val="24"/>
          <w:highlight w:val="none"/>
          <w:lang w:eastAsia="zh-CN"/>
        </w:rPr>
        <w:t>总</w:t>
      </w:r>
      <w:r>
        <w:rPr>
          <w:rFonts w:hint="eastAsia" w:ascii="宋体" w:hAnsi="宋体" w:eastAsia="宋体" w:cs="宋体"/>
          <w:b w:val="0"/>
          <w:bCs w:val="0"/>
          <w:color w:val="auto"/>
          <w:sz w:val="24"/>
          <w:szCs w:val="24"/>
          <w:highlight w:val="none"/>
        </w:rPr>
        <w:t>报价（含有效书面承诺）进行综合评分。</w:t>
      </w:r>
      <w:r>
        <w:rPr>
          <w:rFonts w:hint="eastAsia" w:ascii="宋体" w:hAnsi="宋体" w:eastAsia="宋体" w:cs="宋体"/>
          <w:b w:val="0"/>
          <w:bCs w:val="0"/>
          <w:color w:val="auto"/>
          <w:kern w:val="0"/>
          <w:sz w:val="24"/>
          <w:szCs w:val="24"/>
          <w:highlight w:val="none"/>
        </w:rPr>
        <w:t>综合评分法，是指响应文件满足</w:t>
      </w:r>
      <w:r>
        <w:rPr>
          <w:rFonts w:hint="eastAsia" w:ascii="宋体" w:hAnsi="宋体" w:eastAsia="宋体" w:cs="宋体"/>
          <w:b w:val="0"/>
          <w:bCs w:val="0"/>
          <w:color w:val="auto"/>
          <w:kern w:val="0"/>
          <w:sz w:val="24"/>
          <w:szCs w:val="24"/>
          <w:highlight w:val="none"/>
        </w:rPr>
        <w:t>竞争性磋商文件全部实质性要求且按照评审因素的量化指标评审得分最高的供应商为成交候选供应商的评审方法。供应商总得分为价格、</w:t>
      </w:r>
      <w:r>
        <w:rPr>
          <w:rFonts w:hint="eastAsia" w:ascii="宋体" w:hAnsi="宋体" w:eastAsia="宋体" w:cs="宋体"/>
          <w:b w:val="0"/>
          <w:bCs w:val="0"/>
          <w:color w:val="auto"/>
          <w:kern w:val="0"/>
          <w:sz w:val="24"/>
          <w:szCs w:val="24"/>
          <w:highlight w:val="none"/>
          <w:lang w:eastAsia="zh-CN"/>
        </w:rPr>
        <w:t>技术</w:t>
      </w:r>
      <w:r>
        <w:rPr>
          <w:rFonts w:hint="eastAsia" w:ascii="宋体" w:hAnsi="宋体" w:eastAsia="宋体" w:cs="宋体"/>
          <w:b w:val="0"/>
          <w:bCs w:val="0"/>
          <w:color w:val="auto"/>
          <w:kern w:val="0"/>
          <w:sz w:val="24"/>
          <w:szCs w:val="24"/>
          <w:highlight w:val="none"/>
        </w:rPr>
        <w:t>、</w:t>
      </w:r>
      <w:r>
        <w:rPr>
          <w:rFonts w:hint="eastAsia" w:ascii="宋体" w:hAnsi="宋体" w:eastAsia="宋体" w:cs="宋体"/>
          <w:b w:val="0"/>
          <w:bCs w:val="0"/>
          <w:color w:val="auto"/>
          <w:kern w:val="0"/>
          <w:sz w:val="24"/>
          <w:szCs w:val="24"/>
          <w:highlight w:val="none"/>
          <w:lang w:eastAsia="zh-CN"/>
        </w:rPr>
        <w:t>商务</w:t>
      </w:r>
      <w:r>
        <w:rPr>
          <w:rFonts w:hint="eastAsia" w:ascii="宋体" w:hAnsi="宋体" w:eastAsia="宋体" w:cs="宋体"/>
          <w:b w:val="0"/>
          <w:bCs w:val="0"/>
          <w:color w:val="auto"/>
          <w:kern w:val="0"/>
          <w:sz w:val="24"/>
          <w:szCs w:val="24"/>
          <w:highlight w:val="none"/>
        </w:rPr>
        <w:t>等评定因素分别按照相应权重值计算分项得分后相加，满分为100分</w:t>
      </w:r>
      <w:r>
        <w:rPr>
          <w:rFonts w:hint="eastAsia" w:ascii="宋体" w:hAnsi="宋体" w:eastAsia="宋体" w:cs="宋体"/>
          <w:b w:val="0"/>
          <w:bCs w:val="0"/>
          <w:color w:val="auto"/>
          <w:sz w:val="24"/>
          <w:szCs w:val="24"/>
          <w:highlight w:val="none"/>
        </w:rPr>
        <w:t>。（详见评审标准）。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磋商小组各成员独立对每个有效响应（通过资格性审查、符合性审查的供应商）的文件进行评价、打分，然后汇总每个供应商每项评分因素的得分，并根据综合评分情况按照评审得分由高到低顺序推荐3名以上成交候选供应商，并编写评审报告。若供应商的评审得分相同的，按照最后报价由低到高的顺序排列推荐。评审得分且最后报价相同的，按照技术方案优劣顺序排列推荐。以上都相同的，按商务条款的优劣顺序排列推荐。</w:t>
      </w:r>
    </w:p>
    <w:p>
      <w:pPr>
        <w:keepNext/>
        <w:keepLines/>
        <w:widowControl w:val="0"/>
        <w:spacing w:before="0" w:beforeLines="0" w:beforeAutospacing="0" w:after="0" w:afterLines="0" w:afterAutospacing="0" w:line="360" w:lineRule="auto"/>
        <w:jc w:val="both"/>
        <w:outlineLvl w:val="0"/>
        <w:rPr>
          <w:rFonts w:hint="eastAsia" w:ascii="宋体" w:hAnsi="宋体" w:eastAsia="宋体" w:cs="宋体"/>
          <w:b w:val="0"/>
          <w:bCs w:val="0"/>
          <w:color w:val="auto"/>
          <w:kern w:val="2"/>
          <w:sz w:val="24"/>
          <w:szCs w:val="24"/>
          <w:highlight w:val="none"/>
          <w:lang w:val="en-US" w:eastAsia="zh-CN" w:bidi="ar-SA"/>
        </w:rPr>
      </w:pPr>
      <w:bookmarkStart w:id="56" w:name="_Toc8921"/>
      <w:r>
        <w:rPr>
          <w:rFonts w:hint="eastAsia" w:ascii="宋体" w:hAnsi="宋体" w:eastAsia="宋体" w:cs="宋体"/>
          <w:b w:val="0"/>
          <w:bCs w:val="0"/>
          <w:color w:val="auto"/>
          <w:kern w:val="2"/>
          <w:sz w:val="24"/>
          <w:szCs w:val="24"/>
          <w:highlight w:val="none"/>
          <w:lang w:val="en-US" w:eastAsia="zh-CN" w:bidi="ar-SA"/>
        </w:rPr>
        <w:t>二、</w:t>
      </w:r>
      <w:bookmarkStart w:id="57" w:name="_Toc102227320"/>
      <w:bookmarkStart w:id="58" w:name="_Toc342913394"/>
      <w:r>
        <w:rPr>
          <w:rFonts w:hint="eastAsia" w:ascii="宋体" w:hAnsi="宋体" w:eastAsia="宋体" w:cs="宋体"/>
          <w:b w:val="0"/>
          <w:bCs w:val="0"/>
          <w:color w:val="auto"/>
          <w:kern w:val="2"/>
          <w:sz w:val="24"/>
          <w:szCs w:val="24"/>
          <w:highlight w:val="none"/>
          <w:lang w:val="en-US" w:eastAsia="zh-CN" w:bidi="ar-SA"/>
        </w:rPr>
        <w:t>评审标准</w:t>
      </w:r>
      <w:bookmarkEnd w:id="56"/>
    </w:p>
    <w:tbl>
      <w:tblPr>
        <w:tblStyle w:val="60"/>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583"/>
        <w:gridCol w:w="1121"/>
        <w:gridCol w:w="1089"/>
        <w:gridCol w:w="5053"/>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jc w:val="center"/>
        </w:trPr>
        <w:tc>
          <w:tcPr>
            <w:tcW w:w="300" w:type="pct"/>
            <w:noWrap w:val="0"/>
            <w:vAlign w:val="center"/>
          </w:tcPr>
          <w:p>
            <w:pPr>
              <w:spacing w:line="200" w:lineRule="atLeast"/>
              <w:ind w:firstLine="28"/>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序号</w:t>
            </w:r>
          </w:p>
        </w:tc>
        <w:tc>
          <w:tcPr>
            <w:tcW w:w="577" w:type="pct"/>
            <w:noWrap w:val="0"/>
            <w:vAlign w:val="center"/>
          </w:tcPr>
          <w:p>
            <w:pPr>
              <w:spacing w:line="200" w:lineRule="atLeast"/>
              <w:ind w:firstLine="28"/>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评分因素及权值</w:t>
            </w:r>
          </w:p>
        </w:tc>
        <w:tc>
          <w:tcPr>
            <w:tcW w:w="561" w:type="pct"/>
            <w:noWrap w:val="0"/>
            <w:vAlign w:val="center"/>
          </w:tcPr>
          <w:p>
            <w:pPr>
              <w:spacing w:line="200" w:lineRule="atLeast"/>
              <w:ind w:firstLine="28"/>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分值</w:t>
            </w:r>
          </w:p>
        </w:tc>
        <w:tc>
          <w:tcPr>
            <w:tcW w:w="2602" w:type="pct"/>
            <w:noWrap w:val="0"/>
            <w:vAlign w:val="center"/>
          </w:tcPr>
          <w:p>
            <w:pPr>
              <w:spacing w:line="200" w:lineRule="atLeast"/>
              <w:ind w:firstLine="28"/>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内  容</w:t>
            </w:r>
          </w:p>
        </w:tc>
        <w:tc>
          <w:tcPr>
            <w:tcW w:w="958" w:type="pct"/>
            <w:noWrap w:val="0"/>
            <w:vAlign w:val="center"/>
          </w:tcPr>
          <w:p>
            <w:pPr>
              <w:spacing w:line="200" w:lineRule="atLeast"/>
              <w:ind w:firstLine="28"/>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9" w:hRule="atLeast"/>
          <w:jc w:val="center"/>
        </w:trPr>
        <w:tc>
          <w:tcPr>
            <w:tcW w:w="300" w:type="pct"/>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w:t>
            </w:r>
          </w:p>
        </w:tc>
        <w:tc>
          <w:tcPr>
            <w:tcW w:w="577" w:type="pct"/>
            <w:noWrap w:val="0"/>
            <w:vAlign w:val="center"/>
          </w:tcPr>
          <w:p>
            <w:pPr>
              <w:widowControl/>
              <w:jc w:val="center"/>
              <w:outlineLvl w:val="9"/>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lang w:eastAsia="zh-CN"/>
              </w:rPr>
              <w:t>磋商</w:t>
            </w:r>
          </w:p>
          <w:p>
            <w:pPr>
              <w:widowControl/>
              <w:jc w:val="center"/>
              <w:outlineLvl w:val="9"/>
              <w:rPr>
                <w:rFonts w:hint="eastAsia" w:ascii="宋体" w:hAnsi="宋体" w:eastAsia="宋体" w:cs="宋体"/>
                <w:b w:val="0"/>
                <w:bCs w:val="0"/>
                <w:color w:val="auto"/>
                <w:kern w:val="0"/>
                <w:sz w:val="21"/>
                <w:szCs w:val="21"/>
                <w:highlight w:val="none"/>
                <w:lang w:eastAsia="zh-CN"/>
              </w:rPr>
            </w:pPr>
            <w:r>
              <w:rPr>
                <w:rFonts w:hint="eastAsia" w:ascii="宋体" w:hAnsi="宋体" w:eastAsia="宋体" w:cs="宋体"/>
                <w:b w:val="0"/>
                <w:bCs w:val="0"/>
                <w:color w:val="auto"/>
                <w:kern w:val="0"/>
                <w:sz w:val="21"/>
                <w:szCs w:val="21"/>
                <w:highlight w:val="none"/>
              </w:rPr>
              <w:t>报价</w:t>
            </w:r>
          </w:p>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w:t>
            </w: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0%）</w:t>
            </w:r>
          </w:p>
        </w:tc>
        <w:tc>
          <w:tcPr>
            <w:tcW w:w="561" w:type="pct"/>
            <w:noWrap w:val="0"/>
            <w:vAlign w:val="center"/>
          </w:tcPr>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rPr>
              <w:t>4</w:t>
            </w:r>
            <w:r>
              <w:rPr>
                <w:rFonts w:hint="eastAsia" w:ascii="宋体" w:hAnsi="宋体" w:eastAsia="宋体" w:cs="宋体"/>
                <w:b w:val="0"/>
                <w:bCs w:val="0"/>
                <w:color w:val="auto"/>
                <w:kern w:val="0"/>
                <w:sz w:val="21"/>
                <w:szCs w:val="21"/>
                <w:highlight w:val="none"/>
              </w:rPr>
              <w:t>0分</w:t>
            </w:r>
          </w:p>
        </w:tc>
        <w:tc>
          <w:tcPr>
            <w:tcW w:w="2602" w:type="pct"/>
            <w:noWrap w:val="0"/>
            <w:vAlign w:val="center"/>
          </w:tcPr>
          <w:p>
            <w:pPr>
              <w:widowControl/>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 xml:space="preserve"> </w:t>
            </w:r>
            <w:r>
              <w:rPr>
                <w:rFonts w:hint="eastAsia" w:ascii="宋体" w:hAnsi="宋体" w:eastAsia="宋体" w:cs="宋体"/>
                <w:b w:val="0"/>
                <w:bCs w:val="0"/>
                <w:color w:val="auto"/>
                <w:kern w:val="0"/>
                <w:sz w:val="21"/>
                <w:szCs w:val="21"/>
                <w:highlight w:val="none"/>
                <w:lang w:val="en-US" w:eastAsia="zh-CN"/>
              </w:rPr>
              <w:t xml:space="preserve">   </w:t>
            </w:r>
            <w:r>
              <w:rPr>
                <w:rFonts w:hint="eastAsia" w:ascii="宋体" w:hAnsi="宋体" w:eastAsia="宋体" w:cs="宋体"/>
                <w:b w:val="0"/>
                <w:bCs w:val="0"/>
                <w:color w:val="auto"/>
                <w:kern w:val="0"/>
                <w:sz w:val="21"/>
                <w:szCs w:val="21"/>
                <w:highlight w:val="none"/>
                <w:lang w:eastAsia="zh-CN"/>
              </w:rPr>
              <w:t>磋商报价</w:t>
            </w:r>
            <w:r>
              <w:rPr>
                <w:rFonts w:hint="eastAsia" w:ascii="宋体" w:hAnsi="宋体" w:eastAsia="宋体" w:cs="宋体"/>
                <w:b w:val="0"/>
                <w:bCs w:val="0"/>
                <w:color w:val="auto"/>
                <w:kern w:val="0"/>
                <w:sz w:val="21"/>
                <w:szCs w:val="21"/>
                <w:highlight w:val="none"/>
              </w:rPr>
              <w:t>基础分为40分，对满足资格</w:t>
            </w:r>
            <w:r>
              <w:rPr>
                <w:rFonts w:hint="eastAsia" w:ascii="宋体" w:hAnsi="宋体" w:eastAsia="宋体" w:cs="宋体"/>
                <w:b w:val="0"/>
                <w:bCs w:val="0"/>
                <w:color w:val="auto"/>
                <w:kern w:val="0"/>
                <w:sz w:val="21"/>
                <w:szCs w:val="21"/>
                <w:highlight w:val="none"/>
                <w:lang w:eastAsia="zh-CN"/>
              </w:rPr>
              <w:t>及</w:t>
            </w:r>
            <w:r>
              <w:rPr>
                <w:rFonts w:hint="eastAsia" w:ascii="宋体" w:hAnsi="宋体" w:eastAsia="宋体" w:cs="宋体"/>
                <w:b w:val="0"/>
                <w:bCs w:val="0"/>
                <w:color w:val="auto"/>
                <w:kern w:val="0"/>
                <w:sz w:val="21"/>
                <w:szCs w:val="21"/>
                <w:highlight w:val="none"/>
              </w:rPr>
              <w:t>符合性的要求的</w:t>
            </w:r>
            <w:r>
              <w:rPr>
                <w:rFonts w:hint="eastAsia" w:ascii="宋体" w:hAnsi="宋体" w:eastAsia="宋体" w:cs="宋体"/>
                <w:b w:val="0"/>
                <w:bCs w:val="0"/>
                <w:color w:val="auto"/>
                <w:kern w:val="0"/>
                <w:sz w:val="21"/>
                <w:szCs w:val="21"/>
                <w:highlight w:val="none"/>
                <w:lang w:eastAsia="zh-CN"/>
              </w:rPr>
              <w:t>供应商</w:t>
            </w:r>
            <w:r>
              <w:rPr>
                <w:rFonts w:hint="eastAsia" w:ascii="宋体" w:hAnsi="宋体" w:eastAsia="宋体" w:cs="宋体"/>
                <w:b w:val="0"/>
                <w:bCs w:val="0"/>
                <w:color w:val="auto"/>
                <w:kern w:val="0"/>
                <w:sz w:val="21"/>
                <w:szCs w:val="21"/>
                <w:highlight w:val="none"/>
              </w:rPr>
              <w:t>的</w:t>
            </w:r>
            <w:r>
              <w:rPr>
                <w:rFonts w:hint="eastAsia" w:ascii="宋体" w:hAnsi="宋体" w:eastAsia="宋体" w:cs="宋体"/>
                <w:b w:val="0"/>
                <w:bCs w:val="0"/>
                <w:color w:val="auto"/>
                <w:kern w:val="0"/>
                <w:sz w:val="21"/>
                <w:szCs w:val="21"/>
                <w:highlight w:val="none"/>
                <w:lang w:eastAsia="zh-CN"/>
              </w:rPr>
              <w:t>总</w:t>
            </w:r>
            <w:r>
              <w:rPr>
                <w:rFonts w:hint="eastAsia" w:ascii="宋体" w:hAnsi="宋体" w:eastAsia="宋体" w:cs="宋体"/>
                <w:b w:val="0"/>
                <w:bCs w:val="0"/>
                <w:color w:val="auto"/>
                <w:kern w:val="0"/>
                <w:sz w:val="21"/>
                <w:szCs w:val="21"/>
                <w:highlight w:val="none"/>
              </w:rPr>
              <w:t>报价与</w:t>
            </w:r>
            <w:r>
              <w:rPr>
                <w:rFonts w:hint="eastAsia" w:ascii="宋体" w:hAnsi="宋体" w:eastAsia="宋体" w:cs="宋体"/>
                <w:b w:val="0"/>
                <w:bCs w:val="0"/>
                <w:color w:val="auto"/>
                <w:kern w:val="0"/>
                <w:sz w:val="21"/>
                <w:szCs w:val="21"/>
                <w:highlight w:val="none"/>
                <w:lang w:eastAsia="zh-CN"/>
              </w:rPr>
              <w:t>磋商基准价</w:t>
            </w:r>
            <w:r>
              <w:rPr>
                <w:rFonts w:hint="eastAsia" w:ascii="宋体" w:hAnsi="宋体" w:eastAsia="宋体" w:cs="宋体"/>
                <w:b w:val="0"/>
                <w:bCs w:val="0"/>
                <w:color w:val="auto"/>
                <w:kern w:val="0"/>
                <w:sz w:val="21"/>
                <w:szCs w:val="21"/>
                <w:highlight w:val="none"/>
              </w:rPr>
              <w:t>相比，每增加1%扣</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分，每减少1%扣</w:t>
            </w:r>
            <w:r>
              <w:rPr>
                <w:rFonts w:hint="eastAsia" w:ascii="宋体" w:hAnsi="宋体" w:eastAsia="宋体" w:cs="宋体"/>
                <w:b w:val="0"/>
                <w:bCs w:val="0"/>
                <w:color w:val="auto"/>
                <w:kern w:val="0"/>
                <w:sz w:val="21"/>
                <w:szCs w:val="21"/>
                <w:highlight w:val="none"/>
                <w:lang w:val="en-US" w:eastAsia="zh-CN"/>
              </w:rPr>
              <w:t>0.5</w:t>
            </w:r>
            <w:r>
              <w:rPr>
                <w:rFonts w:hint="eastAsia" w:ascii="宋体" w:hAnsi="宋体" w:eastAsia="宋体" w:cs="宋体"/>
                <w:b w:val="0"/>
                <w:bCs w:val="0"/>
                <w:color w:val="auto"/>
                <w:kern w:val="0"/>
                <w:sz w:val="21"/>
                <w:szCs w:val="21"/>
                <w:highlight w:val="none"/>
              </w:rPr>
              <w:t>分。具体分值采用插入法计算，保留小数点后两位，第三位四舍五入。</w:t>
            </w:r>
          </w:p>
          <w:p>
            <w:pPr>
              <w:widowControl/>
              <w:ind w:firstLine="420" w:firstLineChars="200"/>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eastAsia="zh-CN"/>
              </w:rPr>
              <w:t>磋商</w:t>
            </w:r>
            <w:r>
              <w:rPr>
                <w:rFonts w:hint="eastAsia" w:ascii="宋体" w:hAnsi="宋体" w:eastAsia="宋体" w:cs="宋体"/>
                <w:b w:val="0"/>
                <w:bCs w:val="0"/>
                <w:color w:val="auto"/>
                <w:kern w:val="0"/>
                <w:sz w:val="21"/>
                <w:szCs w:val="21"/>
                <w:highlight w:val="none"/>
              </w:rPr>
              <w:t>基准价：通过资格及符合性审查的</w:t>
            </w:r>
            <w:r>
              <w:rPr>
                <w:rFonts w:hint="eastAsia" w:ascii="宋体" w:hAnsi="宋体" w:eastAsia="宋体" w:cs="宋体"/>
                <w:b w:val="0"/>
                <w:bCs w:val="0"/>
                <w:color w:val="auto"/>
                <w:kern w:val="0"/>
                <w:sz w:val="21"/>
                <w:szCs w:val="21"/>
                <w:highlight w:val="none"/>
                <w:lang w:eastAsia="zh-CN"/>
              </w:rPr>
              <w:t>总</w:t>
            </w:r>
            <w:r>
              <w:rPr>
                <w:rFonts w:hint="eastAsia" w:ascii="宋体" w:hAnsi="宋体" w:eastAsia="宋体" w:cs="宋体"/>
                <w:b w:val="0"/>
                <w:bCs w:val="0"/>
                <w:color w:val="auto"/>
                <w:kern w:val="0"/>
                <w:sz w:val="21"/>
                <w:szCs w:val="21"/>
                <w:highlight w:val="none"/>
              </w:rPr>
              <w:t>报价中去掉六分之一（不能整除的按小数前整数取整，不足六家报价则不去掉）的最低价和相同家数的最高价后的算术平均值即为</w:t>
            </w:r>
            <w:r>
              <w:rPr>
                <w:rFonts w:hint="eastAsia" w:ascii="宋体" w:hAnsi="宋体" w:eastAsia="宋体" w:cs="宋体"/>
                <w:b w:val="0"/>
                <w:bCs w:val="0"/>
                <w:color w:val="auto"/>
                <w:kern w:val="0"/>
                <w:sz w:val="21"/>
                <w:szCs w:val="21"/>
                <w:highlight w:val="none"/>
                <w:lang w:eastAsia="zh-CN"/>
              </w:rPr>
              <w:t>磋商</w:t>
            </w:r>
            <w:r>
              <w:rPr>
                <w:rFonts w:hint="eastAsia" w:ascii="宋体" w:hAnsi="宋体" w:eastAsia="宋体" w:cs="宋体"/>
                <w:b w:val="0"/>
                <w:bCs w:val="0"/>
                <w:color w:val="auto"/>
                <w:kern w:val="0"/>
                <w:sz w:val="21"/>
                <w:szCs w:val="21"/>
                <w:highlight w:val="none"/>
              </w:rPr>
              <w:t>基准价。</w:t>
            </w:r>
          </w:p>
        </w:tc>
        <w:tc>
          <w:tcPr>
            <w:tcW w:w="958" w:type="pct"/>
            <w:noWrap w:val="0"/>
            <w:vAlign w:val="center"/>
          </w:tcPr>
          <w:p>
            <w:pPr>
              <w:widowControl/>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kern w:val="0"/>
                <w:sz w:val="21"/>
                <w:szCs w:val="21"/>
                <w:highlight w:val="none"/>
                <w:lang w:eastAsia="zh-CN"/>
              </w:rPr>
              <w:t>计算结果</w:t>
            </w:r>
            <w:r>
              <w:rPr>
                <w:rFonts w:hint="eastAsia" w:ascii="宋体" w:hAnsi="宋体" w:eastAsia="宋体" w:cs="宋体"/>
                <w:b w:val="0"/>
                <w:bCs w:val="0"/>
                <w:color w:val="auto"/>
                <w:kern w:val="0"/>
                <w:sz w:val="21"/>
                <w:szCs w:val="21"/>
                <w:highlight w:val="none"/>
              </w:rPr>
              <w:t>按四舍五入法保留两位小数</w:t>
            </w:r>
            <w:r>
              <w:rPr>
                <w:rFonts w:hint="eastAsia" w:ascii="宋体" w:hAnsi="宋体" w:eastAsia="宋体" w:cs="宋体"/>
                <w:b w:val="0"/>
                <w:bCs w:val="0"/>
                <w:color w:val="auto"/>
                <w:kern w:val="0"/>
                <w:sz w:val="21"/>
                <w:szCs w:val="21"/>
                <w:highlight w:val="none"/>
                <w:lang w:eastAsia="zh-CN"/>
              </w:rPr>
              <w:t>，第三位四舍五入。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0" w:type="pct"/>
            <w:vMerge w:val="restart"/>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p>
        </w:tc>
        <w:tc>
          <w:tcPr>
            <w:tcW w:w="577" w:type="pct"/>
            <w:vMerge w:val="restart"/>
            <w:noWrap w:val="0"/>
            <w:vAlign w:val="center"/>
          </w:tcPr>
          <w:p>
            <w:pPr>
              <w:spacing w:line="240" w:lineRule="atLeast"/>
              <w:ind w:firstLine="28"/>
              <w:jc w:val="center"/>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技术</w:t>
            </w:r>
          </w:p>
          <w:p>
            <w:pPr>
              <w:spacing w:line="240" w:lineRule="atLeast"/>
              <w:ind w:firstLine="28"/>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部分</w:t>
            </w:r>
          </w:p>
          <w:p>
            <w:pPr>
              <w:widowControl/>
              <w:jc w:val="center"/>
              <w:outlineLvl w:val="9"/>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w:t>
            </w:r>
          </w:p>
        </w:tc>
        <w:tc>
          <w:tcPr>
            <w:tcW w:w="561" w:type="pct"/>
            <w:noWrap w:val="0"/>
            <w:vAlign w:val="center"/>
          </w:tcPr>
          <w:p>
            <w:pPr>
              <w:widowControl/>
              <w:jc w:val="center"/>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内容完整性和编制水平：</w:t>
            </w:r>
          </w:p>
          <w:p>
            <w:pPr>
              <w:widowControl/>
              <w:ind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施工方案能从整体上体现供应商对本项目施工内容的理解。理解深刻、内容全面、编制水平高的得7　分 ；理解一般、内容一般全面、编制水平一般的得4分；理解较差、内容较差、编制水平较差的得1分。</w:t>
            </w:r>
          </w:p>
        </w:tc>
        <w:tc>
          <w:tcPr>
            <w:tcW w:w="958" w:type="pct"/>
            <w:vMerge w:val="restart"/>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磋商小组对各供应商提供的施工方案进行独立评分。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0" w:type="pct"/>
            <w:vMerge w:val="continue"/>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p>
        </w:tc>
        <w:tc>
          <w:tcPr>
            <w:tcW w:w="577" w:type="pct"/>
            <w:vMerge w:val="continue"/>
            <w:noWrap w:val="0"/>
            <w:vAlign w:val="center"/>
          </w:tcPr>
          <w:p>
            <w:pPr>
              <w:widowControl/>
              <w:jc w:val="center"/>
              <w:outlineLvl w:val="9"/>
              <w:rPr>
                <w:rFonts w:hint="eastAsia" w:ascii="宋体" w:hAnsi="宋体" w:eastAsia="宋体" w:cs="宋体"/>
                <w:b w:val="0"/>
                <w:bCs w:val="0"/>
                <w:color w:val="auto"/>
                <w:sz w:val="21"/>
                <w:szCs w:val="21"/>
                <w:highlight w:val="none"/>
              </w:rPr>
            </w:pPr>
          </w:p>
        </w:tc>
        <w:tc>
          <w:tcPr>
            <w:tcW w:w="561" w:type="pct"/>
            <w:noWrap w:val="0"/>
            <w:vAlign w:val="center"/>
          </w:tcPr>
          <w:p>
            <w:pPr>
              <w:widowControl/>
              <w:jc w:val="center"/>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施工方案与技术措施：</w:t>
            </w:r>
          </w:p>
          <w:p>
            <w:pPr>
              <w:widowControl/>
              <w:ind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 xml:space="preserve">施工方案完善、技术措施到位的得8分；施工方案一般、技术措施一般的得5分；施工方案不完善、技术措施较差的得2分。未提供不得分。  </w:t>
            </w:r>
          </w:p>
        </w:tc>
        <w:tc>
          <w:tcPr>
            <w:tcW w:w="958" w:type="pct"/>
            <w:vMerge w:val="continue"/>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58" w:hRule="atLeast"/>
          <w:jc w:val="center"/>
        </w:trPr>
        <w:tc>
          <w:tcPr>
            <w:tcW w:w="300" w:type="pct"/>
            <w:vMerge w:val="continue"/>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p>
        </w:tc>
        <w:tc>
          <w:tcPr>
            <w:tcW w:w="577" w:type="pct"/>
            <w:vMerge w:val="continue"/>
            <w:noWrap w:val="0"/>
            <w:vAlign w:val="center"/>
          </w:tcPr>
          <w:p>
            <w:pPr>
              <w:widowControl/>
              <w:jc w:val="center"/>
              <w:outlineLvl w:val="9"/>
              <w:rPr>
                <w:rFonts w:hint="eastAsia" w:ascii="宋体" w:hAnsi="宋体" w:eastAsia="宋体" w:cs="宋体"/>
                <w:b w:val="0"/>
                <w:bCs w:val="0"/>
                <w:color w:val="auto"/>
                <w:kern w:val="0"/>
                <w:sz w:val="21"/>
                <w:szCs w:val="21"/>
                <w:highlight w:val="none"/>
              </w:rPr>
            </w:pPr>
          </w:p>
        </w:tc>
        <w:tc>
          <w:tcPr>
            <w:tcW w:w="561" w:type="pct"/>
            <w:noWrap w:val="0"/>
            <w:vAlign w:val="center"/>
          </w:tcPr>
          <w:p>
            <w:pPr>
              <w:widowControl/>
              <w:jc w:val="center"/>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8分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项目进度计划与措施：</w:t>
            </w:r>
          </w:p>
          <w:p>
            <w:pPr>
              <w:widowControl/>
              <w:ind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项目进度计划精细到位、措施完善符合项目要求的得8分； 项目进度计划一般到位、措施完善较为符合项目要求的得5分；项目进度计划不到位、措施完善不符合项目要求的得2分。未提供不得分。</w:t>
            </w:r>
          </w:p>
        </w:tc>
        <w:tc>
          <w:tcPr>
            <w:tcW w:w="958" w:type="pct"/>
            <w:vMerge w:val="continue"/>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3" w:hRule="atLeast"/>
          <w:jc w:val="center"/>
        </w:trPr>
        <w:tc>
          <w:tcPr>
            <w:tcW w:w="300" w:type="pct"/>
            <w:vMerge w:val="continue"/>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p>
        </w:tc>
        <w:tc>
          <w:tcPr>
            <w:tcW w:w="577" w:type="pct"/>
            <w:vMerge w:val="continue"/>
            <w:noWrap w:val="0"/>
            <w:vAlign w:val="center"/>
          </w:tcPr>
          <w:p>
            <w:pPr>
              <w:widowControl/>
              <w:jc w:val="center"/>
              <w:outlineLvl w:val="9"/>
              <w:rPr>
                <w:rFonts w:hint="eastAsia" w:ascii="宋体" w:hAnsi="宋体" w:eastAsia="宋体" w:cs="宋体"/>
                <w:b w:val="0"/>
                <w:bCs w:val="0"/>
                <w:color w:val="auto"/>
                <w:kern w:val="0"/>
                <w:sz w:val="21"/>
                <w:szCs w:val="21"/>
                <w:highlight w:val="none"/>
              </w:rPr>
            </w:pPr>
          </w:p>
        </w:tc>
        <w:tc>
          <w:tcPr>
            <w:tcW w:w="561" w:type="pct"/>
            <w:noWrap w:val="0"/>
            <w:vAlign w:val="center"/>
          </w:tcPr>
          <w:p>
            <w:pPr>
              <w:widowControl/>
              <w:jc w:val="center"/>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7分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资源配备计划与先进性：</w:t>
            </w:r>
          </w:p>
          <w:p>
            <w:pPr>
              <w:widowControl/>
              <w:ind w:firstLine="420" w:firstLineChars="200"/>
              <w:outlineLvl w:val="9"/>
              <w:rPr>
                <w:rFonts w:hint="eastAsia" w:ascii="宋体" w:hAnsi="宋体" w:eastAsia="宋体" w:cs="宋体"/>
                <w:b w:val="0"/>
                <w:bCs w:val="0"/>
                <w:color w:val="auto"/>
                <w:highlight w:val="none"/>
                <w:lang w:val="en-US" w:eastAsia="zh-CN"/>
              </w:rPr>
            </w:pPr>
            <w:r>
              <w:rPr>
                <w:rFonts w:hint="eastAsia" w:ascii="宋体" w:hAnsi="宋体" w:eastAsia="宋体" w:cs="宋体"/>
                <w:b w:val="0"/>
                <w:bCs w:val="0"/>
                <w:color w:val="auto"/>
                <w:kern w:val="0"/>
                <w:sz w:val="21"/>
                <w:szCs w:val="21"/>
                <w:highlight w:val="none"/>
                <w:lang w:val="en-US" w:eastAsia="zh-CN"/>
              </w:rPr>
              <w:t>资源配备计划精细到位、具有先进性的得7分；配备计划一般、先进性一般的得4分；配备计划差、先进性的得1分。未提供不得分。</w:t>
            </w:r>
          </w:p>
        </w:tc>
        <w:tc>
          <w:tcPr>
            <w:tcW w:w="958" w:type="pct"/>
            <w:vMerge w:val="continue"/>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2" w:hRule="atLeast"/>
          <w:jc w:val="center"/>
        </w:trPr>
        <w:tc>
          <w:tcPr>
            <w:tcW w:w="300" w:type="pct"/>
            <w:vMerge w:val="restart"/>
            <w:noWrap w:val="0"/>
            <w:vAlign w:val="center"/>
          </w:tcPr>
          <w:p>
            <w:pPr>
              <w:spacing w:line="240" w:lineRule="atLeast"/>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p>
        </w:tc>
        <w:tc>
          <w:tcPr>
            <w:tcW w:w="577" w:type="pct"/>
            <w:vMerge w:val="restart"/>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p>
          <w:p>
            <w:pPr>
              <w:spacing w:line="240" w:lineRule="atLeast"/>
              <w:ind w:left="0" w:leftChars="0" w:firstLine="0" w:firstLineChars="0"/>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商务</w:t>
            </w:r>
          </w:p>
          <w:p>
            <w:pPr>
              <w:spacing w:line="240" w:lineRule="atLeast"/>
              <w:ind w:left="0" w:leftChars="0" w:firstLine="0" w:firstLineChars="0"/>
              <w:jc w:val="center"/>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部分</w:t>
            </w:r>
          </w:p>
          <w:p>
            <w:pPr>
              <w:spacing w:line="240" w:lineRule="atLeast"/>
              <w:ind w:left="0" w:leftChars="0" w:firstLine="0" w:firstLineChars="0"/>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30</w:t>
            </w:r>
            <w:r>
              <w:rPr>
                <w:rFonts w:hint="eastAsia" w:ascii="宋体" w:hAnsi="宋体" w:eastAsia="宋体" w:cs="宋体"/>
                <w:b w:val="0"/>
                <w:bCs w:val="0"/>
                <w:color w:val="auto"/>
                <w:sz w:val="21"/>
                <w:szCs w:val="21"/>
                <w:highlight w:val="none"/>
              </w:rPr>
              <w:t>%）</w:t>
            </w:r>
          </w:p>
        </w:tc>
        <w:tc>
          <w:tcPr>
            <w:tcW w:w="561" w:type="pct"/>
            <w:noWrap w:val="0"/>
            <w:vAlign w:val="center"/>
          </w:tcPr>
          <w:p>
            <w:pPr>
              <w:spacing w:line="240" w:lineRule="atLeast"/>
              <w:ind w:firstLine="28" w:firstLineChars="0"/>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2021年1月1日至今（以施工合同签订时间为准），具有业绩加分如下：</w:t>
            </w:r>
          </w:p>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1.具有与本磋商项目同等电压等级及以上类似工程得基础分2分；</w:t>
            </w:r>
          </w:p>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2.在1的基础上，每增加一个与本磋商项目同等电压等级及以上类似工程或输变电工程施工业绩（合同金额不限），加2分。</w:t>
            </w:r>
          </w:p>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本项最多得6分。</w:t>
            </w:r>
          </w:p>
        </w:tc>
        <w:tc>
          <w:tcPr>
            <w:tcW w:w="958" w:type="pct"/>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0"/>
                <w:sz w:val="21"/>
                <w:szCs w:val="21"/>
                <w:highlight w:val="none"/>
                <w:lang w:val="en-US" w:eastAsia="zh-CN"/>
              </w:rPr>
              <w:t>提供施工合同复印件加盖供应商公章，原件备查。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12" w:hRule="atLeast"/>
          <w:jc w:val="center"/>
        </w:trPr>
        <w:tc>
          <w:tcPr>
            <w:tcW w:w="300" w:type="pct"/>
            <w:vMerge w:val="continue"/>
            <w:noWrap w:val="0"/>
            <w:vAlign w:val="center"/>
          </w:tcPr>
          <w:p>
            <w:pPr>
              <w:spacing w:line="240" w:lineRule="atLeast"/>
              <w:jc w:val="center"/>
              <w:outlineLvl w:val="9"/>
              <w:rPr>
                <w:rFonts w:hint="eastAsia" w:ascii="宋体" w:hAnsi="宋体" w:eastAsia="宋体" w:cs="宋体"/>
                <w:b w:val="0"/>
                <w:bCs w:val="0"/>
                <w:color w:val="auto"/>
                <w:sz w:val="21"/>
                <w:szCs w:val="21"/>
                <w:highlight w:val="none"/>
                <w:lang w:val="en-US" w:eastAsia="zh-CN"/>
              </w:rPr>
            </w:pPr>
          </w:p>
        </w:tc>
        <w:tc>
          <w:tcPr>
            <w:tcW w:w="577" w:type="pct"/>
            <w:vMerge w:val="continue"/>
            <w:noWrap w:val="0"/>
            <w:vAlign w:val="center"/>
          </w:tcPr>
          <w:p>
            <w:pPr>
              <w:spacing w:line="240" w:lineRule="atLeast"/>
              <w:ind w:left="0" w:leftChars="0" w:firstLine="0" w:firstLineChars="0"/>
              <w:jc w:val="both"/>
              <w:outlineLvl w:val="9"/>
              <w:rPr>
                <w:rFonts w:hint="eastAsia" w:ascii="宋体" w:hAnsi="宋体" w:eastAsia="宋体" w:cs="宋体"/>
                <w:b w:val="0"/>
                <w:bCs w:val="0"/>
                <w:color w:val="auto"/>
                <w:sz w:val="21"/>
                <w:szCs w:val="21"/>
                <w:highlight w:val="none"/>
              </w:rPr>
            </w:pPr>
          </w:p>
        </w:tc>
        <w:tc>
          <w:tcPr>
            <w:tcW w:w="561" w:type="pct"/>
            <w:noWrap w:val="0"/>
            <w:vAlign w:val="center"/>
          </w:tcPr>
          <w:p>
            <w:pPr>
              <w:spacing w:line="240" w:lineRule="atLeast"/>
              <w:ind w:firstLine="28" w:firstLineChars="0"/>
              <w:jc w:val="center"/>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8分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电缆制作人员须具备国家电网重庆市电力公司一级认证单位认证的配电电缆附件制作资格或省级及以上安全生产监督管理部门颁发的合格证书（证书需包含10千伏及以上配电电缆附件制作资格）</w:t>
            </w:r>
            <w:r>
              <w:rPr>
                <w:rFonts w:hint="eastAsia" w:ascii="宋体" w:hAnsi="宋体" w:eastAsia="宋体" w:cs="宋体"/>
                <w:b w:val="0"/>
                <w:bCs w:val="0"/>
                <w:color w:val="auto"/>
                <w:kern w:val="0"/>
                <w:sz w:val="21"/>
                <w:szCs w:val="21"/>
                <w:highlight w:val="none"/>
                <w:lang w:val="en-US" w:eastAsia="zh-CN"/>
              </w:rPr>
              <w:t>得4分。高压电工持中级/四级及以上职业技能资格证书，每提供一名得2分，最多得4分。</w:t>
            </w:r>
          </w:p>
        </w:tc>
        <w:tc>
          <w:tcPr>
            <w:tcW w:w="958" w:type="pct"/>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5" w:hRule="atLeast"/>
          <w:jc w:val="center"/>
        </w:trPr>
        <w:tc>
          <w:tcPr>
            <w:tcW w:w="300" w:type="pct"/>
            <w:vMerge w:val="continue"/>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p>
        </w:tc>
        <w:tc>
          <w:tcPr>
            <w:tcW w:w="577" w:type="pct"/>
            <w:vMerge w:val="continue"/>
            <w:noWrap w:val="0"/>
            <w:vAlign w:val="center"/>
          </w:tcPr>
          <w:p>
            <w:pPr>
              <w:spacing w:line="240" w:lineRule="atLeast"/>
              <w:ind w:firstLine="28" w:firstLineChars="0"/>
              <w:jc w:val="center"/>
              <w:outlineLvl w:val="9"/>
              <w:rPr>
                <w:rFonts w:hint="eastAsia" w:ascii="宋体" w:hAnsi="宋体" w:eastAsia="宋体" w:cs="宋体"/>
                <w:b w:val="0"/>
                <w:bCs w:val="0"/>
                <w:color w:val="auto"/>
                <w:sz w:val="21"/>
                <w:szCs w:val="21"/>
                <w:highlight w:val="none"/>
              </w:rPr>
            </w:pPr>
          </w:p>
        </w:tc>
        <w:tc>
          <w:tcPr>
            <w:tcW w:w="561" w:type="pct"/>
            <w:noWrap w:val="0"/>
            <w:vAlign w:val="center"/>
          </w:tcPr>
          <w:p>
            <w:pPr>
              <w:spacing w:line="240" w:lineRule="atLeast"/>
              <w:ind w:firstLine="28" w:firstLineChars="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供应商具有ISO质量、环境、职业健康三大体系认证证书的得6分。</w:t>
            </w:r>
          </w:p>
        </w:tc>
        <w:tc>
          <w:tcPr>
            <w:tcW w:w="958" w:type="pct"/>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提供证明材料复印件并加盖供应商公章，原件备查。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8" w:hRule="atLeast"/>
          <w:jc w:val="center"/>
        </w:trPr>
        <w:tc>
          <w:tcPr>
            <w:tcW w:w="300" w:type="pct"/>
            <w:vMerge w:val="continue"/>
            <w:noWrap w:val="0"/>
            <w:vAlign w:val="center"/>
          </w:tcPr>
          <w:p>
            <w:pPr>
              <w:spacing w:line="240" w:lineRule="atLeast"/>
              <w:jc w:val="center"/>
              <w:outlineLvl w:val="9"/>
              <w:rPr>
                <w:rFonts w:hint="eastAsia" w:ascii="宋体" w:hAnsi="宋体" w:eastAsia="宋体" w:cs="宋体"/>
                <w:b w:val="0"/>
                <w:bCs w:val="0"/>
                <w:color w:val="auto"/>
                <w:sz w:val="21"/>
                <w:szCs w:val="21"/>
                <w:highlight w:val="none"/>
              </w:rPr>
            </w:pPr>
          </w:p>
        </w:tc>
        <w:tc>
          <w:tcPr>
            <w:tcW w:w="577" w:type="pct"/>
            <w:vMerge w:val="continue"/>
            <w:noWrap w:val="0"/>
            <w:vAlign w:val="center"/>
          </w:tcPr>
          <w:p>
            <w:pPr>
              <w:spacing w:line="240" w:lineRule="atLeast"/>
              <w:ind w:firstLine="28" w:firstLineChars="0"/>
              <w:jc w:val="center"/>
              <w:outlineLvl w:val="9"/>
              <w:rPr>
                <w:rFonts w:hint="eastAsia" w:ascii="宋体" w:hAnsi="宋体" w:eastAsia="宋体" w:cs="宋体"/>
                <w:b w:val="0"/>
                <w:bCs w:val="0"/>
                <w:color w:val="auto"/>
                <w:sz w:val="21"/>
                <w:szCs w:val="21"/>
                <w:highlight w:val="none"/>
              </w:rPr>
            </w:pPr>
          </w:p>
        </w:tc>
        <w:tc>
          <w:tcPr>
            <w:tcW w:w="561" w:type="pct"/>
            <w:noWrap w:val="0"/>
            <w:vAlign w:val="center"/>
          </w:tcPr>
          <w:p>
            <w:pPr>
              <w:spacing w:line="240" w:lineRule="atLeast"/>
              <w:ind w:firstLine="28" w:firstLineChars="0"/>
              <w:jc w:val="center"/>
              <w:outlineLvl w:val="9"/>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2602" w:type="pct"/>
            <w:noWrap w:val="0"/>
            <w:vAlign w:val="center"/>
          </w:tcPr>
          <w:p>
            <w:pPr>
              <w:widowControl/>
              <w:ind w:firstLine="420" w:firstLineChars="200"/>
              <w:outlineLvl w:val="9"/>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供应商在项目所在地的行政管辖区域内设有办公场所驻地，能确保抢修人员在30分钟内到达项目现场的得10分（提供办公场所的国土房产证或场地租赁合同复印件并加盖供应商公章，抢修响应时间由供应商自行提供承诺，格式自拟）。</w:t>
            </w:r>
          </w:p>
        </w:tc>
        <w:tc>
          <w:tcPr>
            <w:tcW w:w="958" w:type="pct"/>
            <w:noWrap w:val="0"/>
            <w:vAlign w:val="center"/>
          </w:tcPr>
          <w:p>
            <w:pPr>
              <w:spacing w:line="240" w:lineRule="atLeas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提供证明材料复印件并加盖供应商公章，原件备查。</w:t>
            </w:r>
          </w:p>
        </w:tc>
      </w:tr>
    </w:tbl>
    <w:p>
      <w:pPr>
        <w:outlineLvl w:val="9"/>
        <w:rPr>
          <w:rFonts w:hint="eastAsia" w:ascii="宋体" w:hAnsi="宋体" w:eastAsia="宋体" w:cs="宋体"/>
          <w:b w:val="0"/>
          <w:bCs w:val="0"/>
          <w:color w:val="auto"/>
          <w:sz w:val="24"/>
          <w:szCs w:val="24"/>
          <w:highlight w:val="none"/>
        </w:rPr>
      </w:pPr>
    </w:p>
    <w:p>
      <w:pPr>
        <w:keepNext/>
        <w:keepLines/>
        <w:widowControl w:val="0"/>
        <w:spacing w:before="0" w:beforeLines="0" w:beforeAutospacing="0" w:after="0" w:afterLines="0" w:afterAutospacing="0" w:line="360" w:lineRule="auto"/>
        <w:jc w:val="both"/>
        <w:outlineLvl w:val="1"/>
        <w:rPr>
          <w:rFonts w:hint="eastAsia" w:ascii="宋体" w:hAnsi="宋体" w:eastAsia="宋体" w:cs="宋体"/>
          <w:b w:val="0"/>
          <w:bCs w:val="0"/>
          <w:color w:val="auto"/>
          <w:kern w:val="2"/>
          <w:sz w:val="24"/>
          <w:szCs w:val="24"/>
          <w:highlight w:val="none"/>
          <w:lang w:val="en-US" w:eastAsia="zh-CN" w:bidi="ar-SA"/>
        </w:rPr>
      </w:pPr>
      <w:bookmarkStart w:id="59" w:name="_Toc10832"/>
      <w:r>
        <w:rPr>
          <w:rFonts w:hint="eastAsia" w:ascii="宋体" w:hAnsi="宋体" w:eastAsia="宋体" w:cs="宋体"/>
          <w:b w:val="0"/>
          <w:bCs w:val="0"/>
          <w:color w:val="auto"/>
          <w:kern w:val="2"/>
          <w:sz w:val="24"/>
          <w:szCs w:val="24"/>
          <w:highlight w:val="none"/>
          <w:lang w:val="en-US" w:eastAsia="zh-CN" w:bidi="ar-SA"/>
        </w:rPr>
        <w:t>三、无效响应</w:t>
      </w:r>
      <w:bookmarkEnd w:id="59"/>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供应商发生以下条款情况之一者，视为无效响应，其响应文件将被拒绝：</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（一）供应商不符合规定的基本资格条件或特定资格条件的；</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（二）供应商的法定代表人（或分支机构负责人）或其授权代表未参加磋商；</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）供应商所提交的响应文件不按第六篇“响应文件编制要求”规定签字、盖章；</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）供应商的</w:t>
      </w:r>
      <w:r>
        <w:rPr>
          <w:rFonts w:hint="eastAsia" w:ascii="宋体" w:hAnsi="宋体" w:eastAsia="宋体" w:cs="宋体"/>
          <w:b w:val="0"/>
          <w:bCs w:val="0"/>
          <w:color w:val="auto"/>
          <w:sz w:val="24"/>
          <w:szCs w:val="24"/>
          <w:highlight w:val="none"/>
          <w:lang w:eastAsia="zh-CN"/>
        </w:rPr>
        <w:t>总</w:t>
      </w:r>
      <w:r>
        <w:rPr>
          <w:rFonts w:hint="eastAsia" w:ascii="宋体" w:hAnsi="宋体" w:eastAsia="宋体" w:cs="宋体"/>
          <w:b w:val="0"/>
          <w:bCs w:val="0"/>
          <w:color w:val="auto"/>
          <w:sz w:val="24"/>
          <w:szCs w:val="24"/>
          <w:highlight w:val="none"/>
        </w:rPr>
        <w:t>报价</w:t>
      </w:r>
      <w:r>
        <w:rPr>
          <w:rFonts w:hint="eastAsia" w:ascii="宋体" w:hAnsi="宋体" w:eastAsia="宋体" w:cs="宋体"/>
          <w:b w:val="0"/>
          <w:bCs w:val="0"/>
          <w:color w:val="auto"/>
          <w:sz w:val="24"/>
          <w:szCs w:val="24"/>
          <w:highlight w:val="none"/>
          <w:lang w:eastAsia="zh-CN"/>
        </w:rPr>
        <w:t>超过最高限价的</w:t>
      </w:r>
      <w:r>
        <w:rPr>
          <w:rFonts w:hint="eastAsia" w:ascii="宋体" w:hAnsi="宋体" w:eastAsia="宋体" w:cs="宋体"/>
          <w:b w:val="0"/>
          <w:bCs w:val="0"/>
          <w:color w:val="auto"/>
          <w:sz w:val="24"/>
          <w:szCs w:val="24"/>
          <w:highlight w:val="none"/>
        </w:rPr>
        <w:t>；</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rPr>
        <w:t>）法定代表人为同一个人的两个及两个以上法人，母公司、全资子公司及其控股公司，在同一分包采购中同时参与磋商；</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）单位负责人为同一人或者存在直接控股、管理关系的不同供应商，参加同一合同项下的采购活动的；</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）为采购项目提供整体设计、规范编制或者项目管理、监理、检测等服务的供应商，再参加该采购项目的其他采购活动；</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八</w:t>
      </w:r>
      <w:r>
        <w:rPr>
          <w:rFonts w:hint="eastAsia" w:ascii="宋体" w:hAnsi="宋体" w:eastAsia="宋体" w:cs="宋体"/>
          <w:b w:val="0"/>
          <w:bCs w:val="0"/>
          <w:color w:val="auto"/>
          <w:sz w:val="24"/>
          <w:szCs w:val="24"/>
          <w:highlight w:val="none"/>
        </w:rPr>
        <w:t>）供应商的服务期、质量保证期及磋商有效期不满足竞争性磋商文件要求的；</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九</w:t>
      </w:r>
      <w:r>
        <w:rPr>
          <w:rFonts w:hint="eastAsia" w:ascii="宋体" w:hAnsi="宋体" w:eastAsia="宋体" w:cs="宋体"/>
          <w:b w:val="0"/>
          <w:bCs w:val="0"/>
          <w:color w:val="auto"/>
          <w:sz w:val="24"/>
          <w:szCs w:val="24"/>
          <w:highlight w:val="none"/>
        </w:rPr>
        <w:t>）供应商响应文件内容有与国家现行法律法规相违背的内容，或附有采购人无法接受的条件。</w:t>
      </w:r>
    </w:p>
    <w:p>
      <w:pPr>
        <w:snapToGrid w:val="0"/>
        <w:spacing w:line="360" w:lineRule="auto"/>
        <w:ind w:firstLine="465"/>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（十）供应商被列入失信被执行人、重大税收违法案件当事人名单、政府采购严重违法失信行为记录名单的。</w:t>
      </w:r>
    </w:p>
    <w:p>
      <w:pPr>
        <w:keepNext/>
        <w:keepLines/>
        <w:widowControl w:val="0"/>
        <w:spacing w:before="0" w:beforeLines="0" w:beforeAutospacing="0" w:after="0" w:afterLines="0" w:afterAutospacing="0" w:line="360" w:lineRule="auto"/>
        <w:jc w:val="both"/>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四、</w:t>
      </w:r>
      <w:bookmarkEnd w:id="57"/>
      <w:bookmarkEnd w:id="58"/>
      <w:r>
        <w:rPr>
          <w:rFonts w:hint="eastAsia" w:ascii="宋体" w:hAnsi="宋体" w:eastAsia="宋体" w:cs="宋体"/>
          <w:b w:val="0"/>
          <w:bCs w:val="0"/>
          <w:color w:val="auto"/>
          <w:kern w:val="2"/>
          <w:sz w:val="24"/>
          <w:szCs w:val="24"/>
          <w:highlight w:val="none"/>
          <w:lang w:val="en-US" w:eastAsia="zh-CN" w:bidi="ar-SA"/>
        </w:rPr>
        <w:t>采购终止</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出现下列情形之一的，采购人或者采购</w:t>
      </w:r>
      <w:r>
        <w:rPr>
          <w:rFonts w:hint="eastAsia" w:ascii="宋体" w:hAnsi="宋体" w:eastAsia="宋体" w:cs="宋体"/>
          <w:b w:val="0"/>
          <w:bCs w:val="0"/>
          <w:color w:val="auto"/>
          <w:sz w:val="24"/>
          <w:szCs w:val="24"/>
          <w:highlight w:val="none"/>
          <w:lang w:eastAsia="zh-CN"/>
        </w:rPr>
        <w:t>采购代理机构</w:t>
      </w:r>
      <w:r>
        <w:rPr>
          <w:rFonts w:hint="eastAsia" w:ascii="宋体" w:hAnsi="宋体" w:eastAsia="宋体" w:cs="宋体"/>
          <w:b w:val="0"/>
          <w:bCs w:val="0"/>
          <w:color w:val="auto"/>
          <w:sz w:val="24"/>
          <w:szCs w:val="24"/>
          <w:highlight w:val="none"/>
        </w:rPr>
        <w:t>应当终止竞争性磋商采购活动，发布项目终止公告并说明原因，重新开展采购活动：</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（一）因情况变化，不再符合规定的竞争性磋商</w:t>
      </w:r>
      <w:r>
        <w:rPr>
          <w:rFonts w:hint="eastAsia" w:ascii="宋体" w:hAnsi="宋体" w:eastAsia="宋体" w:cs="宋体"/>
          <w:b w:val="0"/>
          <w:bCs w:val="0"/>
          <w:color w:val="auto"/>
          <w:sz w:val="24"/>
          <w:szCs w:val="24"/>
          <w:highlight w:val="none"/>
          <w:lang w:eastAsia="zh-CN"/>
        </w:rPr>
        <w:t>采购人</w:t>
      </w:r>
      <w:r>
        <w:rPr>
          <w:rFonts w:hint="eastAsia" w:ascii="宋体" w:hAnsi="宋体" w:eastAsia="宋体" w:cs="宋体"/>
          <w:b w:val="0"/>
          <w:bCs w:val="0"/>
          <w:color w:val="auto"/>
          <w:sz w:val="24"/>
          <w:szCs w:val="24"/>
          <w:highlight w:val="none"/>
        </w:rPr>
        <w:t>式适用情形的；</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（二）出现影响采购公正的违法、违规行为的；</w:t>
      </w:r>
    </w:p>
    <w:p>
      <w:pPr>
        <w:snapToGrid w:val="0"/>
        <w:spacing w:line="360" w:lineRule="auto"/>
        <w:ind w:firstLine="465"/>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（三）</w:t>
      </w:r>
      <w:r>
        <w:rPr>
          <w:rFonts w:hint="eastAsia" w:ascii="宋体" w:hAnsi="宋体" w:eastAsia="宋体" w:cs="宋体"/>
          <w:color w:val="auto"/>
          <w:sz w:val="24"/>
          <w:szCs w:val="24"/>
          <w:highlight w:val="none"/>
        </w:rPr>
        <w:t>在采购过程中符合要求的供应商或者报价符合要求的供应商不足2家的</w:t>
      </w:r>
      <w:r>
        <w:rPr>
          <w:rFonts w:hint="eastAsia" w:ascii="宋体" w:hAnsi="宋体" w:eastAsia="宋体" w:cs="宋体"/>
          <w:b w:val="0"/>
          <w:bCs w:val="0"/>
          <w:color w:val="auto"/>
          <w:sz w:val="24"/>
          <w:szCs w:val="24"/>
          <w:highlight w:val="none"/>
          <w:lang w:eastAsia="zh-CN"/>
        </w:rPr>
        <w:t>。</w:t>
      </w:r>
    </w:p>
    <w:p>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pPr>
        <w:pStyle w:val="2"/>
        <w:rPr>
          <w:rFonts w:hint="eastAsia" w:ascii="宋体" w:hAnsi="宋体" w:eastAsia="宋体" w:cs="宋体"/>
          <w:color w:val="auto"/>
          <w:highlight w:val="none"/>
        </w:rPr>
        <w:sectPr>
          <w:footerReference r:id="rId8" w:type="default"/>
          <w:pgSz w:w="11905" w:h="16838"/>
          <w:pgMar w:top="850" w:right="907" w:bottom="1134" w:left="1304" w:header="0" w:footer="0" w:gutter="0"/>
          <w:pgNumType w:fmt="decimal"/>
          <w:cols w:space="0" w:num="1"/>
          <w:rtlGutter w:val="0"/>
          <w:docGrid w:linePitch="312" w:charSpace="0"/>
        </w:sectPr>
      </w:pPr>
    </w:p>
    <w:p>
      <w:pPr>
        <w:spacing w:line="360" w:lineRule="auto"/>
        <w:jc w:val="center"/>
        <w:outlineLvl w:val="0"/>
        <w:rPr>
          <w:rFonts w:hint="eastAsia" w:ascii="宋体" w:hAnsi="宋体" w:eastAsia="宋体" w:cs="宋体"/>
          <w:b/>
          <w:bCs/>
          <w:color w:val="auto"/>
          <w:sz w:val="36"/>
          <w:szCs w:val="36"/>
          <w:highlight w:val="none"/>
        </w:rPr>
      </w:pPr>
      <w:bookmarkStart w:id="60" w:name="_Toc15175"/>
      <w:bookmarkStart w:id="61" w:name="_Toc12934"/>
      <w:bookmarkStart w:id="62" w:name="_Toc102227313"/>
      <w:r>
        <w:rPr>
          <w:rFonts w:hint="eastAsia" w:ascii="宋体" w:hAnsi="宋体" w:eastAsia="宋体" w:cs="宋体"/>
          <w:b/>
          <w:bCs/>
          <w:color w:val="auto"/>
          <w:sz w:val="36"/>
          <w:szCs w:val="36"/>
          <w:highlight w:val="none"/>
        </w:rPr>
        <w:t>第五篇  供应商须知</w:t>
      </w:r>
      <w:bookmarkEnd w:id="60"/>
      <w:bookmarkEnd w:id="61"/>
      <w:bookmarkEnd w:id="62"/>
    </w:p>
    <w:p>
      <w:pPr>
        <w:spacing w:before="0" w:after="0" w:line="360" w:lineRule="auto"/>
        <w:outlineLvl w:val="1"/>
        <w:rPr>
          <w:rFonts w:hint="eastAsia" w:ascii="宋体" w:hAnsi="宋体" w:eastAsia="宋体" w:cs="宋体"/>
          <w:color w:val="auto"/>
          <w:sz w:val="24"/>
          <w:szCs w:val="24"/>
          <w:highlight w:val="none"/>
        </w:rPr>
      </w:pPr>
      <w:bookmarkStart w:id="63" w:name="_Toc342913389"/>
      <w:bookmarkStart w:id="64" w:name="_Toc31813"/>
      <w:bookmarkStart w:id="65" w:name="_Toc11944"/>
      <w:bookmarkStart w:id="66" w:name="_Toc437"/>
      <w:r>
        <w:rPr>
          <w:rFonts w:hint="eastAsia" w:ascii="宋体" w:hAnsi="宋体" w:eastAsia="宋体" w:cs="宋体"/>
          <w:color w:val="auto"/>
          <w:sz w:val="24"/>
          <w:szCs w:val="24"/>
          <w:highlight w:val="none"/>
        </w:rPr>
        <w:t>一、磋商费用</w:t>
      </w:r>
      <w:bookmarkEnd w:id="63"/>
      <w:bookmarkEnd w:id="64"/>
      <w:bookmarkEnd w:id="65"/>
      <w:bookmarkEnd w:id="66"/>
    </w:p>
    <w:p>
      <w:pPr>
        <w:pStyle w:val="154"/>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参与磋商的供应商应承担其编制响应文件与递交响应文件所涉及的一切费用，不论磋商结果如何，采购人和采购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在任何情况下无义务也无责任承担这些费用。</w:t>
      </w:r>
    </w:p>
    <w:p>
      <w:pPr>
        <w:tabs>
          <w:tab w:val="left" w:pos="2640"/>
        </w:tabs>
        <w:spacing w:before="0" w:after="0" w:line="360" w:lineRule="auto"/>
        <w:outlineLvl w:val="1"/>
        <w:rPr>
          <w:rFonts w:hint="eastAsia" w:ascii="宋体" w:hAnsi="宋体" w:eastAsia="宋体" w:cs="宋体"/>
          <w:color w:val="auto"/>
          <w:sz w:val="24"/>
          <w:szCs w:val="24"/>
          <w:highlight w:val="none"/>
        </w:rPr>
      </w:pPr>
      <w:bookmarkStart w:id="67" w:name="_Toc26261"/>
      <w:bookmarkStart w:id="68" w:name="_Toc32081"/>
      <w:bookmarkStart w:id="69" w:name="_Toc1244"/>
      <w:bookmarkStart w:id="70" w:name="_Toc342913391"/>
      <w:r>
        <w:rPr>
          <w:rFonts w:hint="eastAsia" w:ascii="宋体" w:hAnsi="宋体" w:eastAsia="宋体" w:cs="宋体"/>
          <w:color w:val="auto"/>
          <w:sz w:val="24"/>
          <w:szCs w:val="24"/>
          <w:highlight w:val="none"/>
        </w:rPr>
        <w:t>二、竞争性磋商文件</w:t>
      </w:r>
      <w:bookmarkEnd w:id="67"/>
      <w:bookmarkEnd w:id="68"/>
      <w:bookmarkEnd w:id="69"/>
      <w:bookmarkEnd w:id="70"/>
    </w:p>
    <w:p>
      <w:pPr>
        <w:snapToGrid w:val="0"/>
        <w:spacing w:line="360" w:lineRule="auto"/>
        <w:ind w:firstLine="480" w:firstLineChars="200"/>
        <w:outlineLvl w:val="9"/>
        <w:rPr>
          <w:rFonts w:hint="eastAsia" w:ascii="宋体" w:hAnsi="宋体" w:eastAsia="宋体" w:cs="宋体"/>
          <w:color w:val="auto"/>
          <w:sz w:val="24"/>
          <w:szCs w:val="24"/>
          <w:highlight w:val="none"/>
        </w:rPr>
      </w:pPr>
      <w:bookmarkStart w:id="71" w:name="_Toc318166429"/>
      <w:bookmarkStart w:id="72" w:name="_Toc318159349"/>
      <w:bookmarkStart w:id="73" w:name="_Toc318159780"/>
      <w:bookmarkStart w:id="74" w:name="_Toc318159160"/>
      <w:r>
        <w:rPr>
          <w:rFonts w:hint="eastAsia" w:ascii="宋体" w:hAnsi="宋体" w:eastAsia="宋体" w:cs="宋体"/>
          <w:color w:val="auto"/>
          <w:sz w:val="24"/>
          <w:szCs w:val="24"/>
          <w:highlight w:val="none"/>
        </w:rPr>
        <w:t>（一）竞争性磋商文件由采购邀请书、项目服务需求、供应商须知、项目商务需求、磋商程序及方法、评审标准、无效响应和采购终止、供应商须知</w:t>
      </w:r>
      <w:r>
        <w:rPr>
          <w:rFonts w:hint="eastAsia" w:ascii="宋体" w:hAnsi="宋体" w:eastAsia="宋体" w:cs="宋体"/>
          <w:b/>
          <w:color w:val="auto"/>
          <w:sz w:val="24"/>
          <w:szCs w:val="24"/>
          <w:highlight w:val="none"/>
        </w:rPr>
        <w:t>、</w:t>
      </w:r>
      <w:r>
        <w:rPr>
          <w:rFonts w:hint="eastAsia" w:ascii="宋体" w:hAnsi="宋体" w:cs="宋体"/>
          <w:color w:val="auto"/>
          <w:sz w:val="24"/>
          <w:szCs w:val="24"/>
          <w:highlight w:val="none"/>
          <w:lang w:eastAsia="zh-CN"/>
        </w:rPr>
        <w:t>建筑工程施工合同</w:t>
      </w:r>
      <w:r>
        <w:rPr>
          <w:rFonts w:hint="eastAsia" w:ascii="宋体" w:hAnsi="宋体" w:eastAsia="宋体" w:cs="宋体"/>
          <w:b/>
          <w:color w:val="auto"/>
          <w:sz w:val="24"/>
          <w:szCs w:val="24"/>
          <w:highlight w:val="none"/>
        </w:rPr>
        <w:t>、</w:t>
      </w:r>
      <w:r>
        <w:rPr>
          <w:rFonts w:hint="eastAsia" w:ascii="宋体" w:hAnsi="宋体" w:eastAsia="宋体" w:cs="宋体"/>
          <w:color w:val="auto"/>
          <w:sz w:val="24"/>
          <w:szCs w:val="24"/>
          <w:highlight w:val="none"/>
        </w:rPr>
        <w:t>响应文件编制要求七部分组成。</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（二）采购人（或采购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）所作的一切有效的书面通知、修改及补充，都是竞争性磋商文件不可分割的部分。</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（三）竞争性磋商文件的解释</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供应商如对竞争性磋商文件有疑问，必须以书面形式在提交响应文件截止时间3个工作日前向采购人（或采购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）要求澄清，采购人（或采购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可视具体情况做出处理或答复。如供应商未提出疑问，视为完全理解并同意本竞争性磋商文件。一经进入磋商程序，即视为供应商已详细阅读全部文件资料，完全理解竞争性磋商文件所有条款内容并同意放弃对这方面有不明白及误解的权利。</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（四）本竞争性磋商文件中，磋商小组根据与供应商进行磋商可能实质性变动的内容为竞争性磋商文件第二、三、四篇全部内容。</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（五）评审的依据为竞争性磋商文件和响应文件（含有效的书面承诺）。磋商小组判断响应文件对竞争性磋商文件的响应，仅基于响应文件本身而不靠外部证据。</w:t>
      </w:r>
    </w:p>
    <w:bookmarkEnd w:id="71"/>
    <w:bookmarkEnd w:id="72"/>
    <w:bookmarkEnd w:id="73"/>
    <w:bookmarkEnd w:id="74"/>
    <w:p>
      <w:pPr>
        <w:spacing w:before="0" w:after="0" w:line="360" w:lineRule="auto"/>
        <w:outlineLvl w:val="1"/>
        <w:rPr>
          <w:rFonts w:hint="eastAsia" w:ascii="宋体" w:hAnsi="宋体" w:eastAsia="宋体" w:cs="宋体"/>
          <w:color w:val="auto"/>
          <w:sz w:val="24"/>
          <w:szCs w:val="24"/>
          <w:highlight w:val="none"/>
        </w:rPr>
      </w:pPr>
      <w:bookmarkStart w:id="75" w:name="_Toc7886"/>
      <w:bookmarkStart w:id="76" w:name="_Toc342913392"/>
      <w:bookmarkStart w:id="77" w:name="_Toc102227318"/>
      <w:bookmarkStart w:id="78" w:name="_Toc15759"/>
      <w:bookmarkStart w:id="79" w:name="_Toc3845"/>
      <w:bookmarkStart w:id="80" w:name="_Toc179714297"/>
      <w:r>
        <w:rPr>
          <w:rFonts w:hint="eastAsia" w:ascii="宋体" w:hAnsi="宋体" w:eastAsia="宋体" w:cs="宋体"/>
          <w:color w:val="auto"/>
          <w:sz w:val="24"/>
          <w:szCs w:val="24"/>
          <w:highlight w:val="none"/>
        </w:rPr>
        <w:t>三、磋商要求</w:t>
      </w:r>
      <w:bookmarkEnd w:id="75"/>
      <w:bookmarkEnd w:id="76"/>
      <w:bookmarkEnd w:id="77"/>
      <w:bookmarkEnd w:id="78"/>
      <w:bookmarkEnd w:id="79"/>
      <w:bookmarkEnd w:id="80"/>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（一）响应文件</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1、供应商应当按照竞争性磋商文件的要求编制响应文件，并对竞争性磋商文件提出的要求和条件作出实质性响应，响应文件原则上采用软面订本，同时应编制完整的页码、目录。</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2、响应文件组成</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由第六篇“响应文件编制要求”规定的部分和供应商所作的一切有效补充、修改和承诺等文件组成，供应商应按照第六篇“响应文件编制要求”规定的目录顺序组织编写和装订，也可在基本格式基础上对表格进行扩展，未规定格式的由供应商自定格式。</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w:t>
      </w:r>
    </w:p>
    <w:p>
      <w:pPr>
        <w:spacing w:line="360" w:lineRule="auto"/>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本项目不接受联合体参与报价，否则按无效处理。</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（三）磋商有效期：响应文件及有关承诺文件有效期为提交响应文件截止时间起90天。</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）修正错误</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1.若供应商所递交的响应文件或报价中的价格出现大写金额和小写金额不一致的错误，以大写金额修正为准。</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2.磋商小组按上述修正错误的原则及方法修正供应商的报价，供应商同意并签字确认后，修正后的报价对供应商具有约束作用。如果供应商不接受修正后的价格，将失去成为成交供应商的资格。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rPr>
        <w:t>）提交响应文件的份数和签署</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1、响应文件一式叁份，其中正本一份，副本二份；副本可为正本的复印件，应与正本一致，如出现不一致情况以正本为准。</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2、在响应文件正本中，竞争性磋商文件第六篇响应文件编制要求中规定签字、盖章的地方必须按其规定签字、盖章。</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）响应文件的递交</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响应文件的密封</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1.1响应文件的正本、副本均应密封送达递交响应文件地点，应在封套上注明项目名称、供应商名称。若正本、副本分别进行密封的，还应在封套上注明“正本”、“副本”字样。</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1.2封套的封口处应加盖供应商公章或由授权代表签字。</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2.如果未按上述规定进行密封，</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对响应文件误投、丢失或提前拆封不负责任。</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七</w:t>
      </w:r>
      <w:r>
        <w:rPr>
          <w:rFonts w:hint="eastAsia" w:ascii="宋体" w:hAnsi="宋体" w:eastAsia="宋体" w:cs="宋体"/>
          <w:b w:val="0"/>
          <w:bCs w:val="0"/>
          <w:color w:val="auto"/>
          <w:sz w:val="24"/>
          <w:szCs w:val="24"/>
          <w:highlight w:val="none"/>
        </w:rPr>
        <w:t>）供应商参与人员</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各个供应商应当派1-2名代表参与磋商，至少1人应为法定代表人（或分支机构负责人）或具有授权委托书的授权代表。</w:t>
      </w:r>
    </w:p>
    <w:p>
      <w:pPr>
        <w:snapToGrid w:val="0"/>
        <w:spacing w:line="360" w:lineRule="auto"/>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磋商小组</w:t>
      </w:r>
      <w:r>
        <w:rPr>
          <w:rFonts w:hint="eastAsia" w:ascii="宋体" w:hAnsi="宋体" w:eastAsia="宋体" w:cs="宋体"/>
          <w:b/>
          <w:bCs/>
          <w:color w:val="auto"/>
          <w:sz w:val="24"/>
          <w:szCs w:val="24"/>
          <w:highlight w:val="none"/>
          <w:lang w:val="en-US" w:eastAsia="zh-CN"/>
        </w:rPr>
        <w:t>组成</w:t>
      </w:r>
    </w:p>
    <w:p>
      <w:pPr>
        <w:snapToGrid w:val="0"/>
        <w:spacing w:line="360" w:lineRule="auto"/>
        <w:ind w:firstLine="480" w:firstLineChars="200"/>
        <w:outlineLvl w:val="9"/>
        <w:rPr>
          <w:rFonts w:hint="default" w:ascii="宋体" w:hAnsi="宋体" w:eastAsia="宋体" w:cs="宋体"/>
          <w:b/>
          <w:bCs/>
          <w:color w:val="auto"/>
          <w:sz w:val="24"/>
          <w:szCs w:val="24"/>
          <w:highlight w:val="none"/>
          <w:lang w:val="en-US" w:eastAsia="zh-CN"/>
        </w:rPr>
      </w:pPr>
      <w:r>
        <w:rPr>
          <w:rFonts w:hint="default" w:ascii="宋体" w:hAnsi="宋体" w:eastAsia="宋体" w:cs="宋体"/>
          <w:b w:val="0"/>
          <w:bCs w:val="0"/>
          <w:color w:val="auto"/>
          <w:sz w:val="24"/>
          <w:szCs w:val="24"/>
          <w:highlight w:val="none"/>
          <w:lang w:val="en-US" w:eastAsia="zh-CN"/>
        </w:rPr>
        <w:t>由采购人按法律法规及相关规定依法组建磋商小组。</w:t>
      </w:r>
    </w:p>
    <w:p>
      <w:pPr>
        <w:spacing w:before="0" w:after="0" w:line="360" w:lineRule="auto"/>
        <w:outlineLvl w:val="1"/>
        <w:rPr>
          <w:rFonts w:hint="eastAsia" w:ascii="宋体" w:hAnsi="宋体" w:eastAsia="宋体" w:cs="宋体"/>
          <w:color w:val="auto"/>
          <w:sz w:val="24"/>
          <w:szCs w:val="24"/>
          <w:highlight w:val="none"/>
        </w:rPr>
      </w:pPr>
      <w:bookmarkStart w:id="81" w:name="_Toc19539"/>
      <w:bookmarkStart w:id="82" w:name="_Toc19185"/>
      <w:bookmarkStart w:id="83" w:name="_Toc21395"/>
      <w:r>
        <w:rPr>
          <w:rFonts w:hint="eastAsia" w:ascii="宋体" w:hAnsi="宋体" w:eastAsia="宋体" w:cs="宋体"/>
          <w:color w:val="auto"/>
          <w:sz w:val="24"/>
          <w:szCs w:val="24"/>
          <w:highlight w:val="none"/>
        </w:rPr>
        <w:t>四、成交供应商的确认和变更</w:t>
      </w:r>
      <w:bookmarkEnd w:id="81"/>
      <w:bookmarkEnd w:id="82"/>
      <w:bookmarkEnd w:id="83"/>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（一）成交供应商的确认</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（二）成交供应商的变更</w:t>
      </w:r>
    </w:p>
    <w:p>
      <w:pPr>
        <w:snapToGrid w:val="0"/>
        <w:spacing w:line="360" w:lineRule="auto"/>
        <w:ind w:firstLine="480" w:firstLineChars="200"/>
        <w:outlineLvl w:val="9"/>
        <w:rPr>
          <w:rFonts w:hint="eastAsia" w:ascii="宋体" w:hAnsi="宋体" w:eastAsia="宋体" w:cs="宋体"/>
          <w:color w:val="auto"/>
          <w:sz w:val="24"/>
          <w:szCs w:val="24"/>
          <w:highlight w:val="none"/>
        </w:rPr>
      </w:pPr>
      <w:bookmarkStart w:id="84" w:name="_Toc17031"/>
      <w:bookmarkStart w:id="85" w:name="_Toc27226"/>
      <w:bookmarkStart w:id="86" w:name="_Toc25769"/>
      <w:bookmarkStart w:id="87" w:name="_Toc342913395"/>
      <w:bookmarkStart w:id="88" w:name="_Toc102227321"/>
      <w:r>
        <w:rPr>
          <w:rFonts w:hint="eastAsia" w:ascii="宋体" w:hAnsi="宋体" w:eastAsia="宋体" w:cs="宋体"/>
          <w:color w:val="auto"/>
          <w:sz w:val="24"/>
          <w:szCs w:val="24"/>
          <w:highlight w:val="none"/>
        </w:rPr>
        <w:t>排名第一的成交候选人放弃成交、因不可抗力不能履行合同、不按照磋商文件要求提交履约保证金，或者被查实存在影响成交结果的违法行为等情形，不符合成交条件的，采购人可以按照磋商小组提出的成交候选人名单排序依次确定其他成交候选人为成交人，也可以重新采购。排名第二或第三的成交候选人按次序被确定为中标人的，其最终报价高于排名第一的成交候选人最终报价的，须以排名第一的成交候选人最终报价为成交价格，其最终报价低于第一候选人最终报价的，以其实际最终报价为成交价格。</w:t>
      </w:r>
    </w:p>
    <w:p>
      <w:pPr>
        <w:spacing w:before="0" w:after="0"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五、成交通知</w:t>
      </w:r>
      <w:bookmarkEnd w:id="84"/>
      <w:bookmarkEnd w:id="85"/>
      <w:bookmarkEnd w:id="86"/>
      <w:bookmarkEnd w:id="87"/>
      <w:bookmarkEnd w:id="88"/>
    </w:p>
    <w:p>
      <w:pPr>
        <w:spacing w:line="360" w:lineRule="auto"/>
        <w:outlineLvl w:val="9"/>
        <w:rPr>
          <w:rFonts w:hint="eastAsia" w:ascii="宋体" w:hAnsi="宋体" w:eastAsia="宋体" w:cs="宋体"/>
          <w:color w:val="auto"/>
          <w:highlight w:val="none"/>
        </w:rPr>
      </w:pPr>
      <w:r>
        <w:rPr>
          <w:rFonts w:hint="eastAsia" w:ascii="宋体" w:hAnsi="宋体" w:eastAsia="宋体" w:cs="宋体"/>
          <w:color w:val="auto"/>
          <w:sz w:val="24"/>
          <w:szCs w:val="24"/>
          <w:highlight w:val="none"/>
        </w:rPr>
        <w:t xml:space="preserve">    （一）成交供应商确定后，</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将在</w:t>
      </w:r>
      <w:r>
        <w:rPr>
          <w:rFonts w:hint="eastAsia" w:ascii="宋体" w:hAnsi="宋体" w:eastAsia="宋体" w:cs="宋体"/>
          <w:color w:val="auto"/>
          <w:sz w:val="24"/>
          <w:szCs w:val="24"/>
          <w:highlight w:val="none"/>
          <w:lang w:eastAsia="zh-CN"/>
        </w:rPr>
        <w:t>重庆市璧山区人民政府网</w:t>
      </w:r>
      <w:r>
        <w:rPr>
          <w:rFonts w:hint="eastAsia" w:ascii="宋体" w:hAnsi="宋体" w:eastAsia="宋体" w:cs="宋体"/>
          <w:color w:val="auto"/>
          <w:sz w:val="24"/>
          <w:szCs w:val="24"/>
          <w:highlight w:val="none"/>
        </w:rPr>
        <w:t>上发布成交结果公告。</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（二）结果公告发出同时，</w:t>
      </w:r>
      <w:r>
        <w:rPr>
          <w:rFonts w:hint="eastAsia" w:ascii="宋体" w:hAnsi="宋体" w:eastAsia="宋体" w:cs="宋体"/>
          <w:color w:val="auto"/>
          <w:sz w:val="24"/>
          <w:szCs w:val="24"/>
          <w:highlight w:val="none"/>
          <w:lang w:val="en-US" w:eastAsia="zh-CN"/>
        </w:rPr>
        <w:t>采购人或</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将以书面形式发出《成交通知书》。《成交通知书》一经发出即发生法律效力。</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（三）《成交通知书》将作为签订合同的依据。</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（四）如有供应商对成交结果提出质疑的，在质疑处理完毕后发出成交通知书。</w:t>
      </w:r>
    </w:p>
    <w:p>
      <w:pPr>
        <w:spacing w:before="0" w:after="0" w:line="360" w:lineRule="auto"/>
        <w:outlineLvl w:val="1"/>
        <w:rPr>
          <w:rFonts w:hint="eastAsia" w:ascii="宋体" w:hAnsi="宋体" w:eastAsia="宋体" w:cs="宋体"/>
          <w:color w:val="auto"/>
          <w:sz w:val="24"/>
          <w:szCs w:val="24"/>
          <w:highlight w:val="none"/>
        </w:rPr>
      </w:pPr>
      <w:bookmarkStart w:id="89" w:name="_Toc27135"/>
      <w:bookmarkStart w:id="90" w:name="_Toc3111"/>
      <w:bookmarkStart w:id="91" w:name="_Toc18139"/>
      <w:r>
        <w:rPr>
          <w:rFonts w:hint="eastAsia" w:ascii="宋体" w:hAnsi="宋体" w:eastAsia="宋体" w:cs="宋体"/>
          <w:color w:val="auto"/>
          <w:sz w:val="24"/>
          <w:szCs w:val="24"/>
          <w:highlight w:val="none"/>
        </w:rPr>
        <w:t>六、关于质疑和投诉</w:t>
      </w:r>
      <w:bookmarkEnd w:id="89"/>
      <w:bookmarkEnd w:id="90"/>
      <w:bookmarkEnd w:id="91"/>
    </w:p>
    <w:p>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（一）质疑</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供应商认为采购文件、采购过程和成交结果使自己的权益收到伤害的，可向采购人或采购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以书面形式提出质疑。</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提出质疑的应当是参与所质疑项目采购活动的供应商。 </w:t>
      </w:r>
    </w:p>
    <w:p>
      <w:pPr>
        <w:spacing w:line="360" w:lineRule="auto"/>
        <w:ind w:right="12"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1.质疑时限、内容</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提出质疑的，应在</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公告期限届满之日起七个工作日内提出。</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 </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对采购过程提出质疑的，应在各采购程序环节结束之日起七个工作日内提出。</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对成交结果提出质疑的，应当在成交结果公告期限届满之日起七个工作日内提出。</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提出质疑应当提交质疑函和必要的证明材料，质疑函应当包括下列内容：</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1.4.1供应商的姓名或者名称、地址、邮编、联系人及联系电话；</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1.4.2质疑项目的名称、项目号以及招标项目编号；</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1.4.3具体、明确的质疑事项和与质疑事项相关的请求；</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1.4.4事实依据；</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1.4.5必要的法律依据；</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1.4.6提出质疑的日期；</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1.4.7营业执照（或事业单位法人证书，或个体工商户营业执照或有效的自然人身份证明、组织机构代码证）复印件；</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1.4.8法定代表人（或分支机构负责人）授权委托书原件、法定代表人（或分支机构负责人）身份证复印件和其授权代表的身份证复印件（供应商为自然人的提供自然人身份证复印件）；</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1.5供应商为自然人的，质疑函应当由本人签字；供应商为法人或者其他组织的，质疑函应当由法定代表人（或分支机构负责人）、主要负责人，或者其授权代表签字或者盖章，并加盖公章。</w:t>
      </w:r>
    </w:p>
    <w:p>
      <w:pPr>
        <w:spacing w:line="360" w:lineRule="auto"/>
        <w:ind w:right="12"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2.质疑答复</w:t>
      </w:r>
    </w:p>
    <w:p>
      <w:pPr>
        <w:spacing w:line="360" w:lineRule="auto"/>
        <w:ind w:right="12"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采购人、采购</w:t>
      </w:r>
      <w:r>
        <w:rPr>
          <w:rFonts w:hint="eastAsia" w:ascii="宋体" w:hAnsi="宋体" w:eastAsia="宋体" w:cs="宋体"/>
          <w:color w:val="auto"/>
          <w:sz w:val="24"/>
          <w:szCs w:val="24"/>
          <w:highlight w:val="none"/>
          <w:lang w:eastAsia="zh-CN"/>
        </w:rPr>
        <w:t>采购代理机构</w:t>
      </w:r>
      <w:r>
        <w:rPr>
          <w:rFonts w:hint="eastAsia" w:ascii="宋体" w:hAnsi="宋体" w:eastAsia="宋体" w:cs="宋体"/>
          <w:color w:val="auto"/>
          <w:sz w:val="24"/>
          <w:szCs w:val="24"/>
          <w:highlight w:val="none"/>
        </w:rPr>
        <w:t>应当在收到供应商的书面质疑后七个工作日内作出答复，并以书面形式通知质疑供应商和其他有关供应商。</w:t>
      </w:r>
    </w:p>
    <w:p>
      <w:pPr>
        <w:spacing w:before="0" w:after="0" w:line="360" w:lineRule="auto"/>
        <w:outlineLvl w:val="1"/>
        <w:rPr>
          <w:rFonts w:hint="default" w:ascii="宋体" w:hAnsi="宋体" w:eastAsia="宋体" w:cs="宋体"/>
          <w:color w:val="auto"/>
          <w:sz w:val="24"/>
          <w:szCs w:val="24"/>
          <w:highlight w:val="none"/>
          <w:lang w:val="en-US" w:eastAsia="zh-CN"/>
        </w:rPr>
      </w:pPr>
      <w:bookmarkStart w:id="92" w:name="_Toc102227322"/>
      <w:bookmarkStart w:id="93" w:name="_Toc9286"/>
      <w:bookmarkStart w:id="94" w:name="_Toc24791"/>
      <w:bookmarkStart w:id="95" w:name="_Toc11960"/>
      <w:bookmarkStart w:id="96" w:name="_Toc342913396"/>
      <w:bookmarkStart w:id="97" w:name="_Toc12789059"/>
      <w:bookmarkStart w:id="98" w:name="_Toc11641055"/>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采购代理服务费</w:t>
      </w:r>
    </w:p>
    <w:p>
      <w:pPr>
        <w:spacing w:before="0" w:after="0" w:line="360" w:lineRule="auto"/>
        <w:ind w:firstLine="480" w:firstLineChars="200"/>
        <w:outlineLvl w:val="1"/>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（一）</w:t>
      </w:r>
      <w:r>
        <w:rPr>
          <w:rFonts w:hint="eastAsia" w:ascii="宋体" w:hAnsi="宋体" w:eastAsia="宋体" w:cs="宋体"/>
          <w:color w:val="auto"/>
          <w:sz w:val="24"/>
          <w:szCs w:val="24"/>
          <w:highlight w:val="none"/>
          <w:lang w:eastAsia="zh-CN"/>
        </w:rPr>
        <w:t>代理费基价</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以招标项目中标金额为计费基数，</w:t>
      </w:r>
      <w:r>
        <w:rPr>
          <w:rFonts w:hint="eastAsia" w:ascii="宋体" w:hAnsi="宋体" w:eastAsia="宋体" w:cs="宋体"/>
          <w:color w:val="auto"/>
          <w:sz w:val="24"/>
          <w:szCs w:val="24"/>
          <w:highlight w:val="none"/>
          <w:lang w:val="en-US" w:eastAsia="zh-CN"/>
        </w:rPr>
        <w:t>根据《招标代理服务收费管理暂行办法》，璧山区招标代理费收费标准：100万元（含100万元)以下部分按《招标代理服务收费管理暂行办法》规定标准收取招标代理费；100万元以上部分按《招标代理服务收费暂行管理办法》规定标准的50%收取招标代理费，按照差额定率累进法计算，5000万元以上部分不再计费。</w:t>
      </w:r>
    </w:p>
    <w:p>
      <w:pPr>
        <w:spacing w:before="0" w:after="0"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招标代理服务费结算金额=代理费基价×（1-</w:t>
      </w:r>
      <w:r>
        <w:rPr>
          <w:rFonts w:hint="eastAsia" w:ascii="宋体" w:hAnsi="宋体" w:cs="宋体"/>
          <w:color w:val="auto"/>
          <w:sz w:val="24"/>
          <w:szCs w:val="24"/>
          <w:highlight w:val="none"/>
          <w:lang w:val="en-US" w:eastAsia="zh-CN"/>
        </w:rPr>
        <w:t>70%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且不高于1.44万元。</w:t>
      </w:r>
    </w:p>
    <w:p>
      <w:pPr>
        <w:spacing w:before="0" w:after="0" w:line="360" w:lineRule="auto"/>
        <w:ind w:firstLine="480" w:firstLineChars="200"/>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三</w:t>
      </w:r>
      <w:r>
        <w:rPr>
          <w:rFonts w:hint="eastAsia" w:ascii="宋体" w:hAnsi="宋体" w:eastAsia="宋体" w:cs="宋体"/>
          <w:color w:val="auto"/>
          <w:sz w:val="24"/>
          <w:szCs w:val="24"/>
          <w:highlight w:val="none"/>
        </w:rPr>
        <w:t>）由成交供应商在领取成交通知书时向采购代理机构</w:t>
      </w:r>
      <w:r>
        <w:rPr>
          <w:rFonts w:hint="eastAsia" w:ascii="宋体" w:hAnsi="宋体" w:cs="宋体"/>
          <w:color w:val="auto"/>
          <w:sz w:val="24"/>
          <w:szCs w:val="24"/>
          <w:highlight w:val="none"/>
          <w:lang w:val="en-US" w:eastAsia="zh-CN"/>
        </w:rPr>
        <w:t>一次性</w:t>
      </w:r>
      <w:r>
        <w:rPr>
          <w:rFonts w:hint="eastAsia" w:ascii="宋体" w:hAnsi="宋体" w:eastAsia="宋体" w:cs="宋体"/>
          <w:color w:val="auto"/>
          <w:sz w:val="24"/>
          <w:szCs w:val="24"/>
          <w:highlight w:val="none"/>
        </w:rPr>
        <w:t>支付采购代理服务费</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供应商将该费用纳入响应报价中，但不单列。</w:t>
      </w:r>
    </w:p>
    <w:p>
      <w:pPr>
        <w:spacing w:before="0" w:after="0" w:line="360" w:lineRule="auto"/>
        <w:outlineLvl w:val="1"/>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八、</w:t>
      </w:r>
      <w:r>
        <w:rPr>
          <w:rFonts w:hint="eastAsia" w:ascii="宋体" w:hAnsi="宋体" w:eastAsia="宋体" w:cs="宋体"/>
          <w:color w:val="auto"/>
          <w:sz w:val="24"/>
          <w:szCs w:val="24"/>
          <w:highlight w:val="none"/>
        </w:rPr>
        <w:t>签订</w:t>
      </w:r>
      <w:bookmarkEnd w:id="92"/>
      <w:r>
        <w:rPr>
          <w:rFonts w:hint="eastAsia" w:ascii="宋体" w:hAnsi="宋体" w:eastAsia="宋体" w:cs="宋体"/>
          <w:color w:val="auto"/>
          <w:sz w:val="24"/>
          <w:szCs w:val="24"/>
          <w:highlight w:val="none"/>
        </w:rPr>
        <w:t>合同</w:t>
      </w:r>
      <w:bookmarkEnd w:id="93"/>
      <w:bookmarkEnd w:id="94"/>
      <w:bookmarkEnd w:id="95"/>
      <w:bookmarkEnd w:id="96"/>
    </w:p>
    <w:p>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（一）采购人应当自成交通知书发出之日起三十日内，按照竞争性磋商文件和成交供应商响应文件的约定，与成交供应商签订书面合同。所签订的合同不得对竞争性磋商文件和供应商的响应文件作实质性修改。</w:t>
      </w:r>
    </w:p>
    <w:p>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（二）竞争性磋商文件、供应商的响应文件及澄清文件等，均为签订</w:t>
      </w:r>
      <w:r>
        <w:rPr>
          <w:rFonts w:hint="eastAsia" w:ascii="宋体" w:hAnsi="宋体" w:cs="宋体"/>
          <w:color w:val="auto"/>
          <w:sz w:val="24"/>
          <w:szCs w:val="24"/>
          <w:highlight w:val="none"/>
          <w:lang w:eastAsia="zh-CN"/>
        </w:rPr>
        <w:t>建筑工程施工合同</w:t>
      </w:r>
      <w:r>
        <w:rPr>
          <w:rFonts w:hint="eastAsia" w:ascii="宋体" w:hAnsi="宋体" w:eastAsia="宋体" w:cs="宋体"/>
          <w:color w:val="auto"/>
          <w:sz w:val="24"/>
          <w:szCs w:val="24"/>
          <w:highlight w:val="none"/>
        </w:rPr>
        <w:t>的依据。</w:t>
      </w:r>
    </w:p>
    <w:p>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（三）合同生效条款由供需双方约定，法律、行政法规规定应当办理批准、登记等手续后生效的合同，依照其规定。</w:t>
      </w:r>
    </w:p>
    <w:p>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（四）合同原则上应按照《</w:t>
      </w:r>
      <w:r>
        <w:rPr>
          <w:rFonts w:hint="eastAsia" w:ascii="宋体" w:hAnsi="宋体" w:cs="宋体"/>
          <w:color w:val="auto"/>
          <w:sz w:val="24"/>
          <w:szCs w:val="24"/>
          <w:highlight w:val="none"/>
          <w:lang w:val="en-US" w:eastAsia="zh-CN"/>
        </w:rPr>
        <w:t>建筑工程施工合同</w:t>
      </w:r>
      <w:r>
        <w:rPr>
          <w:rFonts w:hint="eastAsia" w:ascii="宋体" w:hAnsi="宋体" w:eastAsia="宋体" w:cs="宋体"/>
          <w:color w:val="auto"/>
          <w:sz w:val="24"/>
          <w:szCs w:val="24"/>
          <w:highlight w:val="none"/>
        </w:rPr>
        <w:t>》签订，相关单位要求适用合同通用格式版本的，应按其要求另行签订其他合同。</w:t>
      </w:r>
    </w:p>
    <w:p>
      <w:pPr>
        <w:spacing w:line="360" w:lineRule="auto"/>
        <w:ind w:firstLine="240" w:firstLineChars="1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（五）采购人要求成交供应商提供履约保证金的，应当在竞争性磋商文件中予以约定。成交供应商履约完毕后，采购人应按磋商文件及合同的约定无息退还其履约保证金。</w:t>
      </w:r>
    </w:p>
    <w:p>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97"/>
      <w:bookmarkEnd w:id="98"/>
    </w:p>
    <w:p>
      <w:pPr>
        <w:spacing w:line="360" w:lineRule="auto"/>
        <w:jc w:val="center"/>
        <w:outlineLvl w:val="9"/>
        <w:rPr>
          <w:rFonts w:hint="eastAsia" w:ascii="宋体" w:hAnsi="宋体" w:eastAsia="宋体" w:cs="宋体"/>
          <w:b/>
          <w:bCs/>
          <w:color w:val="auto"/>
          <w:kern w:val="2"/>
          <w:sz w:val="36"/>
          <w:szCs w:val="36"/>
          <w:highlight w:val="none"/>
          <w:lang w:val="en-US" w:eastAsia="zh-CN" w:bidi="ar-SA"/>
        </w:rPr>
      </w:pPr>
      <w:bookmarkStart w:id="99" w:name="_Toc12075"/>
      <w:r>
        <w:rPr>
          <w:rFonts w:hint="eastAsia" w:ascii="宋体" w:hAnsi="宋体" w:eastAsia="宋体" w:cs="宋体"/>
          <w:b/>
          <w:bCs/>
          <w:color w:val="auto"/>
          <w:kern w:val="2"/>
          <w:sz w:val="36"/>
          <w:szCs w:val="36"/>
          <w:highlight w:val="none"/>
          <w:lang w:val="en-US" w:eastAsia="zh-CN" w:bidi="ar-SA"/>
        </w:rPr>
        <w:t xml:space="preserve">第六篇  </w:t>
      </w:r>
      <w:bookmarkEnd w:id="99"/>
      <w:r>
        <w:rPr>
          <w:rFonts w:hint="eastAsia" w:ascii="宋体" w:hAnsi="宋体" w:eastAsia="宋体" w:cs="宋体"/>
          <w:b/>
          <w:bCs/>
          <w:color w:val="auto"/>
          <w:kern w:val="2"/>
          <w:sz w:val="36"/>
          <w:szCs w:val="36"/>
          <w:highlight w:val="none"/>
          <w:lang w:val="en-US" w:eastAsia="zh-CN" w:bidi="ar-SA"/>
        </w:rPr>
        <w:t>合同条款及格式</w:t>
      </w:r>
    </w:p>
    <w:p>
      <w:pPr>
        <w:keepNext w:val="0"/>
        <w:keepLines w:val="0"/>
        <w:widowControl/>
        <w:suppressLineNumbers w:val="0"/>
        <w:jc w:val="center"/>
        <w:rPr>
          <w:rFonts w:hint="eastAsia" w:ascii="宋体" w:hAnsi="宋体" w:eastAsia="宋体" w:cs="宋体"/>
          <w:color w:val="auto"/>
          <w:kern w:val="0"/>
          <w:sz w:val="72"/>
          <w:szCs w:val="72"/>
          <w:highlight w:val="none"/>
          <w:lang w:val="en-US" w:eastAsia="zh-CN" w:bidi="ar"/>
        </w:rPr>
      </w:pPr>
    </w:p>
    <w:p>
      <w:pPr>
        <w:keepNext w:val="0"/>
        <w:keepLines w:val="0"/>
        <w:widowControl/>
        <w:suppressLineNumbers w:val="0"/>
        <w:jc w:val="center"/>
        <w:rPr>
          <w:rFonts w:hint="eastAsia" w:ascii="宋体" w:hAnsi="宋体" w:eastAsia="宋体" w:cs="宋体"/>
          <w:color w:val="auto"/>
          <w:kern w:val="0"/>
          <w:sz w:val="72"/>
          <w:szCs w:val="72"/>
          <w:highlight w:val="none"/>
          <w:lang w:val="en-US" w:eastAsia="zh-CN" w:bidi="ar"/>
        </w:rPr>
      </w:pPr>
    </w:p>
    <w:p>
      <w:pPr>
        <w:keepNext w:val="0"/>
        <w:keepLines w:val="0"/>
        <w:widowControl/>
        <w:suppressLineNumbers w:val="0"/>
        <w:jc w:val="center"/>
        <w:rPr>
          <w:rFonts w:hint="eastAsia" w:ascii="宋体" w:hAnsi="宋体" w:eastAsia="宋体" w:cs="宋体"/>
          <w:color w:val="auto"/>
          <w:kern w:val="0"/>
          <w:sz w:val="72"/>
          <w:szCs w:val="72"/>
          <w:highlight w:val="none"/>
          <w:lang w:val="en-US" w:eastAsia="zh-CN" w:bidi="ar"/>
        </w:rPr>
      </w:pPr>
      <w:r>
        <w:rPr>
          <w:rFonts w:hint="eastAsia" w:ascii="宋体" w:hAnsi="宋体" w:eastAsia="宋体" w:cs="宋体"/>
          <w:color w:val="auto"/>
          <w:kern w:val="0"/>
          <w:sz w:val="72"/>
          <w:szCs w:val="72"/>
          <w:highlight w:val="none"/>
          <w:lang w:val="en-US" w:eastAsia="zh-CN" w:bidi="ar"/>
        </w:rPr>
        <w:t>建设工程施工合同</w:t>
      </w:r>
    </w:p>
    <w:p>
      <w:pPr>
        <w:pStyle w:val="2"/>
        <w:rPr>
          <w:rFonts w:hint="eastAsia" w:ascii="宋体" w:hAnsi="宋体" w:eastAsia="宋体" w:cs="宋体"/>
          <w:color w:val="auto"/>
          <w:kern w:val="0"/>
          <w:sz w:val="72"/>
          <w:szCs w:val="72"/>
          <w:highlight w:val="none"/>
          <w:lang w:val="en-US" w:eastAsia="zh-CN" w:bidi="ar"/>
        </w:rPr>
      </w:pPr>
    </w:p>
    <w:p>
      <w:pPr>
        <w:pStyle w:val="2"/>
        <w:rPr>
          <w:rFonts w:hint="eastAsia" w:ascii="宋体" w:hAnsi="宋体" w:eastAsia="宋体" w:cs="宋体"/>
          <w:color w:val="auto"/>
          <w:kern w:val="0"/>
          <w:sz w:val="72"/>
          <w:szCs w:val="72"/>
          <w:highlight w:val="none"/>
          <w:lang w:val="en-US" w:eastAsia="zh-CN" w:bidi="ar"/>
        </w:rPr>
      </w:pPr>
    </w:p>
    <w:p>
      <w:pPr>
        <w:pStyle w:val="2"/>
        <w:rPr>
          <w:rFonts w:hint="eastAsia" w:ascii="宋体" w:hAnsi="宋体" w:eastAsia="宋体" w:cs="宋体"/>
          <w:color w:val="auto"/>
          <w:kern w:val="0"/>
          <w:sz w:val="72"/>
          <w:szCs w:val="72"/>
          <w:highlight w:val="none"/>
          <w:lang w:val="en-US" w:eastAsia="zh-CN" w:bidi="ar"/>
        </w:rPr>
      </w:pPr>
    </w:p>
    <w:p>
      <w:pPr>
        <w:keepNext w:val="0"/>
        <w:keepLines w:val="0"/>
        <w:widowControl/>
        <w:suppressLineNumbers w:val="0"/>
        <w:ind w:firstLine="1600" w:firstLineChars="500"/>
        <w:jc w:val="left"/>
        <w:rPr>
          <w:rFonts w:hint="eastAsia" w:ascii="宋体" w:hAnsi="宋体" w:eastAsia="宋体" w:cs="宋体"/>
          <w:color w:val="auto"/>
          <w:sz w:val="32"/>
          <w:szCs w:val="32"/>
          <w:highlight w:val="none"/>
          <w:lang w:val="en-US"/>
        </w:rPr>
      </w:pPr>
      <w:r>
        <w:rPr>
          <w:rFonts w:hint="eastAsia" w:ascii="宋体" w:hAnsi="宋体" w:eastAsia="宋体" w:cs="宋体"/>
          <w:color w:val="auto"/>
          <w:kern w:val="0"/>
          <w:sz w:val="32"/>
          <w:szCs w:val="32"/>
          <w:highlight w:val="none"/>
          <w:lang w:val="en-US" w:eastAsia="zh-CN" w:bidi="ar"/>
        </w:rPr>
        <w:t>工程名称：璧山新材料产业园项目一期工程电力建设工程</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kern w:val="0"/>
          <w:sz w:val="32"/>
          <w:szCs w:val="32"/>
          <w:highlight w:val="none"/>
          <w:lang w:val="en-US" w:eastAsia="zh-CN" w:bidi="ar"/>
        </w:rPr>
        <w:t xml:space="preserve">  </w:t>
      </w:r>
    </w:p>
    <w:p>
      <w:pPr>
        <w:keepNext w:val="0"/>
        <w:keepLines w:val="0"/>
        <w:widowControl/>
        <w:suppressLineNumbers w:val="0"/>
        <w:ind w:firstLine="1600" w:firstLineChars="500"/>
        <w:jc w:val="both"/>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 xml:space="preserve">甲 方：重庆两山建设开发有限公司 </w:t>
      </w:r>
    </w:p>
    <w:p>
      <w:pPr>
        <w:keepNext w:val="0"/>
        <w:keepLines w:val="0"/>
        <w:widowControl/>
        <w:suppressLineNumbers w:val="0"/>
        <w:ind w:firstLine="1600" w:firstLineChars="500"/>
        <w:jc w:val="both"/>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乙 方：</w:t>
      </w:r>
    </w:p>
    <w:p>
      <w:pPr>
        <w:keepNext w:val="0"/>
        <w:keepLines w:val="0"/>
        <w:widowControl/>
        <w:suppressLineNumbers w:val="0"/>
        <w:ind w:firstLine="1600" w:firstLineChars="500"/>
        <w:jc w:val="both"/>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合同编号：</w:t>
      </w:r>
    </w:p>
    <w:p>
      <w:pPr>
        <w:keepNext w:val="0"/>
        <w:keepLines w:val="0"/>
        <w:widowControl/>
        <w:suppressLineNumbers w:val="0"/>
        <w:ind w:firstLine="1600" w:firstLineChars="500"/>
        <w:jc w:val="both"/>
        <w:rPr>
          <w:rFonts w:hint="eastAsia" w:ascii="宋体" w:hAnsi="宋体" w:eastAsia="宋体" w:cs="宋体"/>
          <w:color w:val="auto"/>
          <w:sz w:val="32"/>
          <w:szCs w:val="32"/>
          <w:highlight w:val="none"/>
        </w:rPr>
      </w:pPr>
      <w:r>
        <w:rPr>
          <w:rFonts w:hint="eastAsia" w:ascii="宋体" w:hAnsi="宋体" w:eastAsia="宋体" w:cs="宋体"/>
          <w:color w:val="auto"/>
          <w:kern w:val="0"/>
          <w:sz w:val="32"/>
          <w:szCs w:val="32"/>
          <w:highlight w:val="none"/>
          <w:lang w:val="en-US" w:eastAsia="zh-CN" w:bidi="ar"/>
        </w:rPr>
        <w:t>签订时间：    年       月</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32"/>
          <w:szCs w:val="32"/>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8"/>
          <w:szCs w:val="2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kern w:val="0"/>
          <w:sz w:val="28"/>
          <w:szCs w:val="2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住 房 和 城 乡 建 设 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4760" w:firstLineChars="1700"/>
        <w:jc w:val="center"/>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kern w:val="0"/>
          <w:sz w:val="28"/>
          <w:szCs w:val="28"/>
          <w:highlight w:val="none"/>
          <w:lang w:val="en-US" w:eastAsia="zh-CN" w:bidi="ar"/>
        </w:rPr>
        <w:t>制定</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0"/>
          <w:sz w:val="28"/>
          <w:szCs w:val="28"/>
          <w:highlight w:val="none"/>
          <w:lang w:val="en-US" w:eastAsia="zh-CN" w:bidi="ar"/>
        </w:rPr>
        <w:t>国家工商行政管理总局</w:t>
      </w:r>
    </w:p>
    <w:p>
      <w:pPr>
        <w:pStyle w:val="2"/>
        <w:spacing w:line="556" w:lineRule="exact"/>
        <w:jc w:val="both"/>
        <w:rPr>
          <w:rFonts w:hint="eastAsia" w:ascii="宋体" w:hAnsi="宋体" w:eastAsia="宋体" w:cs="宋体"/>
          <w:color w:val="auto"/>
          <w:szCs w:val="20"/>
          <w:highlight w:val="none"/>
        </w:rPr>
      </w:pPr>
    </w:p>
    <w:p>
      <w:pPr>
        <w:pStyle w:val="2"/>
        <w:rPr>
          <w:rFonts w:hint="eastAsia" w:ascii="宋体" w:hAnsi="宋体" w:eastAsia="宋体" w:cs="宋体"/>
          <w:color w:val="auto"/>
          <w:highlight w:val="none"/>
        </w:rPr>
      </w:pPr>
    </w:p>
    <w:p>
      <w:pPr>
        <w:pStyle w:val="247"/>
        <w:snapToGrid w:val="0"/>
        <w:spacing w:before="0" w:line="360" w:lineRule="auto"/>
        <w:ind w:firstLine="560" w:firstLineChars="200"/>
        <w:rPr>
          <w:rFonts w:hint="eastAsia" w:ascii="宋体" w:hAnsi="宋体" w:eastAsia="宋体" w:cs="宋体"/>
          <w:color w:val="auto"/>
          <w:highlight w:val="none"/>
        </w:rPr>
      </w:pPr>
    </w:p>
    <w:p>
      <w:pPr>
        <w:rPr>
          <w:rFonts w:hint="eastAsia" w:ascii="宋体" w:hAnsi="宋体" w:eastAsia="宋体" w:cs="宋体"/>
          <w:b/>
          <w:color w:val="auto"/>
          <w:highlight w:val="none"/>
        </w:rPr>
      </w:pPr>
      <w:r>
        <w:rPr>
          <w:rFonts w:hint="eastAsia" w:ascii="宋体" w:hAnsi="宋体" w:eastAsia="宋体" w:cs="宋体"/>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2691130</wp:posOffset>
                </wp:positionH>
                <wp:positionV relativeFrom="paragraph">
                  <wp:posOffset>8717280</wp:posOffset>
                </wp:positionV>
                <wp:extent cx="807720" cy="693420"/>
                <wp:effectExtent l="0" t="0" r="11430" b="11430"/>
                <wp:wrapNone/>
                <wp:docPr id="1" name="矩形 130"/>
                <wp:cNvGraphicFramePr/>
                <a:graphic xmlns:a="http://schemas.openxmlformats.org/drawingml/2006/main">
                  <a:graphicData uri="http://schemas.microsoft.com/office/word/2010/wordprocessingShape">
                    <wps:wsp>
                      <wps:cNvSpPr/>
                      <wps:spPr>
                        <a:xfrm>
                          <a:off x="0" y="0"/>
                          <a:ext cx="807720" cy="693420"/>
                        </a:xfrm>
                        <a:prstGeom prst="rect">
                          <a:avLst/>
                        </a:prstGeom>
                        <a:solidFill>
                          <a:srgbClr val="FFFFFF"/>
                        </a:solidFill>
                        <a:ln>
                          <a:noFill/>
                        </a:ln>
                      </wps:spPr>
                      <wps:txbx>
                        <w:txbxContent>
                          <w:p/>
                        </w:txbxContent>
                      </wps:txbx>
                      <wps:bodyPr wrap="square" upright="1"/>
                    </wps:wsp>
                  </a:graphicData>
                </a:graphic>
              </wp:anchor>
            </w:drawing>
          </mc:Choice>
          <mc:Fallback>
            <w:pict>
              <v:rect id="矩形 130" o:spid="_x0000_s1026" o:spt="1" style="position:absolute;left:0pt;margin-left:211.9pt;margin-top:686.4pt;height:54.6pt;width:63.6pt;z-index:251659264;mso-width-relative:page;mso-height-relative:page;" fillcolor="#FFFFFF" filled="t" stroked="f" coordsize="21600,21600" o:gfxdata="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A89ed32QAAAA0BAAAPAAAAAAAAAAEAIAAAACIAAABkcnMvZG93bnJldi54&#10;bWxQSwECFAAUAAAACACHTuJA4Lr+1MABAAB5AwAADgAAAAAAAAABACAAAAAoAQAAZHJzL2Uyb0Rv&#10;Yy54bWxQSwUGAAAAAAYABgBZAQAAWgUAAAAA&#10;">
                <v:fill on="t" focussize="0,0"/>
                <v:stroke on="f"/>
                <v:imagedata o:title=""/>
                <o:lock v:ext="edit" aspectratio="f"/>
                <v:textbox>
                  <w:txbxContent>
                    <w:p/>
                  </w:txbxContent>
                </v:textbox>
              </v:rect>
            </w:pict>
          </mc:Fallback>
        </mc:AlternateContent>
      </w:r>
      <w:r>
        <w:rPr>
          <w:rFonts w:hint="eastAsia" w:ascii="宋体" w:hAnsi="宋体" w:eastAsia="宋体" w:cs="宋体"/>
          <w:color w:val="auto"/>
          <w:highlight w:val="none"/>
        </w:rPr>
        <w:br w:type="page"/>
      </w:r>
    </w:p>
    <w:p>
      <w:pPr>
        <w:pStyle w:val="5"/>
        <w:jc w:val="center"/>
        <w:rPr>
          <w:rFonts w:hint="eastAsia" w:ascii="宋体" w:hAnsi="宋体" w:eastAsia="宋体" w:cs="宋体"/>
          <w:b w:val="0"/>
          <w:color w:val="auto"/>
          <w:sz w:val="44"/>
          <w:szCs w:val="44"/>
          <w:highlight w:val="none"/>
        </w:rPr>
      </w:pPr>
      <w:bookmarkStart w:id="100" w:name="_Toc16608"/>
      <w:bookmarkStart w:id="101" w:name="_Toc509218786"/>
      <w:bookmarkStart w:id="102" w:name="_Toc534185765"/>
      <w:bookmarkStart w:id="103" w:name="_Toc351203494"/>
      <w:r>
        <w:rPr>
          <w:rFonts w:hint="eastAsia" w:ascii="宋体" w:hAnsi="宋体" w:eastAsia="宋体" w:cs="宋体"/>
          <w:color w:val="auto"/>
          <w:sz w:val="44"/>
          <w:szCs w:val="44"/>
          <w:highlight w:val="none"/>
        </w:rPr>
        <w:t>第一部分 合同协议书</w:t>
      </w:r>
      <w:bookmarkEnd w:id="100"/>
      <w:bookmarkEnd w:id="101"/>
      <w:bookmarkEnd w:id="102"/>
    </w:p>
    <w:bookmarkEnd w:id="103"/>
    <w:p>
      <w:pPr>
        <w:snapToGrid w:val="0"/>
        <w:spacing w:line="600" w:lineRule="exact"/>
        <w:ind w:firstLine="480" w:firstLineChars="200"/>
        <w:rPr>
          <w:rFonts w:hint="eastAsia" w:ascii="宋体" w:hAnsi="宋体" w:eastAsia="宋体" w:cs="宋体"/>
          <w:color w:val="auto"/>
          <w:sz w:val="24"/>
          <w:highlight w:val="none"/>
        </w:rPr>
      </w:pPr>
    </w:p>
    <w:p>
      <w:pPr>
        <w:snapToGrid w:val="0"/>
        <w:spacing w:line="360" w:lineRule="auto"/>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发包人（全称）：</w:t>
      </w:r>
      <w:r>
        <w:rPr>
          <w:rFonts w:hint="eastAsia" w:ascii="宋体" w:hAnsi="宋体" w:eastAsia="宋体" w:cs="宋体"/>
          <w:color w:val="auto"/>
          <w:sz w:val="28"/>
          <w:szCs w:val="28"/>
          <w:highlight w:val="none"/>
          <w:u w:val="single"/>
          <w:lang w:eastAsia="zh-CN"/>
        </w:rPr>
        <w:t>重庆两山建设开发有限公</w:t>
      </w:r>
      <w:r>
        <w:rPr>
          <w:rFonts w:hint="eastAsia" w:ascii="宋体" w:hAnsi="宋体" w:eastAsia="宋体" w:cs="宋体"/>
          <w:color w:val="auto"/>
          <w:sz w:val="28"/>
          <w:szCs w:val="28"/>
          <w:highlight w:val="none"/>
          <w:u w:val="single"/>
          <w:lang w:val="en-US" w:eastAsia="zh-CN"/>
        </w:rPr>
        <w:t>司</w:t>
      </w:r>
      <w:r>
        <w:rPr>
          <w:rFonts w:hint="eastAsia" w:ascii="宋体" w:hAnsi="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u w:val="single"/>
        </w:rPr>
        <w:t xml:space="preserve"> </w:t>
      </w:r>
    </w:p>
    <w:p>
      <w:pPr>
        <w:snapToGrid w:val="0"/>
        <w:spacing w:line="360" w:lineRule="auto"/>
        <w:ind w:firstLine="562" w:firstLineChars="200"/>
        <w:rPr>
          <w:rFonts w:hint="eastAsia" w:ascii="宋体" w:hAnsi="宋体" w:eastAsia="宋体" w:cs="宋体"/>
          <w:b/>
          <w:color w:val="auto"/>
          <w:sz w:val="28"/>
          <w:szCs w:val="28"/>
          <w:highlight w:val="none"/>
          <w:u w:val="single"/>
        </w:rPr>
      </w:pPr>
      <w:r>
        <w:rPr>
          <w:rFonts w:hint="eastAsia" w:ascii="宋体" w:hAnsi="宋体" w:eastAsia="宋体" w:cs="宋体"/>
          <w:b/>
          <w:color w:val="auto"/>
          <w:sz w:val="28"/>
          <w:szCs w:val="28"/>
          <w:highlight w:val="none"/>
        </w:rPr>
        <w:t>承包人（全称）：</w:t>
      </w:r>
      <w:r>
        <w:rPr>
          <w:rFonts w:hint="eastAsia" w:ascii="宋体" w:hAnsi="宋体" w:eastAsia="宋体" w:cs="宋体"/>
          <w:color w:val="auto"/>
          <w:sz w:val="28"/>
          <w:szCs w:val="28"/>
          <w:highlight w:val="none"/>
          <w:u w:val="single"/>
        </w:rPr>
        <w:t xml:space="preserve">                                 </w:t>
      </w:r>
    </w:p>
    <w:p>
      <w:pPr>
        <w:spacing w:line="360" w:lineRule="auto"/>
        <w:ind w:firstLine="560" w:firstLineChars="200"/>
        <w:rPr>
          <w:rFonts w:hint="eastAsia" w:ascii="宋体" w:hAnsi="宋体" w:eastAsia="宋体" w:cs="宋体"/>
          <w:b/>
          <w:color w:val="auto"/>
          <w:sz w:val="28"/>
          <w:szCs w:val="28"/>
          <w:highlight w:val="none"/>
          <w:u w:val="single"/>
        </w:rPr>
      </w:pPr>
      <w:r>
        <w:rPr>
          <w:rFonts w:hint="eastAsia" w:ascii="宋体" w:hAnsi="宋体" w:eastAsia="宋体" w:cs="宋体"/>
          <w:color w:val="auto"/>
          <w:sz w:val="28"/>
          <w:szCs w:val="28"/>
          <w:highlight w:val="none"/>
        </w:rPr>
        <w:t>根据《中华人民共和国民法典》、《中华人民共和国建筑法》及有关法律、法规规定，遵循平等、自愿、公平和诚实信用的原则，双方就</w:t>
      </w:r>
      <w:r>
        <w:rPr>
          <w:rFonts w:hint="eastAsia" w:ascii="宋体" w:hAnsi="宋体" w:eastAsia="宋体" w:cs="宋体"/>
          <w:color w:val="auto"/>
          <w:sz w:val="28"/>
          <w:szCs w:val="28"/>
          <w:highlight w:val="none"/>
          <w:u w:val="single"/>
        </w:rPr>
        <w:t></w:t>
      </w:r>
      <w:r>
        <w:rPr>
          <w:rFonts w:hint="eastAsia" w:ascii="宋体" w:hAnsi="宋体" w:eastAsia="宋体" w:cs="宋体"/>
          <w:color w:val="auto"/>
          <w:sz w:val="28"/>
          <w:szCs w:val="28"/>
          <w:highlight w:val="none"/>
          <w:u w:val="single"/>
          <w:lang w:eastAsia="zh-CN"/>
        </w:rPr>
        <w:t>璧山新材料产业园项目一期工程电力建设工程</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施工及有关事项协商一致，共同达成如下协议：</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04" w:name="_Toc532377166"/>
      <w:bookmarkStart w:id="105" w:name="_Toc351203481"/>
      <w:bookmarkStart w:id="106" w:name="_Toc532375573"/>
      <w:r>
        <w:rPr>
          <w:rFonts w:hint="eastAsia" w:ascii="宋体" w:hAnsi="宋体" w:eastAsia="宋体" w:cs="宋体"/>
          <w:color w:val="auto"/>
          <w:kern w:val="2"/>
          <w:sz w:val="28"/>
          <w:szCs w:val="28"/>
          <w:highlight w:val="none"/>
        </w:rPr>
        <w:t>一、工程概况</w:t>
      </w:r>
      <w:bookmarkEnd w:id="104"/>
      <w:bookmarkEnd w:id="105"/>
      <w:bookmarkEnd w:id="106"/>
    </w:p>
    <w:p>
      <w:pPr>
        <w:snapToGrid w:val="0"/>
        <w:spacing w:line="360" w:lineRule="auto"/>
        <w:ind w:firstLine="560" w:firstLineChars="200"/>
        <w:rPr>
          <w:rFonts w:hint="eastAsia" w:ascii="宋体" w:hAnsi="宋体" w:eastAsia="宋体" w:cs="宋体"/>
          <w:color w:val="auto"/>
          <w:szCs w:val="21"/>
          <w:highlight w:val="none"/>
          <w:u w:val="single"/>
        </w:rPr>
      </w:pPr>
      <w:r>
        <w:rPr>
          <w:rFonts w:hint="eastAsia" w:ascii="宋体" w:hAnsi="宋体" w:eastAsia="宋体" w:cs="宋体"/>
          <w:bCs/>
          <w:color w:val="auto"/>
          <w:szCs w:val="21"/>
          <w:highlight w:val="none"/>
        </w:rPr>
        <w:t>1.工程名称</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璧山新材料产业园项目一期工程电力建设工程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napToGrid w:val="0"/>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2.工程地点：</w:t>
      </w:r>
      <w:r>
        <w:rPr>
          <w:rFonts w:hint="eastAsia" w:ascii="宋体" w:hAnsi="宋体" w:eastAsia="宋体" w:cs="宋体"/>
          <w:color w:val="auto"/>
          <w:szCs w:val="21"/>
          <w:highlight w:val="none"/>
          <w:u w:val="single"/>
        </w:rPr>
        <w:t xml:space="preserve"> 重庆市璧山区璧泉街道新胜村 </w:t>
      </w:r>
      <w:r>
        <w:rPr>
          <w:rFonts w:hint="eastAsia" w:ascii="宋体" w:hAnsi="宋体" w:eastAsia="宋体" w:cs="宋体"/>
          <w:color w:val="auto"/>
          <w:szCs w:val="21"/>
          <w:highlight w:val="none"/>
        </w:rPr>
        <w:t>。</w:t>
      </w:r>
    </w:p>
    <w:p>
      <w:pPr>
        <w:snapToGrid w:val="0"/>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3.工程立项批准文号：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璧发改〔2021〕314号 </w:t>
      </w:r>
      <w:r>
        <w:rPr>
          <w:rFonts w:hint="eastAsia" w:ascii="宋体" w:hAnsi="宋体" w:eastAsia="宋体" w:cs="宋体"/>
          <w:color w:val="auto"/>
          <w:szCs w:val="21"/>
          <w:highlight w:val="none"/>
          <w:u w:val="single"/>
        </w:rPr>
        <w:t xml:space="preserve">  </w:t>
      </w:r>
      <w:r>
        <w:rPr>
          <w:rFonts w:hint="eastAsia" w:ascii="宋体" w:hAnsi="宋体" w:eastAsia="宋体" w:cs="宋体"/>
          <w:bCs/>
          <w:color w:val="auto"/>
          <w:szCs w:val="21"/>
          <w:highlight w:val="none"/>
        </w:rPr>
        <w:t>。</w:t>
      </w:r>
    </w:p>
    <w:p>
      <w:pPr>
        <w:snapToGrid w:val="0"/>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4.资金来源：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国企资金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540" w:lineRule="exact"/>
        <w:ind w:firstLine="560" w:firstLineChars="200"/>
        <w:outlineLvl w:val="9"/>
        <w:rPr>
          <w:rFonts w:hint="eastAsia" w:ascii="宋体" w:hAnsi="宋体" w:eastAsia="宋体" w:cs="宋体"/>
          <w:snapToGrid w:val="0"/>
          <w:color w:val="auto"/>
          <w:kern w:val="0"/>
          <w:sz w:val="24"/>
          <w:szCs w:val="24"/>
          <w:highlight w:val="none"/>
          <w:u w:val="single" w:color="auto"/>
          <w:lang w:val="en-US" w:eastAsia="zh-CN" w:bidi="ar-SA"/>
        </w:rPr>
      </w:pPr>
      <w:r>
        <w:rPr>
          <w:rFonts w:hint="eastAsia" w:ascii="宋体" w:hAnsi="宋体" w:eastAsia="宋体" w:cs="宋体"/>
          <w:bCs/>
          <w:color w:val="auto"/>
          <w:szCs w:val="21"/>
          <w:highlight w:val="none"/>
        </w:rPr>
        <w:t>5.工程内容：</w:t>
      </w:r>
      <w:r>
        <w:rPr>
          <w:rFonts w:hint="eastAsia" w:ascii="宋体" w:hAnsi="宋体" w:eastAsia="宋体" w:cs="宋体"/>
          <w:snapToGrid w:val="0"/>
          <w:color w:val="auto"/>
          <w:kern w:val="0"/>
          <w:sz w:val="24"/>
          <w:szCs w:val="24"/>
          <w:highlight w:val="none"/>
          <w:u w:val="single" w:color="auto"/>
          <w:lang w:val="en-US" w:eastAsia="zh-CN" w:bidi="ar-SA"/>
        </w:rPr>
        <w:t xml:space="preserve"> </w:t>
      </w:r>
      <w:r>
        <w:rPr>
          <w:rFonts w:hint="eastAsia" w:ascii="宋体" w:hAnsi="宋体" w:eastAsia="宋体" w:cs="宋体"/>
          <w:color w:val="auto"/>
          <w:szCs w:val="21"/>
          <w:highlight w:val="none"/>
          <w:u w:val="single"/>
          <w:lang w:val="en-US" w:eastAsia="zh-CN"/>
        </w:rPr>
        <w:t>璧山新材料产业园项目一期工程经我委《关于璧山新材料产业园项目一期工程投资概算的批复》(璧发改【2022】277号)批复实施本工程为璧山新材料产业园项目一期工程配套外线接入电力建设工程，主要包括:电力电缆敷设、电缆保护管埋设、电力检查井修建:原有道路的拆除及恢复、铜母线安装、配电箱安装、桥架安装等工程内容。具体详见施工图及工程量清单内容。</w:t>
      </w:r>
    </w:p>
    <w:p>
      <w:pPr>
        <w:snapToGrid w:val="0"/>
        <w:spacing w:line="360" w:lineRule="auto"/>
        <w:ind w:firstLine="560" w:firstLineChars="200"/>
        <w:jc w:val="left"/>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6.工程承包范围：</w:t>
      </w:r>
      <w:r>
        <w:rPr>
          <w:rFonts w:hint="eastAsia" w:ascii="宋体" w:hAnsi="宋体" w:eastAsia="宋体" w:cs="宋体"/>
          <w:color w:val="auto"/>
          <w:szCs w:val="21"/>
          <w:highlight w:val="none"/>
          <w:u w:val="single"/>
          <w:lang w:val="en-US" w:eastAsia="zh-CN"/>
        </w:rPr>
        <w:t>包括《重庆两山建设开发有限公司璧山新材料产业园项目一期工程电力建设工程设计图》及《（对外发布招标控制价）璧山新材料产业园项目一期工程电力建设工程》中的全部</w:t>
      </w:r>
      <w:bookmarkStart w:id="1577" w:name="_GoBack"/>
      <w:bookmarkEnd w:id="1577"/>
      <w:r>
        <w:rPr>
          <w:rFonts w:hint="eastAsia" w:ascii="宋体" w:hAnsi="宋体" w:eastAsia="宋体" w:cs="宋体"/>
          <w:color w:val="auto"/>
          <w:szCs w:val="21"/>
          <w:highlight w:val="none"/>
          <w:u w:val="single"/>
          <w:lang w:val="en-US" w:eastAsia="zh-CN"/>
        </w:rPr>
        <w:t>内容，</w:t>
      </w:r>
      <w:r>
        <w:rPr>
          <w:rFonts w:hint="eastAsia" w:ascii="宋体" w:hAnsi="宋体" w:eastAsia="宋体" w:cs="宋体"/>
          <w:b/>
          <w:bCs/>
          <w:color w:val="auto"/>
          <w:szCs w:val="21"/>
          <w:highlight w:val="none"/>
          <w:u w:val="single"/>
          <w:lang w:val="en-US" w:eastAsia="zh-CN"/>
        </w:rPr>
        <w:t>详见招标清单</w:t>
      </w:r>
      <w:r>
        <w:rPr>
          <w:rFonts w:hint="eastAsia" w:ascii="宋体" w:hAnsi="宋体" w:eastAsia="宋体" w:cs="宋体"/>
          <w:snapToGrid w:val="0"/>
          <w:color w:val="auto"/>
          <w:kern w:val="0"/>
          <w:sz w:val="24"/>
          <w:szCs w:val="24"/>
          <w:highlight w:val="none"/>
          <w:u w:val="single" w:color="auto"/>
          <w:lang w:val="en-US" w:eastAsia="zh-CN" w:bidi="ar-SA"/>
        </w:rPr>
        <w:t>。</w:t>
      </w:r>
      <w:r>
        <w:rPr>
          <w:rFonts w:hint="eastAsia" w:ascii="宋体" w:hAnsi="宋体" w:eastAsia="宋体" w:cs="宋体"/>
          <w:color w:val="auto"/>
          <w:szCs w:val="21"/>
          <w:highlight w:val="none"/>
          <w:u w:val="single" w:color="auto"/>
        </w:rPr>
        <w:t xml:space="preserve">  </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07" w:name="_Toc351203482"/>
      <w:bookmarkStart w:id="108" w:name="_Toc532375574"/>
      <w:bookmarkStart w:id="109" w:name="_Toc532377167"/>
      <w:r>
        <w:rPr>
          <w:rFonts w:hint="eastAsia" w:ascii="宋体" w:hAnsi="宋体" w:eastAsia="宋体" w:cs="宋体"/>
          <w:color w:val="auto"/>
          <w:kern w:val="2"/>
          <w:sz w:val="28"/>
          <w:szCs w:val="28"/>
          <w:highlight w:val="none"/>
        </w:rPr>
        <w:t>二、合同工期</w:t>
      </w:r>
      <w:bookmarkEnd w:id="107"/>
      <w:bookmarkEnd w:id="108"/>
      <w:bookmarkEnd w:id="109"/>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承包人承诺的工期：</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u w:val="single"/>
          <w:lang w:val="en-US" w:eastAsia="zh-CN"/>
        </w:rPr>
        <w:t>45</w:t>
      </w:r>
      <w:r>
        <w:rPr>
          <w:rFonts w:hint="eastAsia" w:ascii="宋体" w:hAnsi="宋体" w:eastAsia="宋体" w:cs="宋体"/>
          <w:bCs/>
          <w:color w:val="auto"/>
          <w:szCs w:val="21"/>
          <w:highlight w:val="none"/>
          <w:u w:val="single"/>
        </w:rPr>
        <w:t>日历天</w:t>
      </w:r>
      <w:r>
        <w:rPr>
          <w:rFonts w:hint="eastAsia" w:ascii="宋体" w:hAnsi="宋体" w:eastAsia="宋体" w:cs="宋体"/>
          <w:bCs/>
          <w:color w:val="auto"/>
          <w:szCs w:val="21"/>
          <w:highlight w:val="none"/>
        </w:rPr>
        <w:t>。</w:t>
      </w:r>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计划开工日期：</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日，实际开工日期以监理工程师签发的工程开工通知明确的开工日期为准。</w:t>
      </w:r>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计划竣工日期：</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日，实际竣工日期以工程竣工验收合格之日为准。</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工期总日历天数</w:t>
      </w:r>
      <w:r>
        <w:rPr>
          <w:rFonts w:hint="eastAsia" w:ascii="宋体" w:hAnsi="宋体" w:eastAsia="宋体" w:cs="宋体"/>
          <w:bCs/>
          <w:color w:val="auto"/>
          <w:szCs w:val="21"/>
          <w:highlight w:val="none"/>
          <w:u w:val="single"/>
        </w:rPr>
        <w:t></w:t>
      </w:r>
      <w:r>
        <w:rPr>
          <w:rFonts w:hint="eastAsia" w:ascii="宋体" w:hAnsi="宋体" w:eastAsia="宋体" w:cs="宋体"/>
          <w:bCs/>
          <w:color w:val="auto"/>
          <w:szCs w:val="21"/>
          <w:highlight w:val="none"/>
        </w:rPr>
        <w:t>天。工期总日历天数与根据前述计划开竣工日期计算的工期天数不一</w:t>
      </w:r>
      <w:r>
        <w:rPr>
          <w:rFonts w:hint="eastAsia" w:ascii="宋体" w:hAnsi="宋体" w:eastAsia="宋体" w:cs="宋体"/>
          <w:color w:val="auto"/>
          <w:szCs w:val="21"/>
          <w:highlight w:val="none"/>
        </w:rPr>
        <w:t>致的，以工期总日历天数为准。</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10" w:name="_Toc532375575"/>
      <w:bookmarkStart w:id="111" w:name="_Toc351203483"/>
      <w:bookmarkStart w:id="112" w:name="_Toc532377168"/>
      <w:r>
        <w:rPr>
          <w:rFonts w:hint="eastAsia" w:ascii="宋体" w:hAnsi="宋体" w:eastAsia="宋体" w:cs="宋体"/>
          <w:color w:val="auto"/>
          <w:kern w:val="2"/>
          <w:sz w:val="28"/>
          <w:szCs w:val="28"/>
          <w:highlight w:val="none"/>
        </w:rPr>
        <w:t>三、质量标准</w:t>
      </w:r>
      <w:bookmarkEnd w:id="110"/>
      <w:bookmarkEnd w:id="111"/>
      <w:bookmarkEnd w:id="112"/>
    </w:p>
    <w:p>
      <w:pPr>
        <w:snapToGrid w:val="0"/>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工程质量符合强制性质量标准，</w:t>
      </w:r>
      <w:r>
        <w:rPr>
          <w:rFonts w:hint="eastAsia" w:ascii="宋体" w:hAnsi="宋体" w:eastAsia="宋体" w:cs="宋体"/>
          <w:color w:val="auto"/>
          <w:szCs w:val="21"/>
          <w:highlight w:val="none"/>
          <w:u w:val="single"/>
        </w:rPr>
        <w:t>符合国家和重庆市现行有关施工质量验收规范要求，并达到合格标准</w:t>
      </w:r>
      <w:r>
        <w:rPr>
          <w:rFonts w:hint="eastAsia" w:ascii="宋体" w:hAnsi="宋体" w:eastAsia="宋体" w:cs="宋体"/>
          <w:color w:val="auto"/>
          <w:szCs w:val="21"/>
          <w:highlight w:val="none"/>
        </w:rPr>
        <w:t>。</w:t>
      </w:r>
    </w:p>
    <w:p>
      <w:pPr>
        <w:pStyle w:val="6"/>
        <w:keepNext/>
        <w:keepLines/>
        <w:spacing w:before="120" w:after="120" w:line="360" w:lineRule="auto"/>
        <w:ind w:firstLine="562" w:firstLineChars="200"/>
        <w:jc w:val="both"/>
        <w:rPr>
          <w:rFonts w:hint="eastAsia" w:ascii="宋体" w:hAnsi="宋体" w:eastAsia="宋体" w:cs="宋体"/>
          <w:color w:val="auto"/>
          <w:kern w:val="2"/>
          <w:sz w:val="21"/>
          <w:szCs w:val="21"/>
          <w:highlight w:val="none"/>
        </w:rPr>
      </w:pPr>
      <w:bookmarkStart w:id="113" w:name="_Toc532377169"/>
      <w:bookmarkStart w:id="114" w:name="_Toc532375576"/>
      <w:bookmarkStart w:id="115" w:name="_Toc351203484"/>
      <w:r>
        <w:rPr>
          <w:rFonts w:hint="eastAsia" w:ascii="宋体" w:hAnsi="宋体" w:eastAsia="宋体" w:cs="宋体"/>
          <w:color w:val="auto"/>
          <w:kern w:val="2"/>
          <w:sz w:val="28"/>
          <w:szCs w:val="28"/>
          <w:highlight w:val="none"/>
        </w:rPr>
        <w:t>四、签约合同价与合同价格形式</w:t>
      </w:r>
      <w:bookmarkEnd w:id="113"/>
      <w:bookmarkEnd w:id="114"/>
      <w:bookmarkEnd w:id="115"/>
      <w:r>
        <w:rPr>
          <w:rFonts w:hint="eastAsia" w:ascii="宋体" w:hAnsi="宋体" w:eastAsia="宋体" w:cs="宋体"/>
          <w:color w:val="auto"/>
          <w:kern w:val="2"/>
          <w:sz w:val="28"/>
          <w:szCs w:val="28"/>
          <w:highlight w:val="none"/>
        </w:rPr>
        <w:tab/>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1.承包人承诺的</w:t>
      </w:r>
      <w:r>
        <w:rPr>
          <w:rFonts w:hint="eastAsia" w:ascii="宋体" w:hAnsi="宋体" w:cs="宋体"/>
          <w:color w:val="auto"/>
          <w:szCs w:val="21"/>
          <w:highlight w:val="none"/>
          <w:lang w:val="en-US" w:eastAsia="zh-CN"/>
        </w:rPr>
        <w:t>成交</w:t>
      </w:r>
      <w:r>
        <w:rPr>
          <w:rFonts w:hint="eastAsia" w:ascii="宋体" w:hAnsi="宋体" w:eastAsia="宋体" w:cs="宋体"/>
          <w:color w:val="auto"/>
          <w:szCs w:val="21"/>
          <w:highlight w:val="none"/>
        </w:rPr>
        <w:t>价为：</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2.签约合同价为：</w:t>
      </w:r>
    </w:p>
    <w:p>
      <w:pPr>
        <w:snapToGrid w:val="0"/>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napToGrid w:val="0"/>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其中：</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（1）安全文明施工费：</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（2）材料和工程设备暂估价金额：</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（3）专业工程暂估价金额：</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（4）暂列金额：</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人民币（大写）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（5）人工费（工资款）</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该项目实行人工费（工资款）与其他工程款分账管理，发包人将应付工程款中的人工费（工资款），以不低于已完成合同价款的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，农民工工资单独支付至承包人设立的农民工工资专用账户。</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3.合同价格形式：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16" w:name="_Toc351203485"/>
      <w:bookmarkStart w:id="117" w:name="_Toc532377170"/>
      <w:bookmarkStart w:id="118" w:name="_Toc532375577"/>
      <w:r>
        <w:rPr>
          <w:rFonts w:hint="eastAsia" w:ascii="宋体" w:hAnsi="宋体" w:eastAsia="宋体" w:cs="宋体"/>
          <w:color w:val="auto"/>
          <w:kern w:val="2"/>
          <w:sz w:val="28"/>
          <w:szCs w:val="28"/>
          <w:highlight w:val="none"/>
        </w:rPr>
        <w:t>五、</w:t>
      </w:r>
      <w:bookmarkEnd w:id="116"/>
      <w:r>
        <w:rPr>
          <w:rFonts w:hint="eastAsia" w:ascii="宋体" w:hAnsi="宋体" w:eastAsia="宋体" w:cs="宋体"/>
          <w:color w:val="auto"/>
          <w:kern w:val="2"/>
          <w:sz w:val="28"/>
          <w:szCs w:val="28"/>
          <w:highlight w:val="none"/>
        </w:rPr>
        <w:t>项目经理及技术负责人</w:t>
      </w:r>
      <w:bookmarkEnd w:id="117"/>
      <w:bookmarkEnd w:id="118"/>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中承诺的项目经理：</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中承诺的技术负责人：</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23"/>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证书名称及号码：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19" w:name="_Toc532377171"/>
      <w:bookmarkStart w:id="120" w:name="_Toc351203486"/>
      <w:bookmarkStart w:id="121" w:name="_Toc532375578"/>
      <w:r>
        <w:rPr>
          <w:rFonts w:hint="eastAsia" w:ascii="宋体" w:hAnsi="宋体" w:eastAsia="宋体" w:cs="宋体"/>
          <w:color w:val="auto"/>
          <w:kern w:val="2"/>
          <w:sz w:val="28"/>
          <w:szCs w:val="28"/>
          <w:highlight w:val="none"/>
        </w:rPr>
        <w:t>六、合同文件构成</w:t>
      </w:r>
      <w:bookmarkEnd w:id="119"/>
      <w:bookmarkEnd w:id="120"/>
      <w:bookmarkEnd w:id="121"/>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合同由以下文件构成：</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（1）合同协议书；</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成交通知书</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（3）投标函及投标函附录</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如有）</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（4）专用合同条款及其附件；</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（5）通用合同条款；</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eastAsia="zh-CN"/>
        </w:rPr>
        <w:t>磋商文件</w:t>
      </w:r>
      <w:r>
        <w:rPr>
          <w:rFonts w:hint="eastAsia" w:ascii="宋体" w:hAnsi="宋体" w:eastAsia="宋体" w:cs="宋体"/>
          <w:color w:val="auto"/>
          <w:szCs w:val="21"/>
          <w:highlight w:val="none"/>
        </w:rPr>
        <w:t>及修改文件；</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（8）技术标准和要求；</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（9）图纸；</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（10）其他合同文件。</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在合同订立、履行过程中形成的与合同有关的书面形式的文件均构成合同文件组成部分。</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上述各项合同文件包括合同当事人就该项合同文件所作出的补充和修改，属于同一类内容的文件，应以最新签署的为准。专用合同条款及其附件须经合同当事人签名或盖章。</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22" w:name="_Toc532375579"/>
      <w:bookmarkStart w:id="123" w:name="_Toc351203487"/>
      <w:bookmarkStart w:id="124" w:name="_Toc532377172"/>
      <w:r>
        <w:rPr>
          <w:rFonts w:hint="eastAsia" w:ascii="宋体" w:hAnsi="宋体" w:eastAsia="宋体" w:cs="宋体"/>
          <w:color w:val="auto"/>
          <w:kern w:val="2"/>
          <w:sz w:val="28"/>
          <w:szCs w:val="28"/>
          <w:highlight w:val="none"/>
        </w:rPr>
        <w:t>七、承诺</w:t>
      </w:r>
      <w:bookmarkEnd w:id="122"/>
      <w:bookmarkEnd w:id="123"/>
      <w:bookmarkEnd w:id="124"/>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1.发包人承诺按照法律规定履行项目审批手续、筹集工程建设资金并按照合同约定的期限和方式支付合同价款。</w:t>
      </w:r>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w:t>
      </w:r>
      <w:r>
        <w:rPr>
          <w:rFonts w:hint="eastAsia" w:ascii="宋体" w:hAnsi="宋体" w:eastAsia="宋体" w:cs="宋体"/>
          <w:color w:val="auto"/>
          <w:szCs w:val="21"/>
          <w:highlight w:val="none"/>
        </w:rPr>
        <w:t>承包人承诺按照法律规定及合同约定组织完成工程施工，确保工程质量和安全，不进行转包及违法分包，并在缺陷责任期及保修期内承担相应的工程维修责任</w:t>
      </w:r>
      <w:r>
        <w:rPr>
          <w:rFonts w:hint="eastAsia" w:ascii="宋体" w:hAnsi="宋体" w:eastAsia="宋体" w:cs="宋体"/>
          <w:bCs/>
          <w:color w:val="auto"/>
          <w:szCs w:val="21"/>
          <w:highlight w:val="none"/>
        </w:rPr>
        <w:t>。</w:t>
      </w:r>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3.发包人和承包人通过招投标形式签订合同的，双方理解并承诺不再就同一工程另行签订与合同实质性内容相背离的协议。</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25" w:name="_Toc532377173"/>
      <w:bookmarkStart w:id="126" w:name="_Toc532375580"/>
      <w:bookmarkStart w:id="127" w:name="_Toc351203488"/>
      <w:r>
        <w:rPr>
          <w:rFonts w:hint="eastAsia" w:ascii="宋体" w:hAnsi="宋体" w:eastAsia="宋体" w:cs="宋体"/>
          <w:color w:val="auto"/>
          <w:kern w:val="2"/>
          <w:sz w:val="28"/>
          <w:szCs w:val="28"/>
          <w:highlight w:val="none"/>
        </w:rPr>
        <w:t>八、词语含义</w:t>
      </w:r>
      <w:bookmarkEnd w:id="125"/>
      <w:bookmarkEnd w:id="126"/>
      <w:bookmarkEnd w:id="127"/>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本协议书中词语含义与专用合同条款及通用合同条款中赋予的含义相同。</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28" w:name="_Toc532377174"/>
      <w:bookmarkStart w:id="129" w:name="_Toc532375581"/>
      <w:r>
        <w:rPr>
          <w:rFonts w:hint="eastAsia" w:ascii="宋体" w:hAnsi="宋体" w:eastAsia="宋体" w:cs="宋体"/>
          <w:color w:val="auto"/>
          <w:kern w:val="2"/>
          <w:sz w:val="28"/>
          <w:szCs w:val="28"/>
          <w:highlight w:val="none"/>
        </w:rPr>
        <w:t>九、签订时间</w:t>
      </w:r>
      <w:bookmarkEnd w:id="128"/>
      <w:bookmarkEnd w:id="129"/>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合同于</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年</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月</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日签订</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30" w:name="_Toc351203489"/>
      <w:bookmarkStart w:id="131" w:name="_Toc532375582"/>
      <w:bookmarkStart w:id="132" w:name="_Toc532377175"/>
      <w:r>
        <w:rPr>
          <w:rFonts w:hint="eastAsia" w:ascii="宋体" w:hAnsi="宋体" w:eastAsia="宋体" w:cs="宋体"/>
          <w:color w:val="auto"/>
          <w:kern w:val="2"/>
          <w:sz w:val="28"/>
          <w:szCs w:val="28"/>
          <w:highlight w:val="none"/>
        </w:rPr>
        <w:t>十、</w:t>
      </w:r>
      <w:bookmarkEnd w:id="130"/>
      <w:bookmarkStart w:id="133" w:name="_Toc351203490"/>
      <w:r>
        <w:rPr>
          <w:rFonts w:hint="eastAsia" w:ascii="宋体" w:hAnsi="宋体" w:eastAsia="宋体" w:cs="宋体"/>
          <w:color w:val="auto"/>
          <w:kern w:val="2"/>
          <w:sz w:val="28"/>
          <w:szCs w:val="28"/>
          <w:highlight w:val="none"/>
        </w:rPr>
        <w:t>签订地点</w:t>
      </w:r>
      <w:bookmarkEnd w:id="131"/>
      <w:bookmarkEnd w:id="132"/>
      <w:bookmarkEnd w:id="133"/>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合同在</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签订。</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34" w:name="_Toc532375583"/>
      <w:bookmarkStart w:id="135" w:name="_Toc351203491"/>
      <w:bookmarkStart w:id="136" w:name="_Toc532377176"/>
      <w:r>
        <w:rPr>
          <w:rFonts w:hint="eastAsia" w:ascii="宋体" w:hAnsi="宋体" w:eastAsia="宋体" w:cs="宋体"/>
          <w:color w:val="auto"/>
          <w:kern w:val="2"/>
          <w:sz w:val="28"/>
          <w:szCs w:val="28"/>
          <w:highlight w:val="none"/>
        </w:rPr>
        <w:t>十一、补充协议</w:t>
      </w:r>
      <w:bookmarkEnd w:id="134"/>
      <w:bookmarkEnd w:id="135"/>
      <w:bookmarkEnd w:id="136"/>
    </w:p>
    <w:p>
      <w:pPr>
        <w:spacing w:line="360" w:lineRule="auto"/>
        <w:ind w:firstLine="560" w:firstLineChars="200"/>
        <w:rPr>
          <w:rFonts w:hint="eastAsia" w:ascii="宋体" w:hAnsi="宋体" w:eastAsia="宋体" w:cs="宋体"/>
          <w:b/>
          <w:bCs/>
          <w:color w:val="auto"/>
          <w:szCs w:val="21"/>
          <w:highlight w:val="none"/>
        </w:rPr>
      </w:pPr>
      <w:r>
        <w:rPr>
          <w:rFonts w:hint="eastAsia" w:ascii="宋体" w:hAnsi="宋体" w:eastAsia="宋体" w:cs="宋体"/>
          <w:bCs/>
          <w:color w:val="auto"/>
          <w:szCs w:val="21"/>
          <w:highlight w:val="none"/>
        </w:rPr>
        <w:t>合同未尽事宜，合同当事人另行签订补充协议，补充协议是合同的组成部分。</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37" w:name="_Toc532377177"/>
      <w:bookmarkStart w:id="138" w:name="_Toc351203492"/>
      <w:bookmarkStart w:id="139" w:name="_Toc532375584"/>
      <w:r>
        <w:rPr>
          <w:rFonts w:hint="eastAsia" w:ascii="宋体" w:hAnsi="宋体" w:eastAsia="宋体" w:cs="宋体"/>
          <w:color w:val="auto"/>
          <w:kern w:val="2"/>
          <w:sz w:val="28"/>
          <w:szCs w:val="28"/>
          <w:highlight w:val="none"/>
        </w:rPr>
        <w:t>十二、合同生效</w:t>
      </w:r>
      <w:bookmarkEnd w:id="137"/>
      <w:bookmarkEnd w:id="138"/>
      <w:bookmarkEnd w:id="139"/>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合同在以下条件全部满足之后生效：</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1.合同</w:t>
      </w:r>
      <w:r>
        <w:rPr>
          <w:rFonts w:hint="eastAsia" w:ascii="宋体" w:hAnsi="宋体" w:eastAsia="宋体" w:cs="宋体"/>
          <w:color w:val="auto"/>
          <w:szCs w:val="21"/>
          <w:highlight w:val="none"/>
        </w:rPr>
        <w:t>经双方法定代表人或其委托代理人签名并加盖</w:t>
      </w:r>
      <w:r>
        <w:rPr>
          <w:rFonts w:hint="eastAsia" w:ascii="宋体" w:hAnsi="宋体" w:eastAsia="宋体" w:cs="宋体"/>
          <w:color w:val="auto"/>
          <w:szCs w:val="21"/>
          <w:highlight w:val="none"/>
          <w:lang w:val="en-US" w:eastAsia="zh-CN"/>
        </w:rPr>
        <w:t>单位</w:t>
      </w:r>
      <w:r>
        <w:rPr>
          <w:rFonts w:hint="eastAsia" w:ascii="宋体" w:hAnsi="宋体" w:eastAsia="宋体" w:cs="宋体"/>
          <w:snapToGrid w:val="0"/>
          <w:color w:val="auto"/>
          <w:kern w:val="0"/>
          <w:szCs w:val="21"/>
          <w:highlight w:val="none"/>
        </w:rPr>
        <w:t>公章或合同专用章</w:t>
      </w:r>
      <w:r>
        <w:rPr>
          <w:rFonts w:hint="eastAsia" w:ascii="宋体" w:hAnsi="宋体" w:eastAsia="宋体" w:cs="宋体"/>
          <w:color w:val="auto"/>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2.采用保函形式递交履约担保的，承包人按合同约定向发包人提交履约担保后；</w:t>
      </w:r>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40" w:name="_Toc532375585"/>
      <w:bookmarkStart w:id="141" w:name="_Toc532377178"/>
      <w:bookmarkStart w:id="142" w:name="_Toc351203493"/>
      <w:r>
        <w:rPr>
          <w:rFonts w:hint="eastAsia" w:ascii="宋体" w:hAnsi="宋体" w:eastAsia="宋体" w:cs="宋体"/>
          <w:color w:val="auto"/>
          <w:kern w:val="2"/>
          <w:sz w:val="28"/>
          <w:szCs w:val="28"/>
          <w:highlight w:val="none"/>
        </w:rPr>
        <w:t>十三、合同份数</w:t>
      </w:r>
      <w:bookmarkEnd w:id="140"/>
      <w:bookmarkEnd w:id="141"/>
      <w:bookmarkEnd w:id="142"/>
    </w:p>
    <w:p>
      <w:pPr>
        <w:spacing w:line="360" w:lineRule="auto"/>
        <w:ind w:firstLine="56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合同一式</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份，其中正本</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份，双方各持</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份，副本</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份，双方各执</w:t>
      </w:r>
      <w:r>
        <w:rPr>
          <w:rFonts w:hint="eastAsia" w:ascii="宋体" w:hAnsi="宋体" w:eastAsia="宋体" w:cs="宋体"/>
          <w:bCs/>
          <w:color w:val="auto"/>
          <w:szCs w:val="21"/>
          <w:highlight w:val="none"/>
          <w:u w:val="single"/>
        </w:rPr>
        <w:t xml:space="preserve">    </w:t>
      </w:r>
      <w:r>
        <w:rPr>
          <w:rFonts w:hint="eastAsia" w:ascii="宋体" w:hAnsi="宋体" w:eastAsia="宋体" w:cs="宋体"/>
          <w:bCs/>
          <w:color w:val="auto"/>
          <w:szCs w:val="21"/>
          <w:highlight w:val="none"/>
        </w:rPr>
        <w:t>份。副本与正本不一致时，以正本为准。</w:t>
      </w:r>
    </w:p>
    <w:p>
      <w:pPr>
        <w:spacing w:line="360" w:lineRule="auto"/>
        <w:ind w:firstLine="560" w:firstLineChars="200"/>
        <w:rPr>
          <w:rFonts w:hint="eastAsia" w:ascii="宋体" w:hAnsi="宋体" w:eastAsia="宋体" w:cs="宋体"/>
          <w:bCs/>
          <w:color w:val="auto"/>
          <w:szCs w:val="21"/>
          <w:highlight w:val="none"/>
        </w:rPr>
      </w:pP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（以下为签名盖章页）。</w:t>
      </w:r>
    </w:p>
    <w:p>
      <w:pPr>
        <w:pStyle w:val="23"/>
        <w:spacing w:line="360" w:lineRule="auto"/>
        <w:ind w:firstLine="640" w:firstLineChars="200"/>
        <w:rPr>
          <w:rFonts w:hint="eastAsia" w:ascii="宋体" w:hAnsi="宋体" w:eastAsia="宋体" w:cs="宋体"/>
          <w:color w:val="auto"/>
          <w:szCs w:val="21"/>
          <w:highlight w:val="none"/>
        </w:rPr>
      </w:pPr>
    </w:p>
    <w:p>
      <w:pPr>
        <w:adjustRightInd w:val="0"/>
        <w:spacing w:line="360" w:lineRule="auto"/>
        <w:ind w:firstLine="560" w:firstLineChars="200"/>
        <w:rPr>
          <w:rFonts w:hint="eastAsia" w:ascii="宋体" w:hAnsi="宋体" w:eastAsia="宋体" w:cs="宋体"/>
          <w:snapToGrid w:val="0"/>
          <w:color w:val="auto"/>
          <w:kern w:val="0"/>
          <w:szCs w:val="21"/>
          <w:highlight w:val="none"/>
        </w:rPr>
      </w:pPr>
      <w:bookmarkStart w:id="143" w:name="_Toc467689623"/>
      <w:r>
        <w:rPr>
          <w:rFonts w:hint="eastAsia" w:ascii="宋体" w:hAnsi="宋体" w:eastAsia="宋体" w:cs="宋体"/>
          <w:snapToGrid w:val="0"/>
          <w:color w:val="auto"/>
          <w:kern w:val="0"/>
          <w:szCs w:val="21"/>
          <w:highlight w:val="none"/>
        </w:rPr>
        <w:t>发包人：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盖单位</w:t>
      </w:r>
      <w:r>
        <w:rPr>
          <w:rFonts w:hint="eastAsia" w:ascii="宋体" w:hAnsi="宋体" w:eastAsia="宋体" w:cs="宋体"/>
          <w:snapToGrid w:val="0"/>
          <w:color w:val="auto"/>
          <w:kern w:val="0"/>
          <w:szCs w:val="21"/>
          <w:highlight w:val="none"/>
        </w:rPr>
        <w:t>公章或合同专用章）</w:t>
      </w: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统一社会信用代码：</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纳税人识别号：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电    话：</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开户银行：</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账    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rPr>
          <w:rFonts w:hint="eastAsia" w:ascii="宋体" w:hAnsi="宋体" w:eastAsia="宋体" w:cs="宋体"/>
          <w:snapToGrid w:val="0"/>
          <w:color w:val="auto"/>
          <w:kern w:val="0"/>
          <w:szCs w:val="21"/>
          <w:highlight w:val="none"/>
        </w:rPr>
      </w:pPr>
    </w:p>
    <w:p>
      <w:pPr>
        <w:pStyle w:val="2"/>
        <w:rPr>
          <w:rFonts w:hint="eastAsia" w:ascii="宋体" w:hAnsi="宋体" w:eastAsia="宋体" w:cs="宋体"/>
          <w:snapToGrid w:val="0"/>
          <w:color w:val="auto"/>
          <w:kern w:val="0"/>
          <w:szCs w:val="21"/>
          <w:highlight w:val="none"/>
        </w:rPr>
      </w:pPr>
    </w:p>
    <w:p>
      <w:pPr>
        <w:pStyle w:val="2"/>
        <w:rPr>
          <w:rFonts w:hint="eastAsia" w:ascii="宋体" w:hAnsi="宋体" w:eastAsia="宋体" w:cs="宋体"/>
          <w:snapToGrid w:val="0"/>
          <w:color w:val="auto"/>
          <w:kern w:val="0"/>
          <w:szCs w:val="21"/>
          <w:highlight w:val="none"/>
        </w:rPr>
      </w:pPr>
    </w:p>
    <w:p>
      <w:pPr>
        <w:pStyle w:val="2"/>
        <w:rPr>
          <w:rFonts w:hint="eastAsia" w:ascii="宋体" w:hAnsi="宋体" w:eastAsia="宋体" w:cs="宋体"/>
          <w:snapToGrid w:val="0"/>
          <w:color w:val="auto"/>
          <w:kern w:val="0"/>
          <w:szCs w:val="21"/>
          <w:highlight w:val="none"/>
        </w:rPr>
      </w:pPr>
    </w:p>
    <w:p>
      <w:pPr>
        <w:pStyle w:val="2"/>
        <w:rPr>
          <w:rFonts w:hint="eastAsia" w:ascii="宋体" w:hAnsi="宋体" w:eastAsia="宋体" w:cs="宋体"/>
          <w:snapToGrid w:val="0"/>
          <w:color w:val="auto"/>
          <w:kern w:val="0"/>
          <w:szCs w:val="21"/>
          <w:highlight w:val="none"/>
        </w:rPr>
      </w:pPr>
    </w:p>
    <w:p>
      <w:pPr>
        <w:pStyle w:val="2"/>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承包人：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w:t>
      </w:r>
      <w:r>
        <w:rPr>
          <w:rFonts w:hint="eastAsia" w:ascii="宋体" w:hAnsi="宋体" w:eastAsia="宋体" w:cs="宋体"/>
          <w:snapToGrid w:val="0"/>
          <w:color w:val="auto"/>
          <w:kern w:val="0"/>
          <w:szCs w:val="21"/>
          <w:highlight w:val="none"/>
          <w:lang w:val="en-US" w:eastAsia="zh-CN"/>
        </w:rPr>
        <w:t>盖单位</w:t>
      </w:r>
      <w:r>
        <w:rPr>
          <w:rFonts w:hint="eastAsia" w:ascii="宋体" w:hAnsi="宋体" w:eastAsia="宋体" w:cs="宋体"/>
          <w:snapToGrid w:val="0"/>
          <w:color w:val="auto"/>
          <w:kern w:val="0"/>
          <w:szCs w:val="21"/>
          <w:highlight w:val="none"/>
        </w:rPr>
        <w:t>公章或合同专用章）</w:t>
      </w: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统一社会信用代码：</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纳税人识别号：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地    址：</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电    话：</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开户银行：</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spacing w:line="360" w:lineRule="auto"/>
        <w:ind w:firstLine="560" w:firstLineChars="200"/>
        <w:rPr>
          <w:rFonts w:hint="eastAsia" w:ascii="宋体" w:hAnsi="宋体" w:eastAsia="宋体" w:cs="宋体"/>
          <w:snapToGrid w:val="0"/>
          <w:color w:val="auto"/>
          <w:kern w:val="0"/>
          <w:szCs w:val="21"/>
          <w:highlight w:val="none"/>
          <w:u w:val="single"/>
        </w:rPr>
      </w:pPr>
      <w:r>
        <w:rPr>
          <w:rFonts w:hint="eastAsia" w:ascii="宋体" w:hAnsi="宋体" w:eastAsia="宋体" w:cs="宋体"/>
          <w:snapToGrid w:val="0"/>
          <w:color w:val="auto"/>
          <w:kern w:val="0"/>
          <w:szCs w:val="21"/>
          <w:highlight w:val="none"/>
        </w:rPr>
        <w:t>账    号：</w:t>
      </w:r>
      <w:r>
        <w:rPr>
          <w:rFonts w:hint="eastAsia" w:ascii="宋体" w:hAnsi="宋体" w:eastAsia="宋体" w:cs="宋体"/>
          <w:snapToGrid w:val="0"/>
          <w:color w:val="auto"/>
          <w:w w:val="200"/>
          <w:kern w:val="0"/>
          <w:szCs w:val="21"/>
          <w:highlight w:val="none"/>
          <w:u w:val="single"/>
        </w:rPr>
        <w:t xml:space="preserve"> </w:t>
      </w:r>
      <w:r>
        <w:rPr>
          <w:rFonts w:hint="eastAsia" w:ascii="宋体" w:hAnsi="宋体" w:eastAsia="宋体" w:cs="宋体"/>
          <w:snapToGrid w:val="0"/>
          <w:color w:val="auto"/>
          <w:kern w:val="0"/>
          <w:szCs w:val="21"/>
          <w:highlight w:val="none"/>
          <w:u w:val="single"/>
        </w:rPr>
        <w:t xml:space="preserve">                                  </w:t>
      </w:r>
    </w:p>
    <w:p>
      <w:pPr>
        <w:pStyle w:val="23"/>
        <w:spacing w:line="360" w:lineRule="auto"/>
        <w:rPr>
          <w:rFonts w:hint="eastAsia" w:ascii="宋体" w:hAnsi="宋体" w:eastAsia="宋体" w:cs="宋体"/>
          <w:color w:val="auto"/>
          <w:szCs w:val="21"/>
          <w:highlight w:val="none"/>
        </w:rPr>
      </w:pPr>
    </w:p>
    <w:p>
      <w:pPr>
        <w:spacing w:line="360" w:lineRule="auto"/>
        <w:jc w:val="right"/>
        <w:rPr>
          <w:rFonts w:hint="eastAsia" w:ascii="宋体" w:hAnsi="宋体" w:eastAsia="宋体" w:cs="宋体"/>
          <w:snapToGrid w:val="0"/>
          <w:color w:val="auto"/>
          <w:kern w:val="0"/>
          <w:szCs w:val="21"/>
          <w:highlight w:val="none"/>
        </w:rPr>
      </w:pPr>
    </w:p>
    <w:p>
      <w:pPr>
        <w:spacing w:line="360" w:lineRule="auto"/>
        <w:jc w:val="right"/>
        <w:rPr>
          <w:rFonts w:hint="eastAsia" w:ascii="宋体" w:hAnsi="宋体" w:eastAsia="宋体" w:cs="宋体"/>
          <w:snapToGrid w:val="0"/>
          <w:color w:val="auto"/>
          <w:kern w:val="0"/>
          <w:szCs w:val="21"/>
          <w:highlight w:val="none"/>
        </w:rPr>
      </w:pPr>
    </w:p>
    <w:p>
      <w:pPr>
        <w:spacing w:line="360" w:lineRule="auto"/>
        <w:jc w:val="righ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签约时间：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bookmarkEnd w:id="143"/>
    </w:p>
    <w:p>
      <w:pPr>
        <w:rPr>
          <w:rFonts w:hint="eastAsia" w:ascii="宋体" w:hAnsi="宋体" w:eastAsia="宋体" w:cs="宋体"/>
          <w:color w:val="auto"/>
          <w:sz w:val="44"/>
          <w:szCs w:val="44"/>
          <w:highlight w:val="none"/>
        </w:rPr>
      </w:pPr>
      <w:bookmarkStart w:id="144" w:name="_Toc532375586"/>
      <w:bookmarkStart w:id="145" w:name="_Toc529388289"/>
      <w:bookmarkStart w:id="146" w:name="_Toc9975"/>
      <w:bookmarkStart w:id="147" w:name="_Toc532377179"/>
      <w:r>
        <w:rPr>
          <w:rFonts w:hint="eastAsia" w:ascii="宋体" w:hAnsi="宋体" w:eastAsia="宋体" w:cs="宋体"/>
          <w:color w:val="auto"/>
          <w:sz w:val="44"/>
          <w:szCs w:val="44"/>
          <w:highlight w:val="none"/>
        </w:rPr>
        <w:br w:type="page"/>
      </w:r>
    </w:p>
    <w:p>
      <w:pPr>
        <w:pStyle w:val="5"/>
        <w:jc w:val="center"/>
        <w:rPr>
          <w:rFonts w:hint="eastAsia" w:ascii="宋体" w:hAnsi="宋体" w:eastAsia="宋体" w:cs="宋体"/>
          <w:bCs w:val="0"/>
          <w:color w:val="auto"/>
          <w:sz w:val="21"/>
          <w:szCs w:val="21"/>
          <w:highlight w:val="none"/>
        </w:rPr>
      </w:pPr>
      <w:r>
        <w:rPr>
          <w:rFonts w:hint="eastAsia" w:ascii="宋体" w:hAnsi="宋体" w:eastAsia="宋体" w:cs="宋体"/>
          <w:color w:val="auto"/>
          <w:sz w:val="44"/>
          <w:szCs w:val="44"/>
          <w:highlight w:val="none"/>
        </w:rPr>
        <w:t>第二部分 通用合同条款</w:t>
      </w:r>
      <w:bookmarkEnd w:id="144"/>
      <w:bookmarkEnd w:id="145"/>
      <w:bookmarkEnd w:id="146"/>
      <w:bookmarkEnd w:id="147"/>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148" w:name="_Toc532377180"/>
      <w:bookmarkStart w:id="149" w:name="_Toc532375587"/>
      <w:bookmarkStart w:id="150" w:name="_Toc351203495"/>
      <w:r>
        <w:rPr>
          <w:rFonts w:hint="eastAsia" w:ascii="宋体" w:hAnsi="宋体" w:eastAsia="宋体" w:cs="宋体"/>
          <w:color w:val="auto"/>
          <w:kern w:val="2"/>
          <w:sz w:val="28"/>
          <w:szCs w:val="28"/>
          <w:highlight w:val="none"/>
        </w:rPr>
        <w:t>1.</w:t>
      </w:r>
      <w:bookmarkStart w:id="151" w:name="_Toc303538976"/>
      <w:bookmarkEnd w:id="151"/>
      <w:bookmarkStart w:id="152" w:name="_Toc303538974"/>
      <w:bookmarkEnd w:id="152"/>
      <w:bookmarkStart w:id="153" w:name="_Toc303538973"/>
      <w:bookmarkEnd w:id="153"/>
      <w:bookmarkStart w:id="154" w:name="_Toc303538972"/>
      <w:bookmarkEnd w:id="154"/>
      <w:bookmarkStart w:id="155" w:name="_Toc303538975"/>
      <w:bookmarkEnd w:id="155"/>
      <w:bookmarkStart w:id="156" w:name="_Toc296346528"/>
      <w:bookmarkStart w:id="157" w:name="_Toc296503027"/>
      <w:r>
        <w:rPr>
          <w:rFonts w:hint="eastAsia" w:ascii="宋体" w:hAnsi="宋体" w:eastAsia="宋体" w:cs="宋体"/>
          <w:color w:val="auto"/>
          <w:kern w:val="2"/>
          <w:sz w:val="28"/>
          <w:szCs w:val="28"/>
          <w:highlight w:val="none"/>
        </w:rPr>
        <w:t>一般约定</w:t>
      </w:r>
      <w:bookmarkEnd w:id="148"/>
      <w:bookmarkEnd w:id="149"/>
      <w:bookmarkEnd w:id="150"/>
      <w:bookmarkEnd w:id="156"/>
      <w:bookmarkEnd w:id="157"/>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58" w:name="_Toc337558728"/>
      <w:bookmarkStart w:id="159" w:name="_Toc296503028"/>
      <w:bookmarkStart w:id="160" w:name="_Toc296346529"/>
      <w:bookmarkStart w:id="161" w:name="_Toc351203496"/>
      <w:bookmarkStart w:id="162" w:name="_Toc532377181"/>
      <w:r>
        <w:rPr>
          <w:rFonts w:hint="eastAsia" w:ascii="宋体" w:hAnsi="宋体" w:eastAsia="宋体" w:cs="宋体"/>
          <w:b/>
          <w:color w:val="auto"/>
          <w:kern w:val="2"/>
          <w:sz w:val="28"/>
          <w:szCs w:val="28"/>
          <w:highlight w:val="none"/>
          <w:lang w:val="en-US" w:eastAsia="zh-CN" w:bidi="ar-SA"/>
        </w:rPr>
        <w:t>1.1词语定义</w:t>
      </w:r>
      <w:bookmarkEnd w:id="158"/>
      <w:bookmarkEnd w:id="159"/>
      <w:bookmarkEnd w:id="160"/>
      <w:r>
        <w:rPr>
          <w:rFonts w:hint="eastAsia" w:ascii="宋体" w:hAnsi="宋体" w:eastAsia="宋体" w:cs="宋体"/>
          <w:b/>
          <w:color w:val="auto"/>
          <w:kern w:val="2"/>
          <w:sz w:val="28"/>
          <w:szCs w:val="28"/>
          <w:highlight w:val="none"/>
          <w:lang w:val="en-US" w:eastAsia="zh-CN" w:bidi="ar-SA"/>
        </w:rPr>
        <w:t>与解释</w:t>
      </w:r>
      <w:bookmarkEnd w:id="161"/>
      <w:bookmarkEnd w:id="162"/>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合同协议书、通用合同条款、专用合同条款中的下列词语具有本款所赋予的含义：</w:t>
      </w:r>
    </w:p>
    <w:p>
      <w:pPr>
        <w:pStyle w:val="7"/>
        <w:spacing w:before="0" w:beforeAutospacing="0" w:after="0" w:afterAutospacing="0" w:line="360" w:lineRule="auto"/>
        <w:ind w:left="0" w:leftChars="0" w:firstLine="560" w:firstLineChars="200"/>
        <w:rPr>
          <w:rFonts w:hint="eastAsia" w:ascii="宋体" w:hAnsi="宋体" w:eastAsia="宋体" w:cs="宋体"/>
          <w:b w:val="0"/>
          <w:color w:val="auto"/>
          <w:kern w:val="0"/>
          <w:sz w:val="28"/>
          <w:szCs w:val="21"/>
          <w:highlight w:val="none"/>
          <w:lang w:val="en-US" w:eastAsia="zh-CN" w:bidi="ar-SA"/>
        </w:rPr>
      </w:pPr>
      <w:bookmarkStart w:id="163" w:name="_Toc532377182"/>
      <w:r>
        <w:rPr>
          <w:rFonts w:hint="eastAsia" w:ascii="宋体" w:hAnsi="宋体" w:eastAsia="宋体" w:cs="宋体"/>
          <w:b w:val="0"/>
          <w:color w:val="auto"/>
          <w:kern w:val="0"/>
          <w:sz w:val="28"/>
          <w:szCs w:val="21"/>
          <w:highlight w:val="none"/>
          <w:lang w:val="en-US" w:eastAsia="zh-CN" w:bidi="ar-SA"/>
        </w:rPr>
        <w:t>1.1.1 合同</w:t>
      </w:r>
      <w:bookmarkEnd w:id="163"/>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 合同：是指根据法律规定和合同当事人约定具有约束力的文件，构成合同的文件包括合同协议书、</w:t>
      </w:r>
      <w:r>
        <w:rPr>
          <w:rFonts w:hint="eastAsia" w:ascii="宋体" w:hAnsi="宋体" w:cs="宋体"/>
          <w:color w:val="auto"/>
          <w:kern w:val="0"/>
          <w:szCs w:val="21"/>
          <w:highlight w:val="none"/>
          <w:lang w:eastAsia="zh-CN"/>
        </w:rPr>
        <w:t>成交通知书</w:t>
      </w:r>
      <w:r>
        <w:rPr>
          <w:rFonts w:hint="eastAsia" w:ascii="宋体" w:hAnsi="宋体" w:eastAsia="宋体" w:cs="宋体"/>
          <w:color w:val="auto"/>
          <w:kern w:val="0"/>
          <w:szCs w:val="21"/>
          <w:highlight w:val="none"/>
        </w:rPr>
        <w:t>（如有）、投标函及其附录（如有）、专用合同条款</w:t>
      </w:r>
      <w:r>
        <w:rPr>
          <w:rFonts w:hint="eastAsia" w:ascii="宋体" w:hAnsi="宋体" w:eastAsia="宋体" w:cs="宋体"/>
          <w:color w:val="auto"/>
          <w:szCs w:val="21"/>
          <w:highlight w:val="none"/>
        </w:rPr>
        <w:t>及其附件</w:t>
      </w:r>
      <w:r>
        <w:rPr>
          <w:rFonts w:hint="eastAsia" w:ascii="宋体" w:hAnsi="宋体" w:eastAsia="宋体" w:cs="宋体"/>
          <w:color w:val="auto"/>
          <w:kern w:val="0"/>
          <w:szCs w:val="21"/>
          <w:highlight w:val="none"/>
        </w:rPr>
        <w:t>、通用合同条款、技术标准和要求、图纸、已标价工程量清单或预算书以及其他合同文件。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1.1.1.2 合同协议书：是指构成合同的由发包人和承包人共同签署的称为“合同协议书”的书面文件。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1.1.1.3 </w:t>
      </w:r>
      <w:r>
        <w:rPr>
          <w:rFonts w:hint="eastAsia" w:ascii="宋体" w:hAnsi="宋体" w:cs="宋体"/>
          <w:color w:val="auto"/>
          <w:kern w:val="0"/>
          <w:szCs w:val="21"/>
          <w:highlight w:val="none"/>
          <w:lang w:eastAsia="zh-CN"/>
        </w:rPr>
        <w:t>成交通知书</w:t>
      </w:r>
      <w:r>
        <w:rPr>
          <w:rFonts w:hint="eastAsia" w:ascii="宋体" w:hAnsi="宋体" w:eastAsia="宋体" w:cs="宋体"/>
          <w:color w:val="auto"/>
          <w:kern w:val="0"/>
          <w:szCs w:val="21"/>
          <w:highlight w:val="none"/>
        </w:rPr>
        <w:t>：是指构成合同的由发包人通知承包人</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的书面文件。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1.1.1.4 投标函（如有）：是指构成合同的由承包人填写并签署的用于投标的称为“投标函”的文件。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1.1.1.5 投标函附录（如有）：是指构成合同的附在投标函后的称为“投标函附录”的文件。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1.1.1.6 技术标准和要求：是指构成合同的施工应当遵守的或指导施工的国家、行业或地方的技术标准和要求，以及合同约定的技术标准和要求。</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1.1.1.7 图纸：是指构成合同的图纸，包括由发包人按照合同约定提供或经发包人批准的设计文件、施工图、鸟瞰图及模型等，以及在合同履行过程中形成的图纸文件。图纸应当按照法律规定审查合格。</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1.1.1.8 已标价工程量清单：是指构成合同的由承包人按照规定的格式和要求填写并标明价格的工程量清单，包括说明和表格。</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1.1.1.9 预算书：是指构成合同的由承包人按照发包人规定的格式和要求编制的工程预算文件。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1.1.1.10 其他合同文件：是指经合同当事人约定的与工程施工有关的具有合同约束力的文件或书面协议。合同当事人可以在专用合同条款中进行约定。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 合同当事人及其他相关方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1.1.2.1 合同当事人：是指发包人和（或）承包人。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1.1.2.2 发包人：是指与承包人签订合同协议书的当事人及取得该当事人资格的合法继承人。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1.1.2.3 承包人：是指与发包人签订合同协议书的，具有相应工程施工承包资质的当事人及取得该当事人资格的合法继承人。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1.1.2.4 监理人：是指在专用合同条款中指明的，受发包人委托按照法律规定进行工程监督管理的法人或其他组织。</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1.1.2.5 设计人：是指在专用合同条款中指明的，受发包人委托负责工程设计并具备相应工程设计资质的法人或其他组织。</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1.1.2.6 分包人：</w:t>
      </w:r>
      <w:bookmarkStart w:id="164" w:name="#go5"/>
      <w:bookmarkEnd w:id="164"/>
      <w:r>
        <w:rPr>
          <w:rFonts w:hint="eastAsia" w:ascii="宋体" w:hAnsi="宋体" w:eastAsia="宋体" w:cs="宋体"/>
          <w:color w:val="auto"/>
          <w:kern w:val="0"/>
          <w:szCs w:val="21"/>
          <w:highlight w:val="none"/>
        </w:rPr>
        <w:t>是指按照法律规定和合同约定，分包部分工程或工作，并与承包人签订分包合同的具有相应资质的法人。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1.1.2.7 发包人代表：是指由发包人任命并派驻施工现场在发包人授权范围内行使发包人权利的人。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1.1.2.8 项目经理：是指由承包人任命并派驻施工现场，在承包人授权范围内负责合同履行，且按照法律规定具有相应资格的项目负责人。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1.1.2.9 总监理工程师：是指由监理人任命并派驻施工现场进行工程监理的总负责人。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 工程和设备</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1.1.3.1 工程：是指与合同协议书中工程承包范围对应的永久工程和（或）临时工程。</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1.1.3.2 永久工程：是指按合同约定建造并移交给发包人的工程，包括工程设备。</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1.1.3.3 临时工程：是指为完成合同约定的永久工程所修建的各类临时性工程，不包括施工设备。</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1.1.3.4 单位工程：是指在合同协议书中指明的，具备独立施工条件并能形成独立使用功能的永久工程。</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1.1.3.5 工程设备：是指构成永久工程的机电设备、金属结构设备、仪器及其他类似的设备和装置。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1.1.3.6 施工设备：是指为完成合同约定的各项工作所需的设备、器具和其他物品，但不包括工程设备、临时工程和材料。</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1.1.3.7 施工现场：是指用于工程施工的场所，以及在专用合同条款中指明作为施工场所组成部分的其他场所，包括永久占地和临时占地。</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1.1.3.8临时设施：是指为完成合同约定的各项工作所服务的临时性生产和生活设施。</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1.1.3.9 永久占地：是指专用合同条款中指明为实施工程需永久占用的土地。</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1.1.3.10 临时占地：是指专用合同条款中指明为实施工程需要临时占用的土地。</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日期和期限</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1.1.4.2 竣工日期：包括计划竣工日期和实际竣工日期。计划竣工日期是指合同协议书约定的竣工日期；实际竣工日期按照第13.2.3项〔竣工日期〕的约定确定。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1.1.4.3 工期：是指在合同协议书约定的承包人完成工程所需的期限，包括按照合同约定所作的期限变更。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1.1.4.4 缺陷责任期：是指承包人按照合同约定承担缺陷修复义务，且发包人预留质量保证金（已缴纳履约保证金的除外）的期限，自工程实际竣工日期起计算。</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1.1.4.5 保修期：是指承包人按照合同约定对工程承担保修责任的期限，从工程竣工验收合格之日起计算。</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1.1.4.6 基准日期：招标发包的工程以投标截止日前28天的日期为基准日期，直接发包的工程以合同签订日前28天的日期为基准日期。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1.1.4.7 天：除特别指明外，均指日历天。合同中按天计算时间的，开始当天不计入，从次日开始计算，期限最后一天的截止时间为当天24：00时。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 合同价格和费用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1.1.5.1 签约合同价：是指</w:t>
      </w:r>
      <w:r>
        <w:rPr>
          <w:rFonts w:hint="eastAsia" w:ascii="宋体" w:hAnsi="宋体" w:eastAsia="宋体" w:cs="宋体"/>
          <w:color w:val="auto"/>
          <w:szCs w:val="21"/>
          <w:highlight w:val="none"/>
        </w:rPr>
        <w:t>发包人和承包人在合同协议书中确定的总金额，包括安全文明施工费、暂估价及暂列金额等。</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1.1.5.2 合同价格：是指发包人用于支付承包人按照合同约定完成承包范围内全部工作的金额，包括合同履行过程中按合同约定发生的价格变化。</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1.1.5.3 费用：是指为履行合同所发生的或将要发生的所有必需的开支，包括管理费和应分摊的其他费用，但不包括利润。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1.1.5.4 暂估价：是指发包人在工程量清单或预算书中提供的用于支付必然发生但暂时不能确定价格的材料、工程设备的单价、专业工程以及服务工作的金额。</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1.1.5.6 计日工：是指合同履行过程中，承包人完成发包人提出的零星工作或需要采用计日工计价的变更工作时，按合同中约定的单价计价的一种方式。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1.1.5.7 质量保证金</w:t>
      </w:r>
      <w:bookmarkStart w:id="165" w:name="#go2"/>
      <w:bookmarkEnd w:id="165"/>
      <w:r>
        <w:rPr>
          <w:rFonts w:hint="eastAsia" w:ascii="宋体" w:hAnsi="宋体" w:eastAsia="宋体" w:cs="宋体"/>
          <w:color w:val="auto"/>
          <w:kern w:val="0"/>
          <w:szCs w:val="21"/>
          <w:highlight w:val="none"/>
        </w:rPr>
        <w:t>：是指按照第15.3款〔质量保证金〕约定承包人用于保证其在缺陷责任期内履行缺陷修补义务的担保</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1.1.5.8 总价项目：是指在现行国家、行业以及地方的计量规则中无工程量计算规则，在已标价工程量清单或预算书中以总价或以费率形式计算的项目。</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其他</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1.1.6.1 书面形式：是指合同文件、信函、电报、传真等可以有形地表现所载内容的形式。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66" w:name="_Toc532377183"/>
      <w:r>
        <w:rPr>
          <w:rFonts w:hint="eastAsia" w:ascii="宋体" w:hAnsi="宋体" w:eastAsia="宋体" w:cs="宋体"/>
          <w:b/>
          <w:color w:val="auto"/>
          <w:kern w:val="2"/>
          <w:sz w:val="28"/>
          <w:szCs w:val="28"/>
          <w:highlight w:val="none"/>
          <w:lang w:val="en-US" w:eastAsia="zh-CN" w:bidi="ar-SA"/>
        </w:rPr>
        <w:t>1.2 语言文字</w:t>
      </w:r>
      <w:bookmarkEnd w:id="166"/>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合同以中国的汉语简体文字编写、解释和说明。合同当事人在专用合同条款中约定使用两种以上语言时，汉语为优先解释和说明合同的语言。</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67" w:name="_Toc296346531"/>
      <w:bookmarkStart w:id="168" w:name="_Toc337558730"/>
      <w:bookmarkStart w:id="169" w:name="_Toc296503030"/>
      <w:bookmarkStart w:id="170" w:name="_Toc532377184"/>
      <w:bookmarkStart w:id="171" w:name="_Toc351203498"/>
      <w:r>
        <w:rPr>
          <w:rFonts w:hint="eastAsia" w:ascii="宋体" w:hAnsi="宋体" w:eastAsia="宋体" w:cs="宋体"/>
          <w:b/>
          <w:color w:val="auto"/>
          <w:kern w:val="2"/>
          <w:sz w:val="28"/>
          <w:szCs w:val="28"/>
          <w:highlight w:val="none"/>
          <w:lang w:val="en-US" w:eastAsia="zh-CN" w:bidi="ar-SA"/>
        </w:rPr>
        <w:t>1.3法律</w:t>
      </w:r>
      <w:bookmarkEnd w:id="167"/>
      <w:bookmarkEnd w:id="168"/>
      <w:bookmarkEnd w:id="169"/>
      <w:bookmarkEnd w:id="170"/>
      <w:bookmarkEnd w:id="171"/>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合同所称法律是指中华人民共和国法律、行政法规、部门规章，以及工程所在地的地方性法规、自治条例、单行条例和地方政府规章等。</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合同当事人可以在专用合同条款中约定合同适用的其他规范性文件。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72" w:name="_Toc532377185"/>
      <w:bookmarkStart w:id="173" w:name="_Toc351203499"/>
      <w:r>
        <w:rPr>
          <w:rFonts w:hint="eastAsia" w:ascii="宋体" w:hAnsi="宋体" w:eastAsia="宋体" w:cs="宋体"/>
          <w:b/>
          <w:color w:val="auto"/>
          <w:kern w:val="2"/>
          <w:sz w:val="28"/>
          <w:szCs w:val="28"/>
          <w:highlight w:val="none"/>
          <w:lang w:val="en-US" w:eastAsia="zh-CN" w:bidi="ar-SA"/>
        </w:rPr>
        <w:t>1.4 标准和规范</w:t>
      </w:r>
      <w:bookmarkEnd w:id="172"/>
      <w:bookmarkEnd w:id="173"/>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1.4.1 适用于工程的国家标准、行业标准、工程所在地的地方性标准，以及相应的规范、规程等，合同当事人有特别要求的，应在专用合同条款中约定。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发包人要求使用国外标准、规范的，发包人负责提供原文版本和中文译本，并在专用合同条款中约定提供标准规范的名称、份数和时间。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74" w:name="_Toc532377186"/>
      <w:bookmarkStart w:id="175" w:name="_Toc351203500"/>
      <w:r>
        <w:rPr>
          <w:rFonts w:hint="eastAsia" w:ascii="宋体" w:hAnsi="宋体" w:eastAsia="宋体" w:cs="宋体"/>
          <w:b/>
          <w:color w:val="auto"/>
          <w:kern w:val="2"/>
          <w:sz w:val="28"/>
          <w:szCs w:val="28"/>
          <w:highlight w:val="none"/>
          <w:lang w:val="en-US" w:eastAsia="zh-CN" w:bidi="ar-SA"/>
        </w:rPr>
        <w:t>1</w:t>
      </w:r>
      <w:bookmarkStart w:id="176" w:name="_Toc337558731"/>
      <w:bookmarkStart w:id="177" w:name="_Toc296346532"/>
      <w:bookmarkStart w:id="178" w:name="_Toc296503031"/>
      <w:r>
        <w:rPr>
          <w:rFonts w:hint="eastAsia" w:ascii="宋体" w:hAnsi="宋体" w:eastAsia="宋体" w:cs="宋体"/>
          <w:b/>
          <w:color w:val="auto"/>
          <w:kern w:val="2"/>
          <w:sz w:val="28"/>
          <w:szCs w:val="28"/>
          <w:highlight w:val="none"/>
          <w:lang w:val="en-US" w:eastAsia="zh-CN" w:bidi="ar-SA"/>
        </w:rPr>
        <w:t>.5 合同文件的优先顺序</w:t>
      </w:r>
      <w:bookmarkEnd w:id="174"/>
      <w:bookmarkEnd w:id="175"/>
    </w:p>
    <w:bookmarkEnd w:id="176"/>
    <w:bookmarkEnd w:id="177"/>
    <w:bookmarkEnd w:id="178"/>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组成合同的各项文件应互相解释，互为说明。除专用合同条款另有约定外，解释合同文件的优先顺序如下：</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（1）合同协议书；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（3）投标函及其附录（如有）；</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（4）专用合同条款及其附件；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（5）通用合同条款；</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（6）技术标准和要求；</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（7）图纸；</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（8）已标价工程量清单或预算书；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（9）其他合同文件。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上述各项合同文件包括合同当事人就该项合同文件所作出的补充和修改，属于同一类内容的文件，应以最新签署的为准。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在合同订立及履行过程中形成的与合同有关的文件均构成合同文件组成部分，并根据其性质确定优先解释顺序。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79" w:name="_Toc532377187"/>
      <w:bookmarkStart w:id="180" w:name="_Toc351203501"/>
      <w:r>
        <w:rPr>
          <w:rFonts w:hint="eastAsia" w:ascii="宋体" w:hAnsi="宋体" w:eastAsia="宋体" w:cs="宋体"/>
          <w:b/>
          <w:color w:val="auto"/>
          <w:kern w:val="2"/>
          <w:sz w:val="28"/>
          <w:szCs w:val="28"/>
          <w:highlight w:val="none"/>
          <w:lang w:val="en-US" w:eastAsia="zh-CN" w:bidi="ar-SA"/>
        </w:rPr>
        <w:t>1</w:t>
      </w:r>
      <w:bookmarkStart w:id="181" w:name="_Toc296346533"/>
      <w:bookmarkStart w:id="182" w:name="_Toc337558732"/>
      <w:bookmarkStart w:id="183" w:name="_Toc296503032"/>
      <w:r>
        <w:rPr>
          <w:rFonts w:hint="eastAsia" w:ascii="宋体" w:hAnsi="宋体" w:eastAsia="宋体" w:cs="宋体"/>
          <w:b/>
          <w:color w:val="auto"/>
          <w:kern w:val="2"/>
          <w:sz w:val="28"/>
          <w:szCs w:val="28"/>
          <w:highlight w:val="none"/>
          <w:lang w:val="en-US" w:eastAsia="zh-CN" w:bidi="ar-SA"/>
        </w:rPr>
        <w:t>.6图纸和承包人文件</w:t>
      </w:r>
      <w:bookmarkEnd w:id="179"/>
      <w:bookmarkEnd w:id="180"/>
    </w:p>
    <w:bookmarkEnd w:id="181"/>
    <w:bookmarkEnd w:id="182"/>
    <w:bookmarkEnd w:id="183"/>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 图纸的提供和交底</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因发包人未按合同约定提供图纸导致承包人费用增加和（或）工期延误的，按照第7.5.1项〔因发包人原因导致工期延误〕约定办理。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 图纸的错误</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1.6.3 图纸的修改和补充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图纸需要修改和补充的，应经图纸原设计人及审批部门同意，并由监理人在工程或工程相应部位施工前将修改后的图纸或补充图纸提交给承包人，承包人应按修改或补充后的图纸施工。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1.6.4 承包人文件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承包人应按照专用合同条款的约定提供应当由其编制的与工程施工有关的文件，并按照专用合同条款约定的期限、数量和形式提交监理人，并由监理人报送发包人。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1.6.5 图纸和承包人文件的保管</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除专用合同条款另有约定外，承包人应在施工现场另外保存一套完整的图纸和承包人文件，供发包人、监理人及有关人员进行工程检查时使用。</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84" w:name="_Toc532377188"/>
      <w:bookmarkStart w:id="185" w:name="_Toc351203502"/>
      <w:r>
        <w:rPr>
          <w:rFonts w:hint="eastAsia" w:ascii="宋体" w:hAnsi="宋体" w:eastAsia="宋体" w:cs="宋体"/>
          <w:b/>
          <w:color w:val="auto"/>
          <w:kern w:val="2"/>
          <w:sz w:val="28"/>
          <w:szCs w:val="28"/>
          <w:highlight w:val="none"/>
          <w:lang w:val="en-US" w:eastAsia="zh-CN" w:bidi="ar-SA"/>
        </w:rPr>
        <w:t>1</w:t>
      </w:r>
      <w:bookmarkStart w:id="186" w:name="_Toc296503033"/>
      <w:bookmarkStart w:id="187" w:name="_Toc296346534"/>
      <w:bookmarkStart w:id="188" w:name="_Toc337558733"/>
      <w:r>
        <w:rPr>
          <w:rFonts w:hint="eastAsia" w:ascii="宋体" w:hAnsi="宋体" w:eastAsia="宋体" w:cs="宋体"/>
          <w:b/>
          <w:color w:val="auto"/>
          <w:kern w:val="2"/>
          <w:sz w:val="28"/>
          <w:szCs w:val="28"/>
          <w:highlight w:val="none"/>
          <w:lang w:val="en-US" w:eastAsia="zh-CN" w:bidi="ar-SA"/>
        </w:rPr>
        <w:t>.7联络</w:t>
      </w:r>
      <w:bookmarkEnd w:id="184"/>
      <w:bookmarkEnd w:id="185"/>
    </w:p>
    <w:bookmarkEnd w:id="186"/>
    <w:bookmarkEnd w:id="187"/>
    <w:bookmarkEnd w:id="18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与合同有关的通知、批准、证明、证书、指示、指令、要求、请求、同意、意见、确定和决定等，均应采用书面形式，并应在合同约定的期限内送达接收人和送达地点。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发包人和承包人应在专用合同条款中约定各自的送达接收人和送达地点。任何一方合同当事人指定的接收人或送达地点发生变动的，应提前3天以书面形式通知对方。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 发包人和承包人应当及时签收另一方送达至送达地点和指定接收人的来往信函。拒不签收的，由此增加的费用和（或）延误的工期由拒绝接收一方承担。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89" w:name="_Toc532377189"/>
      <w:bookmarkStart w:id="190" w:name="_Toc351203503"/>
      <w:r>
        <w:rPr>
          <w:rFonts w:hint="eastAsia" w:ascii="宋体" w:hAnsi="宋体" w:eastAsia="宋体" w:cs="宋体"/>
          <w:b/>
          <w:color w:val="auto"/>
          <w:kern w:val="2"/>
          <w:sz w:val="28"/>
          <w:szCs w:val="28"/>
          <w:highlight w:val="none"/>
          <w:lang w:val="en-US" w:eastAsia="zh-CN" w:bidi="ar-SA"/>
        </w:rPr>
        <w:t>1</w:t>
      </w:r>
      <w:bookmarkStart w:id="191" w:name="_Toc337558734"/>
      <w:bookmarkStart w:id="192" w:name="_Toc296346536"/>
      <w:bookmarkStart w:id="193" w:name="_Toc296503035"/>
      <w:r>
        <w:rPr>
          <w:rFonts w:hint="eastAsia" w:ascii="宋体" w:hAnsi="宋体" w:eastAsia="宋体" w:cs="宋体"/>
          <w:b/>
          <w:color w:val="auto"/>
          <w:kern w:val="2"/>
          <w:sz w:val="28"/>
          <w:szCs w:val="28"/>
          <w:highlight w:val="none"/>
          <w:lang w:val="en-US" w:eastAsia="zh-CN" w:bidi="ar-SA"/>
        </w:rPr>
        <w:t>.8严禁贿赂</w:t>
      </w:r>
      <w:bookmarkEnd w:id="189"/>
      <w:bookmarkEnd w:id="190"/>
    </w:p>
    <w:bookmarkEnd w:id="191"/>
    <w:bookmarkEnd w:id="192"/>
    <w:bookmarkEnd w:id="193"/>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合同当事人不得以贿赂或变相贿赂的方式，谋取非法利益或损害对方权益。因一方合同当事人的贿赂造成对方损失的，应赔偿损失，并承担相应的法律责任。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承包人不得与监理人或发包人聘请的第三方串通损害发包人利益。未经发包人书面同意，承包人不得为监理人提供合同约定以外的通讯设备、交通工具及其他任何形式的利益，不得向监理人支付报酬。</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94" w:name="_Toc351203504"/>
      <w:bookmarkStart w:id="195" w:name="_Toc532377190"/>
      <w:r>
        <w:rPr>
          <w:rFonts w:hint="eastAsia" w:ascii="宋体" w:hAnsi="宋体" w:eastAsia="宋体" w:cs="宋体"/>
          <w:b/>
          <w:color w:val="auto"/>
          <w:kern w:val="2"/>
          <w:sz w:val="28"/>
          <w:szCs w:val="28"/>
          <w:highlight w:val="none"/>
          <w:lang w:val="en-US" w:eastAsia="zh-CN" w:bidi="ar-SA"/>
        </w:rPr>
        <w:t>1</w:t>
      </w:r>
      <w:bookmarkStart w:id="196" w:name="_Toc337558735"/>
      <w:bookmarkStart w:id="197" w:name="_Toc296346537"/>
      <w:bookmarkStart w:id="198" w:name="_Toc296503036"/>
      <w:r>
        <w:rPr>
          <w:rFonts w:hint="eastAsia" w:ascii="宋体" w:hAnsi="宋体" w:eastAsia="宋体" w:cs="宋体"/>
          <w:b/>
          <w:color w:val="auto"/>
          <w:kern w:val="2"/>
          <w:sz w:val="28"/>
          <w:szCs w:val="28"/>
          <w:highlight w:val="none"/>
          <w:lang w:val="en-US" w:eastAsia="zh-CN" w:bidi="ar-SA"/>
        </w:rPr>
        <w:t>.9化石、文物</w:t>
      </w:r>
      <w:bookmarkEnd w:id="194"/>
      <w:bookmarkEnd w:id="195"/>
    </w:p>
    <w:bookmarkEnd w:id="196"/>
    <w:bookmarkEnd w:id="197"/>
    <w:bookmarkEnd w:id="19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发包人、监理人和承包人应按有关政府行政管理部门要求采取妥善的保护措施，由此增加的费用和（或）延误的工期由发包人承担。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承包人发现文物后不及时报告或隐瞒不报，致使文物丢失或损坏的，应赔偿损失，并承担相应的法律责任。</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99" w:name="_Toc532377191"/>
      <w:bookmarkStart w:id="200" w:name="_Toc351203505"/>
      <w:r>
        <w:rPr>
          <w:rFonts w:hint="eastAsia" w:ascii="宋体" w:hAnsi="宋体" w:eastAsia="宋体" w:cs="宋体"/>
          <w:b/>
          <w:color w:val="auto"/>
          <w:kern w:val="2"/>
          <w:sz w:val="28"/>
          <w:szCs w:val="28"/>
          <w:highlight w:val="none"/>
          <w:lang w:val="en-US" w:eastAsia="zh-CN" w:bidi="ar-SA"/>
        </w:rPr>
        <w:t>1</w:t>
      </w:r>
      <w:bookmarkStart w:id="201" w:name="_Toc337558736"/>
      <w:r>
        <w:rPr>
          <w:rFonts w:hint="eastAsia" w:ascii="宋体" w:hAnsi="宋体" w:eastAsia="宋体" w:cs="宋体"/>
          <w:b/>
          <w:color w:val="auto"/>
          <w:kern w:val="2"/>
          <w:sz w:val="28"/>
          <w:szCs w:val="28"/>
          <w:highlight w:val="none"/>
          <w:lang w:val="en-US" w:eastAsia="zh-CN" w:bidi="ar-SA"/>
        </w:rPr>
        <w:t>.10交通运输</w:t>
      </w:r>
      <w:bookmarkEnd w:id="199"/>
      <w:bookmarkEnd w:id="200"/>
    </w:p>
    <w:bookmarkEnd w:id="201"/>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1.10.1 出入现场的权利</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承包人应在订立合同前查勘施工现场，并根据工程规模及技术参数合理预见工程施工所需的进出施工现场的方式、手段、路径等。因承包人未合理预见所增加的费用和（或）延误的工期由承包人承担。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1.10.2 场外交通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1.10.3场内交通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场外交通和场内交通的边界由合同当事人在专用合同条款中约定。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1.10.4 超大件和超重件的运输</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1.10.5 道路和桥梁的损坏责任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因承包人运输造成施工场地内外公共道路和桥梁损坏的，由承包人承担修复损坏的全部费用和可能引起的赔偿。</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1.10.6 水路和航空运输</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本款前述各项的内容适用于水路运输和航空运输，其中“道路”一词的涵义包括河道、航线、船闸、机场、码头、堤防以及水路或航空运输中其他相似结构物；“车辆”一词的涵义包括船舶和飞机等。</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02" w:name="_Toc532377192"/>
      <w:bookmarkStart w:id="203" w:name="_Toc351203506"/>
      <w:r>
        <w:rPr>
          <w:rFonts w:hint="eastAsia" w:ascii="宋体" w:hAnsi="宋体" w:eastAsia="宋体" w:cs="宋体"/>
          <w:b/>
          <w:color w:val="auto"/>
          <w:kern w:val="2"/>
          <w:sz w:val="28"/>
          <w:szCs w:val="28"/>
          <w:highlight w:val="none"/>
          <w:lang w:val="en-US" w:eastAsia="zh-CN" w:bidi="ar-SA"/>
        </w:rPr>
        <w:t>1</w:t>
      </w:r>
      <w:bookmarkStart w:id="204" w:name="_Toc337558737"/>
      <w:bookmarkStart w:id="205" w:name="_Toc296503037"/>
      <w:bookmarkStart w:id="206" w:name="_Toc296346538"/>
      <w:r>
        <w:rPr>
          <w:rFonts w:hint="eastAsia" w:ascii="宋体" w:hAnsi="宋体" w:eastAsia="宋体" w:cs="宋体"/>
          <w:b/>
          <w:color w:val="auto"/>
          <w:kern w:val="2"/>
          <w:sz w:val="28"/>
          <w:szCs w:val="28"/>
          <w:highlight w:val="none"/>
          <w:lang w:val="en-US" w:eastAsia="zh-CN" w:bidi="ar-SA"/>
        </w:rPr>
        <w:t>.11知识产权</w:t>
      </w:r>
      <w:bookmarkEnd w:id="202"/>
      <w:bookmarkEnd w:id="203"/>
      <w:bookmarkEnd w:id="204"/>
    </w:p>
    <w:bookmarkEnd w:id="205"/>
    <w:bookmarkEnd w:id="206"/>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1.11.4 除专用合同条款另有约定外，承包人在合同签订前和签订时已确定采用的专利、专有技术、技术秘密的使用费已包含在签约合同价中。</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07" w:name="_Toc532377193"/>
      <w:bookmarkStart w:id="208" w:name="_Toc351203507"/>
      <w:r>
        <w:rPr>
          <w:rFonts w:hint="eastAsia" w:ascii="宋体" w:hAnsi="宋体" w:eastAsia="宋体" w:cs="宋体"/>
          <w:b/>
          <w:color w:val="auto"/>
          <w:kern w:val="2"/>
          <w:sz w:val="28"/>
          <w:szCs w:val="28"/>
          <w:highlight w:val="none"/>
          <w:lang w:val="en-US" w:eastAsia="zh-CN" w:bidi="ar-SA"/>
        </w:rPr>
        <w:t>1</w:t>
      </w:r>
      <w:bookmarkStart w:id="209" w:name="_Toc337558738"/>
      <w:r>
        <w:rPr>
          <w:rFonts w:hint="eastAsia" w:ascii="宋体" w:hAnsi="宋体" w:eastAsia="宋体" w:cs="宋体"/>
          <w:b/>
          <w:color w:val="auto"/>
          <w:kern w:val="2"/>
          <w:sz w:val="28"/>
          <w:szCs w:val="28"/>
          <w:highlight w:val="none"/>
          <w:lang w:val="en-US" w:eastAsia="zh-CN" w:bidi="ar-SA"/>
        </w:rPr>
        <w:t>.12保密</w:t>
      </w:r>
      <w:bookmarkEnd w:id="207"/>
      <w:bookmarkEnd w:id="208"/>
    </w:p>
    <w:bookmarkEnd w:id="20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除法律规定或合同另有约定外，未经发包人同意，承包人不得将发包人提供的图纸、文件以及声明需要保密的资料信息等商业秘密泄露给第三方。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除法律规定或合同另有约定外，未经承包人同意，发包人不得将承包人提供的技术秘密及声明需要保密的资料信息等商业秘密泄露给第三方。</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10" w:name="_Toc532377194"/>
      <w:bookmarkStart w:id="211" w:name="_Toc351203508"/>
      <w:r>
        <w:rPr>
          <w:rFonts w:hint="eastAsia" w:ascii="宋体" w:hAnsi="宋体" w:eastAsia="宋体" w:cs="宋体"/>
          <w:b/>
          <w:color w:val="auto"/>
          <w:kern w:val="2"/>
          <w:sz w:val="28"/>
          <w:szCs w:val="28"/>
          <w:highlight w:val="none"/>
          <w:lang w:val="en-US" w:eastAsia="zh-CN" w:bidi="ar-SA"/>
        </w:rPr>
        <w:t>1.13工程量清单错误的修正</w:t>
      </w:r>
      <w:bookmarkEnd w:id="210"/>
      <w:bookmarkEnd w:id="211"/>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除专用合同条款另有约定外，发包人提供的工程量清单，应被认为是准确的和完整的。出现下列情形之一时，发包人应予以修正，并相应调整合同价格：</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（1）工程量清单存在缺项、漏项的；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（2）工程量清单偏差超出专用合同条款约定的工程量偏差范围的；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（3）未按照国家现行计量规范强制性规定计量的。</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212" w:name="_Toc532375588"/>
      <w:bookmarkStart w:id="213" w:name="_Toc351203509"/>
      <w:bookmarkStart w:id="214" w:name="_Toc532377195"/>
      <w:r>
        <w:rPr>
          <w:rFonts w:hint="eastAsia" w:ascii="宋体" w:hAnsi="宋体" w:eastAsia="宋体" w:cs="宋体"/>
          <w:color w:val="auto"/>
          <w:kern w:val="2"/>
          <w:sz w:val="28"/>
          <w:szCs w:val="28"/>
          <w:highlight w:val="none"/>
        </w:rPr>
        <w:t>2</w:t>
      </w:r>
      <w:bookmarkStart w:id="215" w:name="_Toc296503038"/>
      <w:bookmarkStart w:id="216" w:name="_Toc296346539"/>
      <w:bookmarkStart w:id="217" w:name="_Toc337558739"/>
      <w:bookmarkStart w:id="218" w:name="OLE_LINK2"/>
      <w:r>
        <w:rPr>
          <w:rFonts w:hint="eastAsia" w:ascii="宋体" w:hAnsi="宋体" w:eastAsia="宋体" w:cs="宋体"/>
          <w:color w:val="auto"/>
          <w:kern w:val="2"/>
          <w:sz w:val="28"/>
          <w:szCs w:val="28"/>
          <w:highlight w:val="none"/>
        </w:rPr>
        <w:t>. 发包人</w:t>
      </w:r>
      <w:bookmarkEnd w:id="212"/>
      <w:bookmarkEnd w:id="213"/>
      <w:bookmarkEnd w:id="214"/>
    </w:p>
    <w:bookmarkEnd w:id="215"/>
    <w:bookmarkEnd w:id="216"/>
    <w:bookmarkEnd w:id="21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19" w:name="_Toc532377196"/>
      <w:bookmarkStart w:id="220" w:name="_Toc351203510"/>
      <w:r>
        <w:rPr>
          <w:rFonts w:hint="eastAsia" w:ascii="宋体" w:hAnsi="宋体" w:eastAsia="宋体" w:cs="宋体"/>
          <w:b/>
          <w:color w:val="auto"/>
          <w:kern w:val="2"/>
          <w:sz w:val="28"/>
          <w:szCs w:val="28"/>
          <w:highlight w:val="none"/>
          <w:lang w:val="en-US" w:eastAsia="zh-CN" w:bidi="ar-SA"/>
        </w:rPr>
        <w:t>2</w:t>
      </w:r>
      <w:bookmarkStart w:id="221" w:name="_Toc337558740"/>
      <w:bookmarkStart w:id="222" w:name="_Toc296503039"/>
      <w:bookmarkStart w:id="223" w:name="_Toc296346540"/>
      <w:r>
        <w:rPr>
          <w:rFonts w:hint="eastAsia" w:ascii="宋体" w:hAnsi="宋体" w:eastAsia="宋体" w:cs="宋体"/>
          <w:b/>
          <w:color w:val="auto"/>
          <w:kern w:val="2"/>
          <w:sz w:val="28"/>
          <w:szCs w:val="28"/>
          <w:highlight w:val="none"/>
          <w:lang w:val="en-US" w:eastAsia="zh-CN" w:bidi="ar-SA"/>
        </w:rPr>
        <w:t>.1 许可或批准</w:t>
      </w:r>
      <w:bookmarkEnd w:id="219"/>
      <w:bookmarkEnd w:id="220"/>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因发包人原因未能及时办理完毕前述许可、批准或备案，由发包人承担由此增加的费用和（或）延误的工期，并支付承包人合理的利润。</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24" w:name="_Toc532377197"/>
      <w:bookmarkStart w:id="225" w:name="_Toc351203511"/>
      <w:r>
        <w:rPr>
          <w:rFonts w:hint="eastAsia" w:ascii="宋体" w:hAnsi="宋体" w:eastAsia="宋体" w:cs="宋体"/>
          <w:b/>
          <w:color w:val="auto"/>
          <w:kern w:val="2"/>
          <w:sz w:val="28"/>
          <w:szCs w:val="28"/>
          <w:highlight w:val="none"/>
          <w:lang w:val="en-US" w:eastAsia="zh-CN" w:bidi="ar-SA"/>
        </w:rPr>
        <w:t>2.2 发包人代表</w:t>
      </w:r>
      <w:bookmarkEnd w:id="224"/>
      <w:bookmarkEnd w:id="225"/>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发包人代表不能按照合同约定履行其职责及义务，并导致合同无法继续正常履行的，承包人可以要求发包人撤换发包人代表。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不属于法定必须监理的工程，监理人的职权可以由发包人代表或发包人指定的其他人员行使。</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26" w:name="_Toc532377198"/>
      <w:bookmarkStart w:id="227" w:name="_Toc351203512"/>
      <w:r>
        <w:rPr>
          <w:rFonts w:hint="eastAsia" w:ascii="宋体" w:hAnsi="宋体" w:eastAsia="宋体" w:cs="宋体"/>
          <w:b/>
          <w:color w:val="auto"/>
          <w:kern w:val="2"/>
          <w:sz w:val="28"/>
          <w:szCs w:val="28"/>
          <w:highlight w:val="none"/>
          <w:lang w:val="en-US" w:eastAsia="zh-CN" w:bidi="ar-SA"/>
        </w:rPr>
        <w:t>2.3 发包人人员</w:t>
      </w:r>
      <w:bookmarkEnd w:id="226"/>
      <w:bookmarkEnd w:id="227"/>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发包人应要求在施工现场的发包人人员遵守法律及有关安全、质量、环境保护、文明施工等规定，并保障承包人免于承受因发包人人员未遵守上述要求给承包人造成的损失和责任。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发包人人员包括发包人代表及其他由发包人派驻施工现场的人员。</w:t>
      </w:r>
      <w:bookmarkEnd w:id="221"/>
      <w:bookmarkEnd w:id="222"/>
      <w:bookmarkEnd w:id="223"/>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28" w:name="_Toc532377199"/>
      <w:bookmarkStart w:id="229" w:name="_Toc351203513"/>
      <w:r>
        <w:rPr>
          <w:rFonts w:hint="eastAsia" w:ascii="宋体" w:hAnsi="宋体" w:eastAsia="宋体" w:cs="宋体"/>
          <w:b/>
          <w:color w:val="auto"/>
          <w:kern w:val="2"/>
          <w:sz w:val="28"/>
          <w:szCs w:val="28"/>
          <w:highlight w:val="none"/>
          <w:lang w:val="en-US" w:eastAsia="zh-CN" w:bidi="ar-SA"/>
        </w:rPr>
        <w:t>2</w:t>
      </w:r>
      <w:bookmarkStart w:id="230" w:name="_Toc296346541"/>
      <w:bookmarkStart w:id="231" w:name="_Toc337558741"/>
      <w:bookmarkStart w:id="232" w:name="_Toc296503040"/>
      <w:r>
        <w:rPr>
          <w:rFonts w:hint="eastAsia" w:ascii="宋体" w:hAnsi="宋体" w:eastAsia="宋体" w:cs="宋体"/>
          <w:b/>
          <w:color w:val="auto"/>
          <w:kern w:val="2"/>
          <w:sz w:val="28"/>
          <w:szCs w:val="28"/>
          <w:highlight w:val="none"/>
          <w:lang w:val="en-US" w:eastAsia="zh-CN" w:bidi="ar-SA"/>
        </w:rPr>
        <w:t>.4 施工现场、施工条件和基础资料的提供</w:t>
      </w:r>
      <w:bookmarkEnd w:id="228"/>
      <w:bookmarkEnd w:id="229"/>
      <w:bookmarkEnd w:id="230"/>
      <w:bookmarkEnd w:id="231"/>
      <w:bookmarkEnd w:id="232"/>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2.4.1 提供施工现场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w:t>
      </w:r>
      <w:bookmarkEnd w:id="218"/>
      <w:r>
        <w:rPr>
          <w:rFonts w:hint="eastAsia" w:ascii="宋体" w:hAnsi="宋体" w:eastAsia="宋体" w:cs="宋体"/>
          <w:color w:val="auto"/>
          <w:kern w:val="0"/>
          <w:szCs w:val="21"/>
          <w:highlight w:val="none"/>
        </w:rPr>
        <w:t>专用合同条款另有约定外，发包人应最迟于开工日期7天前向承包人移交施工现场。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2.4.2 提供施工条件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除专用合同条款另有约定外，发包人应负责提供施工所需要的条件，包括：</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（1）将施工用水、电力、通讯线路等施工所必需的条件接至施工现场内；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（2）保证向承包人提供正常施工所需要的进入施工现场的交通条件；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（3）协调处理施工现场周围地下管线和邻近建筑物、构筑物、古树名木的保护工作，并承担相关费用；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（4）按照专用合同条款约定应提供的其他设施和条件。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2.4.3 提供基础资料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按照法律规定确需在开工后方能提供的基础资料，发包人应尽其努力及时地在相应工程施工前的合理期限内提供，合理期限应以不影响承包人的正常施工为限。</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2.4.4 逾期提供的责任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因发包人原因未能按合同约定及时向承包人提供施工现场、施工条件、基础资料的，由发包人承担由此增加的费用和（或）延误的工期。</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33" w:name="_Toc532377200"/>
      <w:bookmarkStart w:id="234" w:name="_Toc351203514"/>
      <w:r>
        <w:rPr>
          <w:rFonts w:hint="eastAsia" w:ascii="宋体" w:hAnsi="宋体" w:eastAsia="宋体" w:cs="宋体"/>
          <w:b/>
          <w:color w:val="auto"/>
          <w:kern w:val="2"/>
          <w:sz w:val="28"/>
          <w:szCs w:val="28"/>
          <w:highlight w:val="none"/>
          <w:lang w:val="en-US" w:eastAsia="zh-CN" w:bidi="ar-SA"/>
        </w:rPr>
        <w:t>2</w:t>
      </w:r>
      <w:bookmarkStart w:id="235" w:name="_Toc337558745"/>
      <w:bookmarkStart w:id="236" w:name="_Toc296503042"/>
      <w:bookmarkStart w:id="237" w:name="_Toc296346543"/>
      <w:r>
        <w:rPr>
          <w:rFonts w:hint="eastAsia" w:ascii="宋体" w:hAnsi="宋体" w:eastAsia="宋体" w:cs="宋体"/>
          <w:b/>
          <w:color w:val="auto"/>
          <w:kern w:val="2"/>
          <w:sz w:val="28"/>
          <w:szCs w:val="28"/>
          <w:highlight w:val="none"/>
          <w:lang w:val="en-US" w:eastAsia="zh-CN" w:bidi="ar-SA"/>
        </w:rPr>
        <w:t>.5 资</w:t>
      </w:r>
      <w:bookmarkEnd w:id="235"/>
      <w:bookmarkEnd w:id="236"/>
      <w:bookmarkEnd w:id="237"/>
      <w:r>
        <w:rPr>
          <w:rFonts w:hint="eastAsia" w:ascii="宋体" w:hAnsi="宋体" w:eastAsia="宋体" w:cs="宋体"/>
          <w:b/>
          <w:color w:val="auto"/>
          <w:kern w:val="2"/>
          <w:sz w:val="28"/>
          <w:szCs w:val="28"/>
          <w:highlight w:val="none"/>
          <w:lang w:val="en-US" w:eastAsia="zh-CN" w:bidi="ar-SA"/>
        </w:rPr>
        <w:t>金来源证明及支付担保</w:t>
      </w:r>
      <w:bookmarkEnd w:id="233"/>
      <w:bookmarkEnd w:id="234"/>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除专用合同条款另有约定外，发包人应在收到承包人要求提供资金来源证明的书面通知后28天内，向承包人提供能够按照合同约定支付合同价款的相应资金来源证明。</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除专用合同条款另有约定外，发包人要求承包人提供履约担保的，发包人应当向承包人提供支付担保。支付担保可以采用银行保函或担保公司担保等形式，具体由合同当事人在专用合同条款中约定。</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38" w:name="_Toc532377201"/>
      <w:bookmarkStart w:id="239" w:name="_Toc351203515"/>
      <w:r>
        <w:rPr>
          <w:rFonts w:hint="eastAsia" w:ascii="宋体" w:hAnsi="宋体" w:eastAsia="宋体" w:cs="宋体"/>
          <w:b/>
          <w:color w:val="auto"/>
          <w:kern w:val="2"/>
          <w:sz w:val="28"/>
          <w:szCs w:val="28"/>
          <w:highlight w:val="none"/>
          <w:lang w:val="en-US" w:eastAsia="zh-CN" w:bidi="ar-SA"/>
        </w:rPr>
        <w:t>2.6 支付合同价款</w:t>
      </w:r>
      <w:bookmarkEnd w:id="238"/>
      <w:bookmarkEnd w:id="239"/>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发包人应按合同约定向承包人及时支付合同价款。</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40" w:name="_Toc351203516"/>
      <w:bookmarkStart w:id="241" w:name="_Toc532377202"/>
      <w:r>
        <w:rPr>
          <w:rFonts w:hint="eastAsia" w:ascii="宋体" w:hAnsi="宋体" w:eastAsia="宋体" w:cs="宋体"/>
          <w:b/>
          <w:color w:val="auto"/>
          <w:kern w:val="2"/>
          <w:sz w:val="28"/>
          <w:szCs w:val="28"/>
          <w:highlight w:val="none"/>
          <w:lang w:val="en-US" w:eastAsia="zh-CN" w:bidi="ar-SA"/>
        </w:rPr>
        <w:t>2.7 组织竣工验收</w:t>
      </w:r>
      <w:bookmarkEnd w:id="240"/>
      <w:bookmarkEnd w:id="241"/>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发包人应按合同约定及时组织竣工验收。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42" w:name="_Toc351203517"/>
      <w:bookmarkStart w:id="243" w:name="_Toc532377203"/>
      <w:r>
        <w:rPr>
          <w:rFonts w:hint="eastAsia" w:ascii="宋体" w:hAnsi="宋体" w:eastAsia="宋体" w:cs="宋体"/>
          <w:b/>
          <w:color w:val="auto"/>
          <w:kern w:val="2"/>
          <w:sz w:val="28"/>
          <w:szCs w:val="28"/>
          <w:highlight w:val="none"/>
          <w:lang w:val="en-US" w:eastAsia="zh-CN" w:bidi="ar-SA"/>
        </w:rPr>
        <w:t>2.8 现场统一管理协议</w:t>
      </w:r>
      <w:bookmarkEnd w:id="242"/>
      <w:bookmarkEnd w:id="243"/>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发包人应与承包人、由发包人直接发包的专业工程的承包人签订施工现场统一管理协议，明确各方的权利义务。施工现场统一管理协议作为专用合同条款的附件。</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244" w:name="_Toc532377204"/>
      <w:bookmarkStart w:id="245" w:name="_Toc532375589"/>
      <w:bookmarkStart w:id="246" w:name="_Toc351203518"/>
      <w:r>
        <w:rPr>
          <w:rFonts w:hint="eastAsia" w:ascii="宋体" w:hAnsi="宋体" w:eastAsia="宋体" w:cs="宋体"/>
          <w:color w:val="auto"/>
          <w:kern w:val="2"/>
          <w:sz w:val="28"/>
          <w:szCs w:val="28"/>
          <w:highlight w:val="none"/>
        </w:rPr>
        <w:t>3</w:t>
      </w:r>
      <w:bookmarkStart w:id="247" w:name="_Toc296346546"/>
      <w:bookmarkStart w:id="248" w:name="_Toc337558746"/>
      <w:bookmarkStart w:id="249" w:name="_Toc296503045"/>
      <w:r>
        <w:rPr>
          <w:rFonts w:hint="eastAsia" w:ascii="宋体" w:hAnsi="宋体" w:eastAsia="宋体" w:cs="宋体"/>
          <w:color w:val="auto"/>
          <w:kern w:val="2"/>
          <w:sz w:val="28"/>
          <w:szCs w:val="28"/>
          <w:highlight w:val="none"/>
        </w:rPr>
        <w:t>. 承包人</w:t>
      </w:r>
      <w:bookmarkEnd w:id="244"/>
      <w:bookmarkEnd w:id="245"/>
      <w:bookmarkEnd w:id="246"/>
    </w:p>
    <w:bookmarkEnd w:id="247"/>
    <w:bookmarkEnd w:id="248"/>
    <w:bookmarkEnd w:id="249"/>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50" w:name="_Toc351203519"/>
      <w:bookmarkStart w:id="251" w:name="_Toc532377205"/>
      <w:r>
        <w:rPr>
          <w:rFonts w:hint="eastAsia" w:ascii="宋体" w:hAnsi="宋体" w:eastAsia="宋体" w:cs="宋体"/>
          <w:b/>
          <w:color w:val="auto"/>
          <w:kern w:val="2"/>
          <w:sz w:val="28"/>
          <w:szCs w:val="28"/>
          <w:highlight w:val="none"/>
          <w:lang w:val="en-US" w:eastAsia="zh-CN" w:bidi="ar-SA"/>
        </w:rPr>
        <w:t>3</w:t>
      </w:r>
      <w:bookmarkStart w:id="252" w:name="_Toc296503046"/>
      <w:bookmarkStart w:id="253" w:name="_Toc337558747"/>
      <w:bookmarkStart w:id="254" w:name="_Toc296346547"/>
      <w:r>
        <w:rPr>
          <w:rFonts w:hint="eastAsia" w:ascii="宋体" w:hAnsi="宋体" w:eastAsia="宋体" w:cs="宋体"/>
          <w:b/>
          <w:color w:val="auto"/>
          <w:kern w:val="2"/>
          <w:sz w:val="28"/>
          <w:szCs w:val="28"/>
          <w:highlight w:val="none"/>
          <w:lang w:val="en-US" w:eastAsia="zh-CN" w:bidi="ar-SA"/>
        </w:rPr>
        <w:t>.1 承包人的一般义务</w:t>
      </w:r>
      <w:bookmarkEnd w:id="250"/>
      <w:bookmarkEnd w:id="251"/>
    </w:p>
    <w:bookmarkEnd w:id="252"/>
    <w:bookmarkEnd w:id="253"/>
    <w:bookmarkEnd w:id="254"/>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承包人在履行合同过程中应遵守法律和工程建设标准规范，并履行以下义务：</w:t>
      </w:r>
    </w:p>
    <w:p>
      <w:pPr>
        <w:numPr>
          <w:ilvl w:val="0"/>
          <w:numId w:val="15"/>
        </w:num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办理法律规定应由承包人办理的许可和批准，并将办理结果书面报送发包人留存；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（2）按法律规定和合同约定完成工程，并在保修期内承担保修义务；</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（3）按法律规定和合同约定采取施工安全和环境保护措施，办理工伤保险，确保工程及人员、材料、设备和设施的安全；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（4）按合同约定的工作内容和施工进度要求，编制施工组织设计和施工措施计划，并对所有施工作业和施工方法的完备性和安全可靠性负责；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（6）按照第6.3款〔环境保护〕约定负责施工场地及其周边环境与生态的保护工作；</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（7）按第6.1款〔安全文明施工〕约定采取施工安全措施，确保工程及其人员、材料、设备和设施的安全，防止因工程施工造成的人身伤害和财产损失；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（8）将发包人按合同约定支付的各项价款专用于合同工程，且应及时支付其雇用人员工资，并及时向分包人支付合同价款；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（9）按照法律规定和合同约定编制竣工资料，完成竣工资料立卷及归档，并按专用合同条款约定的竣工资料的套数、内容、时间等要求移交发包人；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（10）应履行的其他义务。</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55" w:name="_Toc351203520"/>
      <w:bookmarkStart w:id="256" w:name="_Toc532377206"/>
      <w:r>
        <w:rPr>
          <w:rFonts w:hint="eastAsia" w:ascii="宋体" w:hAnsi="宋体" w:eastAsia="宋体" w:cs="宋体"/>
          <w:b/>
          <w:color w:val="auto"/>
          <w:kern w:val="2"/>
          <w:sz w:val="28"/>
          <w:szCs w:val="28"/>
          <w:highlight w:val="none"/>
          <w:lang w:val="en-US" w:eastAsia="zh-CN" w:bidi="ar-SA"/>
        </w:rPr>
        <w:t>3</w:t>
      </w:r>
      <w:bookmarkStart w:id="257" w:name="_Toc337558748"/>
      <w:bookmarkStart w:id="258" w:name="_Toc296346548"/>
      <w:bookmarkStart w:id="259" w:name="_Toc296503047"/>
      <w:r>
        <w:rPr>
          <w:rFonts w:hint="eastAsia" w:ascii="宋体" w:hAnsi="宋体" w:eastAsia="宋体" w:cs="宋体"/>
          <w:b/>
          <w:color w:val="auto"/>
          <w:kern w:val="2"/>
          <w:sz w:val="28"/>
          <w:szCs w:val="28"/>
          <w:highlight w:val="none"/>
          <w:lang w:val="en-US" w:eastAsia="zh-CN" w:bidi="ar-SA"/>
        </w:rPr>
        <w:t xml:space="preserve">.2 </w:t>
      </w:r>
      <w:bookmarkEnd w:id="255"/>
      <w:r>
        <w:rPr>
          <w:rFonts w:hint="eastAsia" w:ascii="宋体" w:hAnsi="宋体" w:eastAsia="宋体" w:cs="宋体"/>
          <w:b/>
          <w:color w:val="auto"/>
          <w:kern w:val="2"/>
          <w:sz w:val="28"/>
          <w:szCs w:val="28"/>
          <w:highlight w:val="none"/>
          <w:lang w:val="en-US" w:eastAsia="zh-CN" w:bidi="ar-SA"/>
        </w:rPr>
        <w:t>项目经理</w:t>
      </w:r>
      <w:bookmarkEnd w:id="256"/>
    </w:p>
    <w:bookmarkEnd w:id="257"/>
    <w:bookmarkEnd w:id="258"/>
    <w:bookmarkEnd w:id="25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承包人不提交上述文件的，项目经理无权履行职责，发包人有权要求更换项目经理，由此增加的费用和（或）延误的工期由承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承包人违反上述约定的，应按照专用合同条款的约定，承担违约责任。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3.2.5 项目经理因特殊情况授权其下属人员履行其某项工作职责的，该下属人员应具备履行相应职责的能力，并应提前7天将上述人员的姓名和授权范围书面通知监理人，并征得发包人书面同意。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60" w:name="_Toc532377207"/>
      <w:bookmarkStart w:id="261" w:name="_Toc351203521"/>
      <w:r>
        <w:rPr>
          <w:rFonts w:hint="eastAsia" w:ascii="宋体" w:hAnsi="宋体" w:eastAsia="宋体" w:cs="宋体"/>
          <w:b/>
          <w:color w:val="auto"/>
          <w:kern w:val="2"/>
          <w:sz w:val="28"/>
          <w:szCs w:val="28"/>
          <w:highlight w:val="none"/>
          <w:lang w:val="en-US" w:eastAsia="zh-CN" w:bidi="ar-SA"/>
        </w:rPr>
        <w:t>3</w:t>
      </w:r>
      <w:bookmarkStart w:id="262" w:name="_Toc296503048"/>
      <w:bookmarkStart w:id="263" w:name="_Toc296346549"/>
      <w:bookmarkStart w:id="264" w:name="_Toc337558749"/>
      <w:r>
        <w:rPr>
          <w:rFonts w:hint="eastAsia" w:ascii="宋体" w:hAnsi="宋体" w:eastAsia="宋体" w:cs="宋体"/>
          <w:b/>
          <w:color w:val="auto"/>
          <w:kern w:val="2"/>
          <w:sz w:val="28"/>
          <w:szCs w:val="28"/>
          <w:highlight w:val="none"/>
          <w:lang w:val="en-US" w:eastAsia="zh-CN" w:bidi="ar-SA"/>
        </w:rPr>
        <w:t xml:space="preserve">.3 </w:t>
      </w:r>
      <w:bookmarkEnd w:id="262"/>
      <w:bookmarkEnd w:id="263"/>
      <w:r>
        <w:rPr>
          <w:rFonts w:hint="eastAsia" w:ascii="宋体" w:hAnsi="宋体" w:eastAsia="宋体" w:cs="宋体"/>
          <w:b/>
          <w:color w:val="auto"/>
          <w:kern w:val="2"/>
          <w:sz w:val="28"/>
          <w:szCs w:val="28"/>
          <w:highlight w:val="none"/>
          <w:lang w:val="en-US" w:eastAsia="zh-CN" w:bidi="ar-SA"/>
        </w:rPr>
        <w:t>承包人人员</w:t>
      </w:r>
      <w:bookmarkEnd w:id="260"/>
      <w:bookmarkEnd w:id="261"/>
    </w:p>
    <w:bookmarkEnd w:id="264"/>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特殊工种作业人员均应持有相应的资格证明，监理人可以随时检查。</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3.3.5 承包人擅自更换主要施工管理人员，或前述人员未经监理人或发包人同意擅自离开施工现场的，应按照专用合同条款约定承担违约责任。</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65" w:name="_Toc532377208"/>
      <w:bookmarkStart w:id="266" w:name="_Toc351203522"/>
      <w:r>
        <w:rPr>
          <w:rFonts w:hint="eastAsia" w:ascii="宋体" w:hAnsi="宋体" w:eastAsia="宋体" w:cs="宋体"/>
          <w:b/>
          <w:color w:val="auto"/>
          <w:kern w:val="2"/>
          <w:sz w:val="28"/>
          <w:szCs w:val="28"/>
          <w:highlight w:val="none"/>
          <w:lang w:val="en-US" w:eastAsia="zh-CN" w:bidi="ar-SA"/>
        </w:rPr>
        <w:t>3</w:t>
      </w:r>
      <w:bookmarkStart w:id="267" w:name="_Toc296503050"/>
      <w:bookmarkStart w:id="268" w:name="_Toc296346551"/>
      <w:bookmarkStart w:id="269" w:name="_Toc337558750"/>
      <w:r>
        <w:rPr>
          <w:rFonts w:hint="eastAsia" w:ascii="宋体" w:hAnsi="宋体" w:eastAsia="宋体" w:cs="宋体"/>
          <w:b/>
          <w:color w:val="auto"/>
          <w:kern w:val="2"/>
          <w:sz w:val="28"/>
          <w:szCs w:val="28"/>
          <w:highlight w:val="none"/>
          <w:lang w:val="en-US" w:eastAsia="zh-CN" w:bidi="ar-SA"/>
        </w:rPr>
        <w:t>.4 承包人现场查勘</w:t>
      </w:r>
      <w:bookmarkEnd w:id="265"/>
      <w:bookmarkEnd w:id="266"/>
    </w:p>
    <w:bookmarkEnd w:id="267"/>
    <w:bookmarkEnd w:id="268"/>
    <w:bookmarkEnd w:id="26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承包人应对基于发包人按照第2.4.3项〔提供基础资料〕提交的基础资料所做出的解释和推断负责，但因基础资料存在错误、遗漏导致承包人解释或推断失实的，由发包人承担责任。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70" w:name="_Toc532377209"/>
      <w:bookmarkStart w:id="271" w:name="_Toc351203523"/>
      <w:r>
        <w:rPr>
          <w:rFonts w:hint="eastAsia" w:ascii="宋体" w:hAnsi="宋体" w:eastAsia="宋体" w:cs="宋体"/>
          <w:b/>
          <w:color w:val="auto"/>
          <w:kern w:val="2"/>
          <w:sz w:val="28"/>
          <w:szCs w:val="28"/>
          <w:highlight w:val="none"/>
          <w:lang w:val="en-US" w:eastAsia="zh-CN" w:bidi="ar-SA"/>
        </w:rPr>
        <w:t>3</w:t>
      </w:r>
      <w:bookmarkStart w:id="272" w:name="_Toc296503051"/>
      <w:bookmarkStart w:id="273" w:name="_Toc296346552"/>
      <w:bookmarkStart w:id="274" w:name="_Toc337558751"/>
      <w:r>
        <w:rPr>
          <w:rFonts w:hint="eastAsia" w:ascii="宋体" w:hAnsi="宋体" w:eastAsia="宋体" w:cs="宋体"/>
          <w:b/>
          <w:color w:val="auto"/>
          <w:kern w:val="2"/>
          <w:sz w:val="28"/>
          <w:szCs w:val="28"/>
          <w:highlight w:val="none"/>
          <w:lang w:val="en-US" w:eastAsia="zh-CN" w:bidi="ar-SA"/>
        </w:rPr>
        <w:t>.5 分包</w:t>
      </w:r>
      <w:bookmarkEnd w:id="270"/>
      <w:bookmarkEnd w:id="271"/>
    </w:p>
    <w:bookmarkEnd w:id="272"/>
    <w:bookmarkEnd w:id="273"/>
    <w:bookmarkEnd w:id="274"/>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3.5.1 分包的一般约定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承包人不得以劳务分包的名义转包或违法分包工程。</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分包的确定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3.5.3 分包管理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承包人应向监理人提交分包人的主要施工管理人员表，并对分包人的施工人员进行实名制管理，包括但不限于进出场管理、登记造册以及各种证照的办理。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分包合同价款</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（1）除本项第（2）目约定的情况或专用合同条款另有约定外，分包合同价款由承包人与分包人结算，未经承包人同意，发包人不得向分包人支付分包工程价款；</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（2）生效法律文书要求发包人向分包人支付分包合同价款的，发包人有权从应付承包人工程款中扣除该部分款项。</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分包合同权益的转让</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75" w:name="_Toc351203524"/>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76" w:name="_Toc532377210"/>
      <w:r>
        <w:rPr>
          <w:rFonts w:hint="eastAsia" w:ascii="宋体" w:hAnsi="宋体" w:eastAsia="宋体" w:cs="宋体"/>
          <w:b/>
          <w:color w:val="auto"/>
          <w:kern w:val="2"/>
          <w:sz w:val="28"/>
          <w:szCs w:val="28"/>
          <w:highlight w:val="none"/>
          <w:lang w:val="en-US" w:eastAsia="zh-CN" w:bidi="ar-SA"/>
        </w:rPr>
        <w:t>3.6 工程照管与成品、半成品保护</w:t>
      </w:r>
      <w:bookmarkEnd w:id="275"/>
      <w:bookmarkEnd w:id="276"/>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（1）除专用合同条款另有约定外，自发包人向承包人移交施工现场之日起，承包人应负责照管工程及工程相关的材料、工程设备，直到颁发工程接收证书之日止。</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（2）在承包人负责照管期间，因承包人原因造成工程、材料、工程设备损坏的，由承包人负责修复或更换，并承担由此增加的费用和（或）延误的工期。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（3）对合同内分期完成的成品和半成品，在工程接收证书颁发前，由承包人承担保护责任。因承包人原因造成成品或半成品损坏的，由承包人负责修复或更换，并承担由此增加的费用和（或）延误的工期。</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77" w:name="_Toc351203525"/>
      <w:bookmarkStart w:id="278" w:name="_Toc532377211"/>
      <w:r>
        <w:rPr>
          <w:rFonts w:hint="eastAsia" w:ascii="宋体" w:hAnsi="宋体" w:eastAsia="宋体" w:cs="宋体"/>
          <w:b/>
          <w:color w:val="auto"/>
          <w:kern w:val="2"/>
          <w:sz w:val="28"/>
          <w:szCs w:val="28"/>
          <w:highlight w:val="none"/>
          <w:lang w:val="en-US" w:eastAsia="zh-CN" w:bidi="ar-SA"/>
        </w:rPr>
        <w:t>3</w:t>
      </w:r>
      <w:bookmarkStart w:id="279" w:name="_Toc337558752"/>
      <w:bookmarkStart w:id="280" w:name="_Toc296346553"/>
      <w:bookmarkStart w:id="281" w:name="_Toc296503052"/>
      <w:r>
        <w:rPr>
          <w:rFonts w:hint="eastAsia" w:ascii="宋体" w:hAnsi="宋体" w:eastAsia="宋体" w:cs="宋体"/>
          <w:b/>
          <w:color w:val="auto"/>
          <w:kern w:val="2"/>
          <w:sz w:val="28"/>
          <w:szCs w:val="28"/>
          <w:highlight w:val="none"/>
          <w:lang w:val="en-US" w:eastAsia="zh-CN" w:bidi="ar-SA"/>
        </w:rPr>
        <w:t>.7 履约担保</w:t>
      </w:r>
      <w:bookmarkEnd w:id="277"/>
      <w:bookmarkEnd w:id="278"/>
    </w:p>
    <w:bookmarkEnd w:id="279"/>
    <w:bookmarkEnd w:id="280"/>
    <w:bookmarkEnd w:id="28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发包人需要承包人提供履约担保的，由合同当事人在专用合同条款中约定履约担保的方式、金额及期限等。履约担保可以采用银行保函或担保公司担保等形式，具体由合同当事人在专用合同条款中约定。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因承包人原因导致工期延长的，继续提供履约担保所增加的费用由承包人承担；非因承包人原因导致工期延长的，继续提供履约担保所增加的费用由发包人承担。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82" w:name="_Toc351203526"/>
      <w:bookmarkStart w:id="283" w:name="_Toc532377212"/>
      <w:r>
        <w:rPr>
          <w:rFonts w:hint="eastAsia" w:ascii="宋体" w:hAnsi="宋体" w:eastAsia="宋体" w:cs="宋体"/>
          <w:b/>
          <w:color w:val="auto"/>
          <w:kern w:val="2"/>
          <w:sz w:val="28"/>
          <w:szCs w:val="28"/>
          <w:highlight w:val="none"/>
          <w:lang w:val="en-US" w:eastAsia="zh-CN" w:bidi="ar-SA"/>
        </w:rPr>
        <w:t>3.8 联合体</w:t>
      </w:r>
      <w:bookmarkEnd w:id="282"/>
      <w:bookmarkEnd w:id="283"/>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3.8.1 联合体各方应共同与发包人签订合同协议书。联合体各方应为履行合同向发包人承担连带责任。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3.8.2 联合体协议经发包人确认后作为合同附件。在履行合同过程中，未经发包人同意，不得修改联合体协议。</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3.8.3 联合体牵头人负责与发包人和监理人联系，并接受指示，负责组织联合体各成员全面履行合同。</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lang w:val="en-US" w:eastAsia="zh-CN"/>
        </w:rPr>
      </w:pPr>
      <w:bookmarkStart w:id="284" w:name="_Toc351203527"/>
      <w:bookmarkStart w:id="285" w:name="_Toc532375590"/>
      <w:bookmarkStart w:id="286" w:name="_Toc532377213"/>
      <w:r>
        <w:rPr>
          <w:rFonts w:hint="eastAsia" w:ascii="宋体" w:hAnsi="宋体" w:eastAsia="宋体" w:cs="宋体"/>
          <w:color w:val="auto"/>
          <w:kern w:val="2"/>
          <w:sz w:val="28"/>
          <w:szCs w:val="28"/>
          <w:highlight w:val="none"/>
          <w:lang w:val="en-US" w:eastAsia="zh-CN"/>
        </w:rPr>
        <w:t>4</w:t>
      </w:r>
      <w:bookmarkStart w:id="287" w:name="_Toc296503053"/>
      <w:bookmarkStart w:id="288" w:name="_Toc296346554"/>
      <w:bookmarkStart w:id="289" w:name="_Toc337558753"/>
      <w:r>
        <w:rPr>
          <w:rFonts w:hint="eastAsia" w:ascii="宋体" w:hAnsi="宋体" w:eastAsia="宋体" w:cs="宋体"/>
          <w:color w:val="auto"/>
          <w:kern w:val="2"/>
          <w:sz w:val="28"/>
          <w:szCs w:val="28"/>
          <w:highlight w:val="none"/>
          <w:lang w:val="en-US" w:eastAsia="zh-CN"/>
        </w:rPr>
        <w:t>. 监</w:t>
      </w:r>
      <w:bookmarkEnd w:id="287"/>
      <w:bookmarkEnd w:id="288"/>
      <w:r>
        <w:rPr>
          <w:rFonts w:hint="eastAsia" w:ascii="宋体" w:hAnsi="宋体" w:eastAsia="宋体" w:cs="宋体"/>
          <w:color w:val="auto"/>
          <w:kern w:val="2"/>
          <w:sz w:val="28"/>
          <w:szCs w:val="28"/>
          <w:highlight w:val="none"/>
          <w:lang w:val="en-US" w:eastAsia="zh-CN"/>
        </w:rPr>
        <w:t>理人</w:t>
      </w:r>
      <w:bookmarkEnd w:id="284"/>
      <w:bookmarkEnd w:id="285"/>
      <w:bookmarkEnd w:id="286"/>
    </w:p>
    <w:bookmarkEnd w:id="289"/>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90" w:name="_Toc532377214"/>
      <w:bookmarkStart w:id="291" w:name="_Toc351203528"/>
      <w:r>
        <w:rPr>
          <w:rFonts w:hint="eastAsia" w:ascii="宋体" w:hAnsi="宋体" w:eastAsia="宋体" w:cs="宋体"/>
          <w:b/>
          <w:color w:val="auto"/>
          <w:kern w:val="2"/>
          <w:sz w:val="28"/>
          <w:szCs w:val="28"/>
          <w:highlight w:val="none"/>
          <w:lang w:val="en-US" w:eastAsia="zh-CN" w:bidi="ar-SA"/>
        </w:rPr>
        <w:t>4</w:t>
      </w:r>
      <w:bookmarkStart w:id="292" w:name="_Toc296346555"/>
      <w:bookmarkStart w:id="293" w:name="_Toc337558754"/>
      <w:bookmarkStart w:id="294" w:name="_Toc296503054"/>
      <w:r>
        <w:rPr>
          <w:rFonts w:hint="eastAsia" w:ascii="宋体" w:hAnsi="宋体" w:eastAsia="宋体" w:cs="宋体"/>
          <w:b/>
          <w:color w:val="auto"/>
          <w:kern w:val="2"/>
          <w:sz w:val="28"/>
          <w:szCs w:val="28"/>
          <w:highlight w:val="none"/>
          <w:lang w:val="en-US" w:eastAsia="zh-CN" w:bidi="ar-SA"/>
        </w:rPr>
        <w:t>.1监理人的一般规定</w:t>
      </w:r>
      <w:bookmarkEnd w:id="290"/>
      <w:bookmarkEnd w:id="291"/>
    </w:p>
    <w:bookmarkEnd w:id="292"/>
    <w:bookmarkEnd w:id="293"/>
    <w:bookmarkEnd w:id="294"/>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除专用合同条款另有约定外，监理人在施工现场的办公场所、生活场所由承包人提供，所发生的费用由发包人承担。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95" w:name="_Toc532377215"/>
      <w:bookmarkStart w:id="296" w:name="_Toc351203529"/>
      <w:r>
        <w:rPr>
          <w:rFonts w:hint="eastAsia" w:ascii="宋体" w:hAnsi="宋体" w:eastAsia="宋体" w:cs="宋体"/>
          <w:b/>
          <w:color w:val="auto"/>
          <w:kern w:val="2"/>
          <w:sz w:val="28"/>
          <w:szCs w:val="28"/>
          <w:highlight w:val="none"/>
          <w:lang w:val="en-US" w:eastAsia="zh-CN" w:bidi="ar-SA"/>
        </w:rPr>
        <w:t>4</w:t>
      </w:r>
      <w:bookmarkStart w:id="297" w:name="_Toc337558755"/>
      <w:r>
        <w:rPr>
          <w:rFonts w:hint="eastAsia" w:ascii="宋体" w:hAnsi="宋体" w:eastAsia="宋体" w:cs="宋体"/>
          <w:b/>
          <w:color w:val="auto"/>
          <w:kern w:val="2"/>
          <w:sz w:val="28"/>
          <w:szCs w:val="28"/>
          <w:highlight w:val="none"/>
          <w:lang w:val="en-US" w:eastAsia="zh-CN" w:bidi="ar-SA"/>
        </w:rPr>
        <w:t>.2监理人员</w:t>
      </w:r>
      <w:bookmarkEnd w:id="295"/>
      <w:bookmarkEnd w:id="296"/>
    </w:p>
    <w:bookmarkEnd w:id="297"/>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298" w:name="_Toc351203530"/>
      <w:bookmarkStart w:id="299" w:name="_Toc532377216"/>
      <w:r>
        <w:rPr>
          <w:rFonts w:hint="eastAsia" w:ascii="宋体" w:hAnsi="宋体" w:eastAsia="宋体" w:cs="宋体"/>
          <w:b/>
          <w:color w:val="auto"/>
          <w:kern w:val="2"/>
          <w:sz w:val="28"/>
          <w:szCs w:val="28"/>
          <w:highlight w:val="none"/>
          <w:lang w:val="en-US" w:eastAsia="zh-CN" w:bidi="ar-SA"/>
        </w:rPr>
        <w:t>4</w:t>
      </w:r>
      <w:bookmarkStart w:id="300" w:name="_Toc296346556"/>
      <w:bookmarkStart w:id="301" w:name="_Toc296503055"/>
      <w:bookmarkStart w:id="302" w:name="_Toc337558756"/>
      <w:r>
        <w:rPr>
          <w:rFonts w:hint="eastAsia" w:ascii="宋体" w:hAnsi="宋体" w:eastAsia="宋体" w:cs="宋体"/>
          <w:b/>
          <w:color w:val="auto"/>
          <w:kern w:val="2"/>
          <w:sz w:val="28"/>
          <w:szCs w:val="28"/>
          <w:highlight w:val="none"/>
          <w:lang w:val="en-US" w:eastAsia="zh-CN" w:bidi="ar-SA"/>
        </w:rPr>
        <w:t>.3</w:t>
      </w:r>
      <w:bookmarkEnd w:id="300"/>
      <w:bookmarkEnd w:id="301"/>
      <w:r>
        <w:rPr>
          <w:rFonts w:hint="eastAsia" w:ascii="宋体" w:hAnsi="宋体" w:eastAsia="宋体" w:cs="宋体"/>
          <w:b/>
          <w:color w:val="auto"/>
          <w:kern w:val="2"/>
          <w:sz w:val="28"/>
          <w:szCs w:val="28"/>
          <w:highlight w:val="none"/>
          <w:lang w:val="en-US" w:eastAsia="zh-CN" w:bidi="ar-SA"/>
        </w:rPr>
        <w:t>监理人的指</w:t>
      </w:r>
      <w:bookmarkEnd w:id="302"/>
      <w:r>
        <w:rPr>
          <w:rFonts w:hint="eastAsia" w:ascii="宋体" w:hAnsi="宋体" w:eastAsia="宋体" w:cs="宋体"/>
          <w:b/>
          <w:color w:val="auto"/>
          <w:kern w:val="2"/>
          <w:sz w:val="28"/>
          <w:szCs w:val="28"/>
          <w:highlight w:val="none"/>
          <w:lang w:val="en-US" w:eastAsia="zh-CN" w:bidi="ar-SA"/>
        </w:rPr>
        <w:t>示</w:t>
      </w:r>
      <w:bookmarkEnd w:id="298"/>
      <w:bookmarkEnd w:id="299"/>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按照发包人的授权发出监理指示。监理人的指示应采用书面形式，并经其授权的监理人员签名。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承包人对监理人发出的指示有疑问的，应向监理人提出书面异议，监理人应在48小时内对该指示予以确认、更改或撤销，监理人逾期未回复的，承包人有权拒绝执行上述指示。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监理人对承包人的任何工作、工程或其采用的材料和工程设备未在约定的或合理期限内提出意见的，视为批准，但不免除或减轻承包人对该工作、工程、材料、工程设备等应承担的责任和义务。</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03" w:name="_Toc351203531"/>
      <w:bookmarkStart w:id="304" w:name="_Toc532377217"/>
      <w:r>
        <w:rPr>
          <w:rFonts w:hint="eastAsia" w:ascii="宋体" w:hAnsi="宋体" w:eastAsia="宋体" w:cs="宋体"/>
          <w:b/>
          <w:color w:val="auto"/>
          <w:kern w:val="2"/>
          <w:sz w:val="28"/>
          <w:szCs w:val="28"/>
          <w:highlight w:val="none"/>
          <w:lang w:val="en-US" w:eastAsia="zh-CN" w:bidi="ar-SA"/>
        </w:rPr>
        <w:t>4</w:t>
      </w:r>
      <w:bookmarkStart w:id="305" w:name="_Toc337558757"/>
      <w:bookmarkStart w:id="306" w:name="_Toc296346558"/>
      <w:bookmarkStart w:id="307" w:name="_Toc296503057"/>
      <w:r>
        <w:rPr>
          <w:rFonts w:hint="eastAsia" w:ascii="宋体" w:hAnsi="宋体" w:eastAsia="宋体" w:cs="宋体"/>
          <w:b/>
          <w:color w:val="auto"/>
          <w:kern w:val="2"/>
          <w:sz w:val="28"/>
          <w:szCs w:val="28"/>
          <w:highlight w:val="none"/>
          <w:lang w:val="en-US" w:eastAsia="zh-CN" w:bidi="ar-SA"/>
        </w:rPr>
        <w:t>.4 商定或确定</w:t>
      </w:r>
      <w:bookmarkEnd w:id="303"/>
      <w:bookmarkEnd w:id="304"/>
    </w:p>
    <w:bookmarkEnd w:id="305"/>
    <w:bookmarkEnd w:id="306"/>
    <w:bookmarkEnd w:id="307"/>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合同当事人进行商定或确定时，总监理工程师应当会同合同当事人尽量通过协商达成一致，不能达成一致的，由总监理工程师按照合同约定审慎做出公正的确定。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308" w:name="_Toc532375591"/>
      <w:bookmarkStart w:id="309" w:name="_Toc351203532"/>
      <w:bookmarkStart w:id="310" w:name="_Toc532377218"/>
      <w:r>
        <w:rPr>
          <w:rFonts w:hint="eastAsia" w:ascii="宋体" w:hAnsi="宋体" w:eastAsia="宋体" w:cs="宋体"/>
          <w:color w:val="auto"/>
          <w:kern w:val="2"/>
          <w:sz w:val="28"/>
          <w:szCs w:val="28"/>
          <w:highlight w:val="none"/>
        </w:rPr>
        <w:t>5</w:t>
      </w:r>
      <w:bookmarkStart w:id="311" w:name="_Toc337558758"/>
      <w:r>
        <w:rPr>
          <w:rFonts w:hint="eastAsia" w:ascii="宋体" w:hAnsi="宋体" w:eastAsia="宋体" w:cs="宋体"/>
          <w:color w:val="auto"/>
          <w:kern w:val="2"/>
          <w:sz w:val="28"/>
          <w:szCs w:val="28"/>
          <w:highlight w:val="none"/>
        </w:rPr>
        <w:t>. 工程质量</w:t>
      </w:r>
      <w:bookmarkEnd w:id="308"/>
      <w:bookmarkEnd w:id="309"/>
      <w:bookmarkEnd w:id="310"/>
    </w:p>
    <w:bookmarkEnd w:id="311"/>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12" w:name="_Toc532377219"/>
      <w:bookmarkStart w:id="313" w:name="_Toc351203533"/>
      <w:r>
        <w:rPr>
          <w:rFonts w:hint="eastAsia" w:ascii="宋体" w:hAnsi="宋体" w:eastAsia="宋体" w:cs="宋体"/>
          <w:b/>
          <w:color w:val="auto"/>
          <w:kern w:val="2"/>
          <w:sz w:val="28"/>
          <w:szCs w:val="28"/>
          <w:highlight w:val="none"/>
          <w:lang w:val="en-US" w:eastAsia="zh-CN" w:bidi="ar-SA"/>
        </w:rPr>
        <w:t>5</w:t>
      </w:r>
      <w:bookmarkStart w:id="314" w:name="_Toc337558759"/>
      <w:r>
        <w:rPr>
          <w:rFonts w:hint="eastAsia" w:ascii="宋体" w:hAnsi="宋体" w:eastAsia="宋体" w:cs="宋体"/>
          <w:b/>
          <w:color w:val="auto"/>
          <w:kern w:val="2"/>
          <w:sz w:val="28"/>
          <w:szCs w:val="28"/>
          <w:highlight w:val="none"/>
          <w:lang w:val="en-US" w:eastAsia="zh-CN" w:bidi="ar-SA"/>
        </w:rPr>
        <w:t>.1质量要求</w:t>
      </w:r>
      <w:bookmarkEnd w:id="312"/>
      <w:bookmarkEnd w:id="313"/>
    </w:p>
    <w:bookmarkEnd w:id="314"/>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5.1.1 工程质量标准必须符合现行国家有关工程施工质量验收规范和标准的要求。有关工程质量的特殊标准或要求由合同当事人在专用合同条款中约定。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5.1.2 因发包人原因造成工程质量未达到合同约定标准的，由发包人承担由此增加的费用和（或）延误的工期，并支付承包人合理的利润。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5.1.3 因承包人原因造成工程质量未达到合同约定标准的，发包人有权要求承包人返工直至工程质量达到合同约定的标准为止，并由承包人承担由此增加的费用和（或）延误的工期。</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15" w:name="_Toc532377220"/>
      <w:bookmarkStart w:id="316" w:name="_Toc351203534"/>
      <w:r>
        <w:rPr>
          <w:rFonts w:hint="eastAsia" w:ascii="宋体" w:hAnsi="宋体" w:eastAsia="宋体" w:cs="宋体"/>
          <w:b/>
          <w:color w:val="auto"/>
          <w:kern w:val="2"/>
          <w:sz w:val="28"/>
          <w:szCs w:val="28"/>
          <w:highlight w:val="none"/>
          <w:lang w:val="en-US" w:eastAsia="zh-CN" w:bidi="ar-SA"/>
        </w:rPr>
        <w:t>5</w:t>
      </w:r>
      <w:bookmarkStart w:id="317" w:name="_Toc337558760"/>
      <w:r>
        <w:rPr>
          <w:rFonts w:hint="eastAsia" w:ascii="宋体" w:hAnsi="宋体" w:eastAsia="宋体" w:cs="宋体"/>
          <w:b/>
          <w:color w:val="auto"/>
          <w:kern w:val="2"/>
          <w:sz w:val="28"/>
          <w:szCs w:val="28"/>
          <w:highlight w:val="none"/>
          <w:lang w:val="en-US" w:eastAsia="zh-CN" w:bidi="ar-SA"/>
        </w:rPr>
        <w:t>.2质量保证措施</w:t>
      </w:r>
      <w:bookmarkEnd w:id="315"/>
      <w:bookmarkEnd w:id="316"/>
    </w:p>
    <w:bookmarkEnd w:id="317"/>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5.2.1 发包人的质量管理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发包人应按照法律规定及合同约定完成与工程质量有关的各项工作。</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5.2.2 承包人的质量管理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承包人应对施工人员进行质量教育和技术培训，定期考核施工人员的劳动技能，严格执行施工规范和操作规程。</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5.2.3 监理人的质量检查和检验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18" w:name="_Toc351203535"/>
      <w:bookmarkStart w:id="319" w:name="_Toc532377221"/>
      <w:r>
        <w:rPr>
          <w:rFonts w:hint="eastAsia" w:ascii="宋体" w:hAnsi="宋体" w:eastAsia="宋体" w:cs="宋体"/>
          <w:b/>
          <w:color w:val="auto"/>
          <w:kern w:val="2"/>
          <w:sz w:val="28"/>
          <w:szCs w:val="28"/>
          <w:highlight w:val="none"/>
          <w:lang w:val="en-US" w:eastAsia="zh-CN" w:bidi="ar-SA"/>
        </w:rPr>
        <w:t>5</w:t>
      </w:r>
      <w:bookmarkStart w:id="320" w:name="_Toc337558761"/>
      <w:r>
        <w:rPr>
          <w:rFonts w:hint="eastAsia" w:ascii="宋体" w:hAnsi="宋体" w:eastAsia="宋体" w:cs="宋体"/>
          <w:b/>
          <w:color w:val="auto"/>
          <w:kern w:val="2"/>
          <w:sz w:val="28"/>
          <w:szCs w:val="28"/>
          <w:highlight w:val="none"/>
          <w:lang w:val="en-US" w:eastAsia="zh-CN" w:bidi="ar-SA"/>
        </w:rPr>
        <w:t>.3 隐蔽工程检查</w:t>
      </w:r>
      <w:bookmarkEnd w:id="318"/>
      <w:bookmarkEnd w:id="319"/>
    </w:p>
    <w:bookmarkEnd w:id="320"/>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5.3.1承包人自检</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承包人应当对工程隐蔽部位进行自检，并经自检确认是否具备覆盖条件。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5.3.2检查程序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按时到场并对隐蔽工程及其施工工艺、材料和工程设备进行检查。经监理人检查确认质量符合隐蔽要求，并在验收记录上签名后，承包人才能进行覆盖。经监理人检查质量不合格的，承包人应在监理人指示的时间内完成修复，并由监理人重新检查，由此增加的费用和（或）延误的工期由承包人承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名确认。监理人事后对检查记录有疑问的，可按第5.3.3项〔重新检查〕的约定重新检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5.3.3 重新检查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5.3.4 承包人私自覆盖</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承包人未通知监理人到场检查，私自将工程隐蔽部位覆盖的，监理人有权指示承包人钻孔探测或揭开检查，无论工程隐蔽部位质量是否合格，由此增加的费用和（或）延误的工期均由承包人承担。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21" w:name="_Toc532377222"/>
      <w:r>
        <w:rPr>
          <w:rFonts w:hint="eastAsia" w:ascii="宋体" w:hAnsi="宋体" w:eastAsia="宋体" w:cs="宋体"/>
          <w:b/>
          <w:color w:val="auto"/>
          <w:kern w:val="2"/>
          <w:sz w:val="28"/>
          <w:szCs w:val="28"/>
          <w:highlight w:val="none"/>
          <w:lang w:val="en-US" w:eastAsia="zh-CN" w:bidi="ar-SA"/>
        </w:rPr>
        <w:t>5.4不合格工程的处理</w:t>
      </w:r>
      <w:bookmarkEnd w:id="321"/>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5.4.2 因发包人原因造成工程不合格的，由此增加的费用和（或）延误的工期由发包人承担，并支付承包人合理的利润。</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22" w:name="_Toc351203537"/>
      <w:bookmarkStart w:id="323" w:name="_Toc532377223"/>
      <w:r>
        <w:rPr>
          <w:rFonts w:hint="eastAsia" w:ascii="宋体" w:hAnsi="宋体" w:eastAsia="宋体" w:cs="宋体"/>
          <w:b/>
          <w:color w:val="auto"/>
          <w:kern w:val="2"/>
          <w:sz w:val="28"/>
          <w:szCs w:val="28"/>
          <w:highlight w:val="none"/>
          <w:lang w:val="en-US" w:eastAsia="zh-CN" w:bidi="ar-SA"/>
        </w:rPr>
        <w:t>5.5 质量争议检测</w:t>
      </w:r>
      <w:bookmarkEnd w:id="322"/>
      <w:bookmarkEnd w:id="323"/>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合同当事人对工程质量有争议的，由双方协商确定的工程质量检测机构鉴定，由此产生的费用及因此造成的损失，由责任方承担。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合同当事人均有责任的，由双方根据其责任分别承担。合同当事人无法达成一致的，按照第4.4款〔商定或确定〕执行。</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324" w:name="_Toc532377224"/>
      <w:bookmarkStart w:id="325" w:name="_Toc532375592"/>
      <w:bookmarkStart w:id="326" w:name="_Toc351203538"/>
      <w:r>
        <w:rPr>
          <w:rFonts w:hint="eastAsia" w:ascii="宋体" w:hAnsi="宋体" w:eastAsia="宋体" w:cs="宋体"/>
          <w:color w:val="auto"/>
          <w:kern w:val="2"/>
          <w:sz w:val="28"/>
          <w:szCs w:val="28"/>
          <w:highlight w:val="none"/>
        </w:rPr>
        <w:t>6</w:t>
      </w:r>
      <w:bookmarkStart w:id="327" w:name="_Toc337558763"/>
      <w:r>
        <w:rPr>
          <w:rFonts w:hint="eastAsia" w:ascii="宋体" w:hAnsi="宋体" w:eastAsia="宋体" w:cs="宋体"/>
          <w:color w:val="auto"/>
          <w:kern w:val="2"/>
          <w:sz w:val="28"/>
          <w:szCs w:val="28"/>
          <w:highlight w:val="none"/>
        </w:rPr>
        <w:t>. 安全文明施工与环境保护</w:t>
      </w:r>
      <w:bookmarkEnd w:id="324"/>
      <w:bookmarkEnd w:id="325"/>
      <w:bookmarkEnd w:id="326"/>
    </w:p>
    <w:bookmarkEnd w:id="32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28" w:name="_Toc351203539"/>
      <w:bookmarkStart w:id="329" w:name="_Toc532377225"/>
      <w:r>
        <w:rPr>
          <w:rFonts w:hint="eastAsia" w:ascii="宋体" w:hAnsi="宋体" w:eastAsia="宋体" w:cs="宋体"/>
          <w:b/>
          <w:color w:val="auto"/>
          <w:kern w:val="2"/>
          <w:sz w:val="28"/>
          <w:szCs w:val="28"/>
          <w:highlight w:val="none"/>
          <w:lang w:val="en-US" w:eastAsia="zh-CN" w:bidi="ar-SA"/>
        </w:rPr>
        <w:t>6</w:t>
      </w:r>
      <w:bookmarkStart w:id="330" w:name="_Toc337558764"/>
      <w:r>
        <w:rPr>
          <w:rFonts w:hint="eastAsia" w:ascii="宋体" w:hAnsi="宋体" w:eastAsia="宋体" w:cs="宋体"/>
          <w:b/>
          <w:color w:val="auto"/>
          <w:kern w:val="2"/>
          <w:sz w:val="28"/>
          <w:szCs w:val="28"/>
          <w:highlight w:val="none"/>
          <w:lang w:val="en-US" w:eastAsia="zh-CN" w:bidi="ar-SA"/>
        </w:rPr>
        <w:t>.1安全文明施工</w:t>
      </w:r>
      <w:bookmarkEnd w:id="328"/>
      <w:bookmarkEnd w:id="329"/>
    </w:p>
    <w:bookmarkEnd w:id="330"/>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6.1.1安全生产要求</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在施工过程中，如遇到突发的地质变动、事先未知的地下施工障碍等影响施工安全的紧急情况，承包人应及时报告监理人和发包人，发包人应当及时下令停工并报政府有关行政管理部门采取应急措施。</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因安全生产需要暂停施工的，按照第7.8款〔暂停施工〕的约定执行。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6.1.2 安全生产保证措施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6.1.3特别安全生产事项</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承包人在动力设备、输电线路、地下管道、密封防震车间、易燃易爆地段以及临街交通要道附近施工时，施工开始前应向发包人和监理人提出安全防护措施，经发包人认可后实施。 </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实施爆破作业，在放射、毒害性环境中施工（含储存、运输、使用）及使用毒害性、腐蚀性物品施工时，承包人应在施工前7天以书面通知发包人和监理人，并报送相应的安全防护措施，经发包人认可后实施。</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需单独编制危险性较大分部分项专项工程施工方案的，及要求进行专家论证的超过一定规模的危险性较大的分部分项工程，承包人应及时编制和组织论证。</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6.1.4 治安保卫</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除专用合同条款另有约定外，发包人应与当地公安部门协商，在现场建立治安管理机构或联防组织，统一管理施工场地的治安保卫事项，履行合同工程的治安保卫职责。</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发包人和承包人除应协助现场治安管理机构或联防组织维护施工场地的社会治安外，还应做好包括生活区在内的各自管辖区的治安保卫工作。</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6.1.5 文明施工</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6.1.6 安全文明施工费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安全文明施工费由发包人承担，发包人不得以任何形式扣减该部分费用。因基准日期后合同所适用的法律或政府有关规定发生变化，增加的安全文明施工费由发包人承担。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6.1.7 紧急情况处理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实施期间或缺陷责任期内发生危及工程安全的事件，监理人通知承包人进行抢救，承包人声明无能力或不愿立即执行的，发包人有权雇佣其他人员进行抢救。此类抢救按合同约定属于承包人义务的，由此增加的费用和（或）延误的工期由承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6.1.8 事故处理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6.1.9 安全生产责任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6.1.9.1 发包人的安全责任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发包人应负责赔偿以下各种情况造成的损失：</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（1）工程或工程的任何部分对土地的占用所造成的第三者财产损失；</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（2）由于发包人原因在施工场地及其毗邻地带造成的第三者人身伤亡和财产损失；</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（3）由于发包人原因对承包人、监理人造成的人员人身伤亡和财产损失；</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（4）由于发包人原因造成的发包人自身人员的人身伤害以及财产损失。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6.1.9.2 承包人的安全责任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由于承包人原因在施工场地内及其毗邻地带造成的发包人、监理人以及第三者人员伤亡和财产损失，由承包人负责赔偿。</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31" w:name="_Toc351203540"/>
      <w:bookmarkStart w:id="332" w:name="_Toc532377226"/>
      <w:r>
        <w:rPr>
          <w:rFonts w:hint="eastAsia" w:ascii="宋体" w:hAnsi="宋体" w:eastAsia="宋体" w:cs="宋体"/>
          <w:b/>
          <w:color w:val="auto"/>
          <w:kern w:val="2"/>
          <w:sz w:val="28"/>
          <w:szCs w:val="28"/>
          <w:highlight w:val="none"/>
          <w:lang w:val="en-US" w:eastAsia="zh-CN" w:bidi="ar-SA"/>
        </w:rPr>
        <w:t>6</w:t>
      </w:r>
      <w:bookmarkStart w:id="333" w:name="_Toc337558765"/>
      <w:r>
        <w:rPr>
          <w:rFonts w:hint="eastAsia" w:ascii="宋体" w:hAnsi="宋体" w:eastAsia="宋体" w:cs="宋体"/>
          <w:b/>
          <w:color w:val="auto"/>
          <w:kern w:val="2"/>
          <w:sz w:val="28"/>
          <w:szCs w:val="28"/>
          <w:highlight w:val="none"/>
          <w:lang w:val="en-US" w:eastAsia="zh-CN" w:bidi="ar-SA"/>
        </w:rPr>
        <w:t>.2 职业健康</w:t>
      </w:r>
      <w:bookmarkEnd w:id="331"/>
      <w:bookmarkEnd w:id="332"/>
    </w:p>
    <w:bookmarkEnd w:id="333"/>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6.2.1 劳动保护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承包人应按法律规定安排工作时间，保证其雇佣人员享有休息和休假的权利。因工程施工的特殊需要占用休假日或延长工作时间的，应不超过法律规定的限度，并按法律规定给予补休或付酬。</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6.2.2 生活条件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34" w:name="_Toc532377227"/>
      <w:bookmarkStart w:id="335" w:name="_Toc351203541"/>
      <w:r>
        <w:rPr>
          <w:rFonts w:hint="eastAsia" w:ascii="宋体" w:hAnsi="宋体" w:eastAsia="宋体" w:cs="宋体"/>
          <w:b/>
          <w:color w:val="auto"/>
          <w:kern w:val="2"/>
          <w:sz w:val="28"/>
          <w:szCs w:val="28"/>
          <w:highlight w:val="none"/>
          <w:lang w:val="en-US" w:eastAsia="zh-CN" w:bidi="ar-SA"/>
        </w:rPr>
        <w:t>6</w:t>
      </w:r>
      <w:bookmarkStart w:id="336" w:name="_Toc337558766"/>
      <w:r>
        <w:rPr>
          <w:rFonts w:hint="eastAsia" w:ascii="宋体" w:hAnsi="宋体" w:eastAsia="宋体" w:cs="宋体"/>
          <w:b/>
          <w:color w:val="auto"/>
          <w:kern w:val="2"/>
          <w:sz w:val="28"/>
          <w:szCs w:val="28"/>
          <w:highlight w:val="none"/>
          <w:lang w:val="en-US" w:eastAsia="zh-CN" w:bidi="ar-SA"/>
        </w:rPr>
        <w:t>.3 环境保护</w:t>
      </w:r>
      <w:bookmarkEnd w:id="334"/>
      <w:bookmarkEnd w:id="335"/>
    </w:p>
    <w:bookmarkEnd w:id="336"/>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承包人应当承担因其原因引起的环境污染侵权损害赔偿责任，因上述环境污染引起纠纷而导致暂停施工的，由此增加的费用和（或）延误的工期由承包人承担。</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337" w:name="_Toc532375593"/>
      <w:bookmarkStart w:id="338" w:name="_Toc351203542"/>
      <w:bookmarkStart w:id="339" w:name="_Toc532377228"/>
      <w:r>
        <w:rPr>
          <w:rFonts w:hint="eastAsia" w:ascii="宋体" w:hAnsi="宋体" w:eastAsia="宋体" w:cs="宋体"/>
          <w:color w:val="auto"/>
          <w:kern w:val="2"/>
          <w:sz w:val="28"/>
          <w:szCs w:val="28"/>
          <w:highlight w:val="none"/>
        </w:rPr>
        <w:t>7</w:t>
      </w:r>
      <w:bookmarkStart w:id="340" w:name="_Toc337558767"/>
      <w:r>
        <w:rPr>
          <w:rFonts w:hint="eastAsia" w:ascii="宋体" w:hAnsi="宋体" w:eastAsia="宋体" w:cs="宋体"/>
          <w:color w:val="auto"/>
          <w:kern w:val="2"/>
          <w:sz w:val="28"/>
          <w:szCs w:val="28"/>
          <w:highlight w:val="none"/>
        </w:rPr>
        <w:t>. 工期和进度</w:t>
      </w:r>
      <w:bookmarkEnd w:id="337"/>
      <w:bookmarkEnd w:id="338"/>
      <w:bookmarkEnd w:id="339"/>
    </w:p>
    <w:bookmarkEnd w:id="340"/>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41" w:name="_Toc532377229"/>
      <w:bookmarkStart w:id="342" w:name="_Toc351203543"/>
      <w:r>
        <w:rPr>
          <w:rFonts w:hint="eastAsia" w:ascii="宋体" w:hAnsi="宋体" w:eastAsia="宋体" w:cs="宋体"/>
          <w:b/>
          <w:color w:val="auto"/>
          <w:kern w:val="2"/>
          <w:sz w:val="28"/>
          <w:szCs w:val="28"/>
          <w:highlight w:val="none"/>
          <w:lang w:val="en-US" w:eastAsia="zh-CN" w:bidi="ar-SA"/>
        </w:rPr>
        <w:t>7</w:t>
      </w:r>
      <w:bookmarkStart w:id="343" w:name="_Toc337558768"/>
      <w:bookmarkStart w:id="344" w:name="_Toc296346567"/>
      <w:bookmarkStart w:id="345" w:name="_Toc296503066"/>
      <w:r>
        <w:rPr>
          <w:rFonts w:hint="eastAsia" w:ascii="宋体" w:hAnsi="宋体" w:eastAsia="宋体" w:cs="宋体"/>
          <w:b/>
          <w:color w:val="auto"/>
          <w:kern w:val="2"/>
          <w:sz w:val="28"/>
          <w:szCs w:val="28"/>
          <w:highlight w:val="none"/>
          <w:lang w:val="en-US" w:eastAsia="zh-CN" w:bidi="ar-SA"/>
        </w:rPr>
        <w:t>.1施工组织设计</w:t>
      </w:r>
      <w:bookmarkEnd w:id="341"/>
      <w:bookmarkEnd w:id="342"/>
    </w:p>
    <w:bookmarkEnd w:id="343"/>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7.1.1 施工组织设计的内容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施工组织设计应包含以下内容：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（1）施工方案； </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（2）施工现场平面布置图；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（3）施工进度计划和保证措施； </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（4）劳动力及材料供应计划；</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（5）施工机械设备的选用；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（6）质量保证体系及措施；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（7）安全生产、文明施工措施；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（8）环境保护、成本控制措施；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（9）合同当事人约定的其他内容。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7.1.2 施工组织设计的提交和修改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施工进度计划的编制和修改按照第7.2款〔施工进度计划〕执行。</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46" w:name="_Toc532377230"/>
      <w:bookmarkStart w:id="347" w:name="_Toc351203544"/>
      <w:r>
        <w:rPr>
          <w:rFonts w:hint="eastAsia" w:ascii="宋体" w:hAnsi="宋体" w:eastAsia="宋体" w:cs="宋体"/>
          <w:b/>
          <w:color w:val="auto"/>
          <w:kern w:val="2"/>
          <w:sz w:val="28"/>
          <w:szCs w:val="28"/>
          <w:highlight w:val="none"/>
          <w:lang w:val="en-US" w:eastAsia="zh-CN" w:bidi="ar-SA"/>
        </w:rPr>
        <w:t>7</w:t>
      </w:r>
      <w:bookmarkStart w:id="348" w:name="_Toc337558769"/>
      <w:r>
        <w:rPr>
          <w:rFonts w:hint="eastAsia" w:ascii="宋体" w:hAnsi="宋体" w:eastAsia="宋体" w:cs="宋体"/>
          <w:b/>
          <w:color w:val="auto"/>
          <w:kern w:val="2"/>
          <w:sz w:val="28"/>
          <w:szCs w:val="28"/>
          <w:highlight w:val="none"/>
          <w:lang w:val="en-US" w:eastAsia="zh-CN" w:bidi="ar-SA"/>
        </w:rPr>
        <w:t>.2 施工进度计划</w:t>
      </w:r>
      <w:bookmarkEnd w:id="346"/>
      <w:bookmarkEnd w:id="347"/>
    </w:p>
    <w:bookmarkEnd w:id="34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7.2.1 施工进度计划的编制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7.2.2 施工进度计划的修订</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49" w:name="_Toc532377231"/>
      <w:bookmarkStart w:id="350" w:name="_Toc351203545"/>
      <w:r>
        <w:rPr>
          <w:rFonts w:hint="eastAsia" w:ascii="宋体" w:hAnsi="宋体" w:eastAsia="宋体" w:cs="宋体"/>
          <w:b/>
          <w:color w:val="auto"/>
          <w:kern w:val="2"/>
          <w:sz w:val="28"/>
          <w:szCs w:val="28"/>
          <w:highlight w:val="none"/>
          <w:lang w:val="en-US" w:eastAsia="zh-CN" w:bidi="ar-SA"/>
        </w:rPr>
        <w:t>7</w:t>
      </w:r>
      <w:bookmarkStart w:id="351" w:name="_Toc337558770"/>
      <w:r>
        <w:rPr>
          <w:rFonts w:hint="eastAsia" w:ascii="宋体" w:hAnsi="宋体" w:eastAsia="宋体" w:cs="宋体"/>
          <w:b/>
          <w:color w:val="auto"/>
          <w:kern w:val="2"/>
          <w:sz w:val="28"/>
          <w:szCs w:val="28"/>
          <w:highlight w:val="none"/>
          <w:lang w:val="en-US" w:eastAsia="zh-CN" w:bidi="ar-SA"/>
        </w:rPr>
        <w:t>.3 开工</w:t>
      </w:r>
      <w:bookmarkEnd w:id="349"/>
      <w:bookmarkEnd w:id="350"/>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7.3.1 开工准备</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除专用合同条款另有约定外，合同当事人应按约定完成开工准备工作。</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7.3.2 开工通知</w:t>
      </w:r>
    </w:p>
    <w:bookmarkEnd w:id="35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52" w:name="_Toc351203546"/>
      <w:bookmarkStart w:id="353" w:name="_Toc532377232"/>
      <w:r>
        <w:rPr>
          <w:rFonts w:hint="eastAsia" w:ascii="宋体" w:hAnsi="宋体" w:eastAsia="宋体" w:cs="宋体"/>
          <w:b/>
          <w:color w:val="auto"/>
          <w:kern w:val="2"/>
          <w:sz w:val="28"/>
          <w:szCs w:val="28"/>
          <w:highlight w:val="none"/>
          <w:lang w:val="en-US" w:eastAsia="zh-CN" w:bidi="ar-SA"/>
        </w:rPr>
        <w:t>7.4测量放线</w:t>
      </w:r>
      <w:bookmarkEnd w:id="352"/>
      <w:bookmarkEnd w:id="353"/>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现发包人提供的测量基准点、基准线和水准点及其书面资料存在错误或疏漏的，应及时通知监理人。监理人应及时报告发包人，并会同发包人和承包人予以核实。发包人应就如何处理和是否继续施工作出决定，并通知监理人和承包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7.4.2 承包人负责施工过程中的全部施工测量放线工作，并配置具有相应资质的人员、合格的仪器、设备和其他物品。承包人应矫正工程的位置、标高、尺寸或准线中出现的任何差错，并对工程各部分的定位负责。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施工过程中对施工现场内水准点等测量标志物的保护工作由承包人负责。</w:t>
      </w:r>
      <w:bookmarkStart w:id="354" w:name="_Toc351203547"/>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55" w:name="_Toc532377233"/>
      <w:r>
        <w:rPr>
          <w:rFonts w:hint="eastAsia" w:ascii="宋体" w:hAnsi="宋体" w:eastAsia="宋体" w:cs="宋体"/>
          <w:b/>
          <w:color w:val="auto"/>
          <w:kern w:val="2"/>
          <w:sz w:val="28"/>
          <w:szCs w:val="28"/>
          <w:highlight w:val="none"/>
          <w:lang w:val="en-US" w:eastAsia="zh-CN" w:bidi="ar-SA"/>
        </w:rPr>
        <w:t>7</w:t>
      </w:r>
      <w:bookmarkEnd w:id="344"/>
      <w:bookmarkEnd w:id="345"/>
      <w:bookmarkStart w:id="356" w:name="_Toc337558772"/>
      <w:bookmarkStart w:id="357" w:name="_Toc296346574"/>
      <w:bookmarkStart w:id="358" w:name="_Toc296503073"/>
      <w:r>
        <w:rPr>
          <w:rFonts w:hint="eastAsia" w:ascii="宋体" w:hAnsi="宋体" w:eastAsia="宋体" w:cs="宋体"/>
          <w:b/>
          <w:color w:val="auto"/>
          <w:kern w:val="2"/>
          <w:sz w:val="28"/>
          <w:szCs w:val="28"/>
          <w:highlight w:val="none"/>
          <w:lang w:val="en-US" w:eastAsia="zh-CN" w:bidi="ar-SA"/>
        </w:rPr>
        <w:t>.5 工期延误</w:t>
      </w:r>
      <w:bookmarkEnd w:id="354"/>
      <w:bookmarkEnd w:id="355"/>
    </w:p>
    <w:bookmarkEnd w:id="356"/>
    <w:bookmarkEnd w:id="357"/>
    <w:bookmarkEnd w:id="358"/>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7.5.1 因发包人原因导致工期延误</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在合同履行过程中，因下列情况导致工期延误和（或）费用增加的，由发包人承担由此延误的工期和（或）增加的费用，且发包人应支付承包人合理的利润： </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（1）发包人未能按合同约定提供图纸或所提供图纸不符合合同约定的；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（2）发包人未能按合同约定提供施工现场、施工条件、基础资料、许可、批准等开工条件的；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（3）发包人提供的测量基准点、基准线和水准点及其书面资料存在错误或疏漏的；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（4）发包人未能在计划开工日期之日起7天内同意下达开工通知的；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（5）发包人未能按合同约定日期支付工程预付款、进度款或竣工结算款的；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（6）监理人未按合同约定发出指示、批准等文件的；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（7）专用合同条款中约定的其他情形。</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7.5.2 因承包人原因导致工期延误</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bookmarkStart w:id="359" w:name="_Toc296503076"/>
      <w:bookmarkStart w:id="360" w:name="_Toc296346577"/>
      <w:r>
        <w:rPr>
          <w:rFonts w:hint="eastAsia" w:ascii="宋体" w:hAnsi="宋体" w:eastAsia="宋体" w:cs="宋体"/>
          <w:color w:val="auto"/>
          <w:kern w:val="0"/>
          <w:szCs w:val="21"/>
          <w:highlight w:val="none"/>
        </w:rPr>
        <w:t>因</w:t>
      </w:r>
      <w:bookmarkEnd w:id="359"/>
      <w:bookmarkEnd w:id="360"/>
      <w:r>
        <w:rPr>
          <w:rFonts w:hint="eastAsia" w:ascii="宋体" w:hAnsi="宋体" w:eastAsia="宋体" w:cs="宋体"/>
          <w:color w:val="auto"/>
          <w:kern w:val="0"/>
          <w:szCs w:val="21"/>
          <w:highlight w:val="none"/>
        </w:rPr>
        <w:t>承包人原因造成工期延误的，可以在专用合同条款中约定逾期竣工违约金的计算方法和逾期竣工违约金的上限。承包人支付逾期竣工违约金后，不免除承包人继续完成工程及修补缺陷的义务。</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61" w:name="_Toc532377234"/>
      <w:bookmarkStart w:id="362" w:name="_Toc351203548"/>
      <w:r>
        <w:rPr>
          <w:rFonts w:hint="eastAsia" w:ascii="宋体" w:hAnsi="宋体" w:eastAsia="宋体" w:cs="宋体"/>
          <w:b/>
          <w:color w:val="auto"/>
          <w:kern w:val="2"/>
          <w:sz w:val="28"/>
          <w:szCs w:val="28"/>
          <w:highlight w:val="none"/>
          <w:lang w:val="en-US" w:eastAsia="zh-CN" w:bidi="ar-SA"/>
        </w:rPr>
        <w:t>7</w:t>
      </w:r>
      <w:bookmarkStart w:id="363" w:name="_Toc337558773"/>
      <w:bookmarkStart w:id="364" w:name="_Toc296503074"/>
      <w:bookmarkStart w:id="365" w:name="_Toc296346575"/>
      <w:bookmarkStart w:id="366" w:name="_Toc296346578"/>
      <w:bookmarkStart w:id="367" w:name="_Toc296503077"/>
      <w:r>
        <w:rPr>
          <w:rFonts w:hint="eastAsia" w:ascii="宋体" w:hAnsi="宋体" w:eastAsia="宋体" w:cs="宋体"/>
          <w:b/>
          <w:color w:val="auto"/>
          <w:kern w:val="2"/>
          <w:sz w:val="28"/>
          <w:szCs w:val="28"/>
          <w:highlight w:val="none"/>
          <w:lang w:val="en-US" w:eastAsia="zh-CN" w:bidi="ar-SA"/>
        </w:rPr>
        <w:t>.6 不利物质条件</w:t>
      </w:r>
      <w:bookmarkEnd w:id="361"/>
      <w:bookmarkEnd w:id="362"/>
    </w:p>
    <w:bookmarkEnd w:id="363"/>
    <w:bookmarkEnd w:id="364"/>
    <w:bookmarkEnd w:id="365"/>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不利物质条件是指有经验的承包人在施工现场遇到的不可预见的自然物质条件、非自然的物质障碍和污染物，包括地表以下物质条件和水文条件以及专用合同条款约定的其他情形，但不包括气候条件。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68" w:name="_Toc351203549"/>
      <w:bookmarkStart w:id="369" w:name="_Toc532377235"/>
      <w:r>
        <w:rPr>
          <w:rFonts w:hint="eastAsia" w:ascii="宋体" w:hAnsi="宋体" w:eastAsia="宋体" w:cs="宋体"/>
          <w:b/>
          <w:color w:val="auto"/>
          <w:kern w:val="2"/>
          <w:sz w:val="28"/>
          <w:szCs w:val="28"/>
          <w:highlight w:val="none"/>
          <w:lang w:val="en-US" w:eastAsia="zh-CN" w:bidi="ar-SA"/>
        </w:rPr>
        <w:t>7</w:t>
      </w:r>
      <w:bookmarkStart w:id="370" w:name="_Toc296503075"/>
      <w:bookmarkStart w:id="371" w:name="_Toc296346576"/>
      <w:bookmarkStart w:id="372" w:name="_Toc337558774"/>
      <w:r>
        <w:rPr>
          <w:rFonts w:hint="eastAsia" w:ascii="宋体" w:hAnsi="宋体" w:eastAsia="宋体" w:cs="宋体"/>
          <w:b/>
          <w:color w:val="auto"/>
          <w:kern w:val="2"/>
          <w:sz w:val="28"/>
          <w:szCs w:val="28"/>
          <w:highlight w:val="none"/>
          <w:lang w:val="en-US" w:eastAsia="zh-CN" w:bidi="ar-SA"/>
        </w:rPr>
        <w:t>.7 异常恶劣的气候条件</w:t>
      </w:r>
      <w:bookmarkEnd w:id="368"/>
      <w:bookmarkEnd w:id="369"/>
    </w:p>
    <w:bookmarkEnd w:id="370"/>
    <w:bookmarkEnd w:id="371"/>
    <w:bookmarkEnd w:id="372"/>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bookmarkStart w:id="373" w:name="_Toc351203550"/>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74" w:name="_Toc532377236"/>
      <w:r>
        <w:rPr>
          <w:rFonts w:hint="eastAsia" w:ascii="宋体" w:hAnsi="宋体" w:eastAsia="宋体" w:cs="宋体"/>
          <w:b/>
          <w:color w:val="auto"/>
          <w:kern w:val="2"/>
          <w:sz w:val="28"/>
          <w:szCs w:val="28"/>
          <w:highlight w:val="none"/>
          <w:lang w:val="en-US" w:eastAsia="zh-CN" w:bidi="ar-SA"/>
        </w:rPr>
        <w:t>7</w:t>
      </w:r>
      <w:bookmarkStart w:id="375" w:name="_Toc337558775"/>
      <w:r>
        <w:rPr>
          <w:rFonts w:hint="eastAsia" w:ascii="宋体" w:hAnsi="宋体" w:eastAsia="宋体" w:cs="宋体"/>
          <w:b/>
          <w:color w:val="auto"/>
          <w:kern w:val="2"/>
          <w:sz w:val="28"/>
          <w:szCs w:val="28"/>
          <w:highlight w:val="none"/>
          <w:lang w:val="en-US" w:eastAsia="zh-CN" w:bidi="ar-SA"/>
        </w:rPr>
        <w:t>.8 暂停施工</w:t>
      </w:r>
      <w:bookmarkEnd w:id="373"/>
      <w:bookmarkEnd w:id="374"/>
    </w:p>
    <w:bookmarkEnd w:id="366"/>
    <w:bookmarkEnd w:id="367"/>
    <w:bookmarkEnd w:id="375"/>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7.8.1发包人原因引起的暂停施工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因发包人原因引起暂停施工的，监理人经发包人同意后，应及时下达暂停施工指示。情况紧急且监理人未及时下达暂停施工指示的，按照第7.8.4项〔紧急情况下的暂停施工〕执行。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因发包人原因引起的暂停施工，发包人应承担由此增加的费用和（或）延误的工期，并支付承包人合理的利润。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7.8.2 承包人原因引起的暂停施工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7.8.3 指示暂停施工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监理人认为有必要时，并经发包人批准后，可向承包人作出暂停施工的指示，承包人应按监理人指示暂停施工。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7.8.4 紧急情况下的暂停施工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7.8.5 暂停施工后的复工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承包人无故拖延和拒绝复工的，承包人承担由此增加的费用和（或）延误的工期；因发包人原因无法按时复工的，按照第7.5.1项〔因发包人原因导致工期延误〕约定办理。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7.8.6 暂停施工持续56天以上</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7.8.7 暂停施工期间的工程照管</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暂停施工期间，承包人应负责妥善照管工程并提供安全保障，由此增加的费用由责任方承担。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7.8.8 暂停施工的措施</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暂停施工期间，发包人和承包人均应采取必要的措施确保工程质量及安全，防止因暂停施工扩大损失。</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76" w:name="_Toc532377237"/>
      <w:bookmarkStart w:id="377" w:name="_Toc351203551"/>
      <w:r>
        <w:rPr>
          <w:rFonts w:hint="eastAsia" w:ascii="宋体" w:hAnsi="宋体" w:eastAsia="宋体" w:cs="宋体"/>
          <w:b/>
          <w:color w:val="auto"/>
          <w:kern w:val="2"/>
          <w:sz w:val="28"/>
          <w:szCs w:val="28"/>
          <w:highlight w:val="none"/>
          <w:lang w:val="en-US" w:eastAsia="zh-CN" w:bidi="ar-SA"/>
        </w:rPr>
        <w:t>7.9提前竣工</w:t>
      </w:r>
      <w:bookmarkEnd w:id="376"/>
      <w:bookmarkEnd w:id="377"/>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7.9.2 发包人要求承包人提前竣工，或承包人提出提前竣工的建议能够给发包人带来效益的，合同当事人可以在专用合同条款中约定提前竣工的奖励。</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378" w:name="_Toc532377238"/>
      <w:bookmarkStart w:id="379" w:name="_Toc532375594"/>
      <w:bookmarkStart w:id="380" w:name="_Toc351203552"/>
      <w:r>
        <w:rPr>
          <w:rFonts w:hint="eastAsia" w:ascii="宋体" w:hAnsi="宋体" w:eastAsia="宋体" w:cs="宋体"/>
          <w:color w:val="auto"/>
          <w:kern w:val="2"/>
          <w:sz w:val="28"/>
          <w:szCs w:val="28"/>
          <w:highlight w:val="none"/>
        </w:rPr>
        <w:t>8</w:t>
      </w:r>
      <w:bookmarkStart w:id="381" w:name="_Toc296503058"/>
      <w:bookmarkStart w:id="382" w:name="_Toc337558776"/>
      <w:bookmarkStart w:id="383" w:name="_Toc296346559"/>
      <w:r>
        <w:rPr>
          <w:rFonts w:hint="eastAsia" w:ascii="宋体" w:hAnsi="宋体" w:eastAsia="宋体" w:cs="宋体"/>
          <w:color w:val="auto"/>
          <w:kern w:val="2"/>
          <w:sz w:val="28"/>
          <w:szCs w:val="28"/>
          <w:highlight w:val="none"/>
        </w:rPr>
        <w:t>. 材料与设备</w:t>
      </w:r>
      <w:bookmarkEnd w:id="378"/>
      <w:bookmarkEnd w:id="379"/>
      <w:bookmarkEnd w:id="380"/>
    </w:p>
    <w:bookmarkEnd w:id="381"/>
    <w:bookmarkEnd w:id="382"/>
    <w:bookmarkEnd w:id="383"/>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84" w:name="_Toc351203553"/>
      <w:bookmarkStart w:id="385" w:name="_Toc532377239"/>
      <w:r>
        <w:rPr>
          <w:rFonts w:hint="eastAsia" w:ascii="宋体" w:hAnsi="宋体" w:eastAsia="宋体" w:cs="宋体"/>
          <w:b/>
          <w:color w:val="auto"/>
          <w:kern w:val="2"/>
          <w:sz w:val="28"/>
          <w:szCs w:val="28"/>
          <w:highlight w:val="none"/>
          <w:lang w:val="en-US" w:eastAsia="zh-CN" w:bidi="ar-SA"/>
        </w:rPr>
        <w:t>8</w:t>
      </w:r>
      <w:bookmarkStart w:id="386" w:name="_Toc296346560"/>
      <w:bookmarkStart w:id="387" w:name="_Toc337558777"/>
      <w:bookmarkStart w:id="388" w:name="_Toc296503059"/>
      <w:bookmarkStart w:id="389" w:name="_Toc468936960"/>
      <w:r>
        <w:rPr>
          <w:rFonts w:hint="eastAsia" w:ascii="宋体" w:hAnsi="宋体" w:eastAsia="宋体" w:cs="宋体"/>
          <w:b/>
          <w:color w:val="auto"/>
          <w:kern w:val="2"/>
          <w:sz w:val="28"/>
          <w:szCs w:val="28"/>
          <w:highlight w:val="none"/>
          <w:lang w:val="en-US" w:eastAsia="zh-CN" w:bidi="ar-SA"/>
        </w:rPr>
        <w:t>.1发包人供应材料与工程设备</w:t>
      </w:r>
      <w:bookmarkEnd w:id="384"/>
      <w:bookmarkEnd w:id="385"/>
    </w:p>
    <w:bookmarkEnd w:id="386"/>
    <w:bookmarkEnd w:id="387"/>
    <w:bookmarkEnd w:id="38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发包人自行供应材料、工程设备的，应在签订合同时在专用合同条款的附件《发包人供应材料设备一览表》中明确材料、工程设备的品种、规格、型号、数量、单价、质量等级和送达地点。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90" w:name="_Toc532377240"/>
      <w:r>
        <w:rPr>
          <w:rFonts w:hint="eastAsia" w:ascii="宋体" w:hAnsi="宋体" w:eastAsia="宋体" w:cs="宋体"/>
          <w:b/>
          <w:color w:val="auto"/>
          <w:kern w:val="2"/>
          <w:sz w:val="28"/>
          <w:szCs w:val="28"/>
          <w:highlight w:val="none"/>
          <w:lang w:val="en-US" w:eastAsia="zh-CN" w:bidi="ar-SA"/>
        </w:rPr>
        <w:t>8.2承包人采购材料与工程设备</w:t>
      </w:r>
      <w:bookmarkEnd w:id="390"/>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91" w:name="_Toc532377241"/>
      <w:bookmarkStart w:id="392" w:name="_Toc351203555"/>
      <w:r>
        <w:rPr>
          <w:rFonts w:hint="eastAsia" w:ascii="宋体" w:hAnsi="宋体" w:eastAsia="宋体" w:cs="宋体"/>
          <w:b/>
          <w:color w:val="auto"/>
          <w:kern w:val="2"/>
          <w:sz w:val="28"/>
          <w:szCs w:val="28"/>
          <w:highlight w:val="none"/>
          <w:lang w:val="en-US" w:eastAsia="zh-CN" w:bidi="ar-SA"/>
        </w:rPr>
        <w:t>8</w:t>
      </w:r>
      <w:bookmarkStart w:id="393" w:name="_Toc296346562"/>
      <w:bookmarkStart w:id="394" w:name="_Toc296503061"/>
      <w:bookmarkStart w:id="395" w:name="_Toc337558779"/>
      <w:r>
        <w:rPr>
          <w:rFonts w:hint="eastAsia" w:ascii="宋体" w:hAnsi="宋体" w:eastAsia="宋体" w:cs="宋体"/>
          <w:b/>
          <w:color w:val="auto"/>
          <w:kern w:val="2"/>
          <w:sz w:val="28"/>
          <w:szCs w:val="28"/>
          <w:highlight w:val="none"/>
          <w:lang w:val="en-US" w:eastAsia="zh-CN" w:bidi="ar-SA"/>
        </w:rPr>
        <w:t>.3材料与工程设备的接收与拒收</w:t>
      </w:r>
      <w:bookmarkEnd w:id="391"/>
      <w:bookmarkEnd w:id="392"/>
    </w:p>
    <w:bookmarkEnd w:id="393"/>
    <w:bookmarkEnd w:id="394"/>
    <w:bookmarkEnd w:id="395"/>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发包人提供的材料和工程设备的规格、数量或质量不符合合同约定的，或因发包人原因导致交货日期延误或交货地点变更等情况的，按照第16.1款〔发包人违约〕约定办理。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8.3.2 承包人采购的材料和工程设备，应保证产品质量合格，承包人应在材料和工程设备到货前24小时通知监理人检验。承</w:t>
      </w:r>
      <w:bookmarkStart w:id="396" w:name="_Toc250655469"/>
      <w:r>
        <w:rPr>
          <w:rFonts w:hint="eastAsia" w:ascii="宋体" w:hAnsi="宋体" w:eastAsia="宋体" w:cs="宋体"/>
          <w:color w:val="auto"/>
          <w:kern w:val="0"/>
          <w:szCs w:val="21"/>
          <w:highlight w:val="none"/>
        </w:rPr>
        <w:t>包人进行永久设备、材料的制造和生产的，应符合相关质量标准，并向监理人提交材料的样本以及有关资料，并应在使用该材料或工程设备之前获得监理人同意。</w:t>
      </w:r>
    </w:p>
    <w:bookmarkEnd w:id="396"/>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397" w:name="_Toc351203556"/>
      <w:bookmarkStart w:id="398" w:name="_Toc532377242"/>
      <w:r>
        <w:rPr>
          <w:rFonts w:hint="eastAsia" w:ascii="宋体" w:hAnsi="宋体" w:eastAsia="宋体" w:cs="宋体"/>
          <w:b/>
          <w:color w:val="auto"/>
          <w:kern w:val="2"/>
          <w:sz w:val="28"/>
          <w:szCs w:val="28"/>
          <w:highlight w:val="none"/>
          <w:lang w:val="en-US" w:eastAsia="zh-CN" w:bidi="ar-SA"/>
        </w:rPr>
        <w:t>8</w:t>
      </w:r>
      <w:bookmarkStart w:id="399" w:name="_Toc296503062"/>
      <w:bookmarkStart w:id="400" w:name="_Toc296346563"/>
      <w:bookmarkStart w:id="401" w:name="_Toc337558780"/>
      <w:r>
        <w:rPr>
          <w:rFonts w:hint="eastAsia" w:ascii="宋体" w:hAnsi="宋体" w:eastAsia="宋体" w:cs="宋体"/>
          <w:b/>
          <w:color w:val="auto"/>
          <w:kern w:val="2"/>
          <w:sz w:val="28"/>
          <w:szCs w:val="28"/>
          <w:highlight w:val="none"/>
          <w:lang w:val="en-US" w:eastAsia="zh-CN" w:bidi="ar-SA"/>
        </w:rPr>
        <w:t>.4材料与工程设备的保管与使用</w:t>
      </w:r>
      <w:bookmarkEnd w:id="397"/>
      <w:bookmarkEnd w:id="398"/>
    </w:p>
    <w:bookmarkEnd w:id="399"/>
    <w:bookmarkEnd w:id="400"/>
    <w:bookmarkEnd w:id="40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8.4.1 发包人供应材料与工程设备的保管与使用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发包人供应的材料和工程设备使用前，由承包人负责检验，检验费用由发包人承担，不合格的不得使用。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8.4.2 承包人采购材料与工程设备的保管与使用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发包人或监理人发现承包人使用不符合设计或有关标准要求的材料和工程设备时，有权要求承包人进行修复、拆除或重新采购，由此增加的费用和（或）延误的工期，由承包人承担。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02" w:name="_Toc351203557"/>
      <w:bookmarkStart w:id="403" w:name="_Toc532377243"/>
      <w:r>
        <w:rPr>
          <w:rFonts w:hint="eastAsia" w:ascii="宋体" w:hAnsi="宋体" w:eastAsia="宋体" w:cs="宋体"/>
          <w:b/>
          <w:color w:val="auto"/>
          <w:kern w:val="2"/>
          <w:sz w:val="28"/>
          <w:szCs w:val="28"/>
          <w:highlight w:val="none"/>
          <w:lang w:val="en-US" w:eastAsia="zh-CN" w:bidi="ar-SA"/>
        </w:rPr>
        <w:t>8.5禁止使用不合格的材料和工程设备</w:t>
      </w:r>
      <w:bookmarkEnd w:id="402"/>
      <w:bookmarkEnd w:id="403"/>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8.5.1 监理人有权拒绝承包人提供的不合格材料或工程设备，并要求承包人立即进行更换。监理人应在更换后再次进行检查和检验，由此增加的费用和（或）延误的工期由承包人承担。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8.5.2 监理人发现承包人使用了不合格的材料和工程设备，承包人应按照监理人的指示立即改正，并禁止在工程中继续使用不合格的材料和工程设备。</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8.5.3 发包人提供的材料或工程设备不符合合同要求的，承包人有权拒绝，并可要求发包人更换，由此增加的费用和（或）延误的工期由发包人承担，并支付承包人合理的利润。</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04" w:name="_Toc351203558"/>
      <w:bookmarkStart w:id="405" w:name="_Toc532377244"/>
      <w:r>
        <w:rPr>
          <w:rFonts w:hint="eastAsia" w:ascii="宋体" w:hAnsi="宋体" w:eastAsia="宋体" w:cs="宋体"/>
          <w:b/>
          <w:color w:val="auto"/>
          <w:kern w:val="2"/>
          <w:sz w:val="28"/>
          <w:szCs w:val="28"/>
          <w:highlight w:val="none"/>
          <w:lang w:val="en-US" w:eastAsia="zh-CN" w:bidi="ar-SA"/>
        </w:rPr>
        <w:t>8.6 样品</w:t>
      </w:r>
      <w:bookmarkEnd w:id="404"/>
      <w:bookmarkEnd w:id="405"/>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8.6.1</w:t>
      </w:r>
      <w:r>
        <w:rPr>
          <w:rFonts w:hint="eastAsia" w:ascii="宋体" w:hAnsi="宋体" w:eastAsia="宋体" w:cs="宋体"/>
          <w:color w:val="auto"/>
          <w:kern w:val="0"/>
          <w:szCs w:val="21"/>
          <w:highlight w:val="none"/>
        </w:rPr>
        <w:tab/>
      </w:r>
      <w:r>
        <w:rPr>
          <w:rFonts w:hint="eastAsia" w:ascii="宋体" w:hAnsi="宋体" w:eastAsia="宋体" w:cs="宋体"/>
          <w:color w:val="auto"/>
          <w:kern w:val="0"/>
          <w:szCs w:val="21"/>
          <w:highlight w:val="none"/>
        </w:rPr>
        <w:t>样品的报送与封存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需要承包人报送样品的材料或工程设备，样品的种类、名称、规格、数量等要求均应在专用合同条款中约定。样品的报送程序如下：</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（3）经发包人和监理人审批确认的样品应按约定的方法封样，封存的样品作为检验工程相关部分的标准之一。承包人在施工过程中不得使用与样品不符的材料或工程设备。</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8.6.2 样品的保管</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经批准的样品应由监理人负责封存于现场，承包人应在现场为保存样品提供适当和固定的场所并保持适当和良好的存储环境条件。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06" w:name="_Toc351203559"/>
      <w:bookmarkStart w:id="407" w:name="_Toc532377245"/>
      <w:r>
        <w:rPr>
          <w:rFonts w:hint="eastAsia" w:ascii="宋体" w:hAnsi="宋体" w:eastAsia="宋体" w:cs="宋体"/>
          <w:b/>
          <w:color w:val="auto"/>
          <w:kern w:val="2"/>
          <w:sz w:val="28"/>
          <w:szCs w:val="28"/>
          <w:highlight w:val="none"/>
          <w:lang w:val="en-US" w:eastAsia="zh-CN" w:bidi="ar-SA"/>
        </w:rPr>
        <w:t>8.7材料与工程设备的替代</w:t>
      </w:r>
      <w:bookmarkEnd w:id="406"/>
      <w:bookmarkEnd w:id="407"/>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8.7.1 出现下列情况需要使用替代材料和工程设备的，承包人应按照第8.7.2项约定的程序执行：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（1）基准日期后生效的法律规定禁止使用的；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（2）发包人要求使用替代品的；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（3）因其他原因必须使用替代品的。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8.7.2 承包人应在使用替代材料和工程设备28天前书面通知监理人，并附下列文件：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（1）被替代的材料和工程设备的名称、数量、规格、型号、品牌、性能、价格及其他相关资料；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（2）替代品的名称、数量、规格、型号、品牌、性能、价格及其他相关资料；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（3）替代品与被替代产品之间的差异以及使用替代品可能对工程产生的影响；</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（4）替代品与被替代产品的价格差异；</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（5）使用替代品的理由和原因说明；</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（6）监理人要求的其他文件。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监理人应在收到通知后14天内向承包人发出经发包人签认的书面指示；监理人逾期发出书面指示的，视为发包人和监理人同意使用替代品。</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08" w:name="_Toc532377246"/>
      <w:bookmarkStart w:id="409" w:name="_Toc351203560"/>
      <w:r>
        <w:rPr>
          <w:rFonts w:hint="eastAsia" w:ascii="宋体" w:hAnsi="宋体" w:eastAsia="宋体" w:cs="宋体"/>
          <w:b/>
          <w:color w:val="auto"/>
          <w:kern w:val="2"/>
          <w:sz w:val="28"/>
          <w:szCs w:val="28"/>
          <w:highlight w:val="none"/>
          <w:lang w:val="en-US" w:eastAsia="zh-CN" w:bidi="ar-SA"/>
        </w:rPr>
        <w:t>8.8施工设备和临时设施</w:t>
      </w:r>
      <w:bookmarkEnd w:id="408"/>
      <w:bookmarkEnd w:id="409"/>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8.8.1 承包人提供的施工设备和临时设施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承包人应按合同进度计划的要求，及时配置施工设备和修建临时设施。进入施工场地的承包人设备需经监理人核查后才能投入使用。承包人更换合同约定的承包人设备的，应报监理人批准。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除专用合同条款另有约定外，承包人应自行承担修建临时设施的费用，需要临时占地的，应由发包人办理申请手续并承担相应费用。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8.8.2发包人提供的施工设备和临时设施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发包人提供的施工设备或临时设施在专用合同条款中约定。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8.8.3要求承包人增加或更换施工设备</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承包人使用的施工设备不能满足合同进度计划和（或）质量要求时，监理人有权要求承包人增加或更换施工设备，承包人应及时增加或更换，由此增加的费用和（或）延误的工期由承包人承担。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10" w:name="_Toc351203561"/>
      <w:bookmarkStart w:id="411" w:name="_Toc532377247"/>
      <w:r>
        <w:rPr>
          <w:rFonts w:hint="eastAsia" w:ascii="宋体" w:hAnsi="宋体" w:eastAsia="宋体" w:cs="宋体"/>
          <w:b/>
          <w:color w:val="auto"/>
          <w:kern w:val="2"/>
          <w:sz w:val="28"/>
          <w:szCs w:val="28"/>
          <w:highlight w:val="none"/>
          <w:lang w:val="en-US" w:eastAsia="zh-CN" w:bidi="ar-SA"/>
        </w:rPr>
        <w:t>8</w:t>
      </w:r>
      <w:bookmarkStart w:id="412" w:name="_Toc296346564"/>
      <w:bookmarkStart w:id="413" w:name="_Toc337558781"/>
      <w:bookmarkStart w:id="414" w:name="_Toc296503063"/>
      <w:r>
        <w:rPr>
          <w:rFonts w:hint="eastAsia" w:ascii="宋体" w:hAnsi="宋体" w:eastAsia="宋体" w:cs="宋体"/>
          <w:b/>
          <w:color w:val="auto"/>
          <w:kern w:val="2"/>
          <w:sz w:val="28"/>
          <w:szCs w:val="28"/>
          <w:highlight w:val="none"/>
          <w:lang w:val="en-US" w:eastAsia="zh-CN" w:bidi="ar-SA"/>
        </w:rPr>
        <w:t>.9材料与设备专用</w:t>
      </w:r>
      <w:bookmarkEnd w:id="410"/>
      <w:r>
        <w:rPr>
          <w:rFonts w:hint="eastAsia" w:ascii="宋体" w:hAnsi="宋体" w:eastAsia="宋体" w:cs="宋体"/>
          <w:b/>
          <w:color w:val="auto"/>
          <w:kern w:val="2"/>
          <w:sz w:val="28"/>
          <w:szCs w:val="28"/>
          <w:highlight w:val="none"/>
          <w:lang w:val="en-US" w:eastAsia="zh-CN" w:bidi="ar-SA"/>
        </w:rPr>
        <w:t>要求</w:t>
      </w:r>
      <w:bookmarkEnd w:id="411"/>
    </w:p>
    <w:bookmarkEnd w:id="412"/>
    <w:bookmarkEnd w:id="413"/>
    <w:bookmarkEnd w:id="414"/>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承包人运入施工现场的材料、工程设备、施工设备以及在施工场地建设的临时设施，包括备品备件、安装工具与资料，必须专用于工程。未经发包人批准，承包人不得运出施工现场或挪作他用；</w:t>
      </w:r>
      <w:bookmarkEnd w:id="389"/>
      <w:r>
        <w:rPr>
          <w:rFonts w:hint="eastAsia" w:ascii="宋体" w:hAnsi="宋体" w:eastAsia="宋体" w:cs="宋体"/>
          <w:color w:val="auto"/>
          <w:kern w:val="0"/>
          <w:szCs w:val="21"/>
          <w:highlight w:val="none"/>
        </w:rPr>
        <w:t>经发包人批准，承包人可以根据施工进度计划撤走闲置的施工设备和其他物品。</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415" w:name="_Toc532375595"/>
      <w:bookmarkStart w:id="416" w:name="_Toc532377248"/>
      <w:bookmarkStart w:id="417" w:name="_Toc351203562"/>
      <w:r>
        <w:rPr>
          <w:rFonts w:hint="eastAsia" w:ascii="宋体" w:hAnsi="宋体" w:eastAsia="宋体" w:cs="宋体"/>
          <w:color w:val="auto"/>
          <w:kern w:val="2"/>
          <w:sz w:val="28"/>
          <w:szCs w:val="28"/>
          <w:highlight w:val="none"/>
        </w:rPr>
        <w:t>9</w:t>
      </w:r>
      <w:bookmarkStart w:id="418" w:name="_Toc337558782"/>
      <w:bookmarkStart w:id="419" w:name="_Toc296346584"/>
      <w:bookmarkStart w:id="420" w:name="_Toc296503083"/>
      <w:r>
        <w:rPr>
          <w:rFonts w:hint="eastAsia" w:ascii="宋体" w:hAnsi="宋体" w:eastAsia="宋体" w:cs="宋体"/>
          <w:color w:val="auto"/>
          <w:kern w:val="2"/>
          <w:sz w:val="28"/>
          <w:szCs w:val="28"/>
          <w:highlight w:val="none"/>
        </w:rPr>
        <w:t>. 试验与检验</w:t>
      </w:r>
      <w:bookmarkEnd w:id="415"/>
      <w:bookmarkEnd w:id="416"/>
      <w:bookmarkEnd w:id="417"/>
    </w:p>
    <w:bookmarkEnd w:id="418"/>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21" w:name="_Toc351203563"/>
      <w:bookmarkStart w:id="422" w:name="_Toc532377249"/>
      <w:r>
        <w:rPr>
          <w:rFonts w:hint="eastAsia" w:ascii="宋体" w:hAnsi="宋体" w:eastAsia="宋体" w:cs="宋体"/>
          <w:b/>
          <w:color w:val="auto"/>
          <w:kern w:val="2"/>
          <w:sz w:val="28"/>
          <w:szCs w:val="28"/>
          <w:highlight w:val="none"/>
          <w:lang w:val="en-US" w:eastAsia="zh-CN" w:bidi="ar-SA"/>
        </w:rPr>
        <w:t>9</w:t>
      </w:r>
      <w:bookmarkStart w:id="423" w:name="_Toc337558783"/>
      <w:r>
        <w:rPr>
          <w:rFonts w:hint="eastAsia" w:ascii="宋体" w:hAnsi="宋体" w:eastAsia="宋体" w:cs="宋体"/>
          <w:b/>
          <w:color w:val="auto"/>
          <w:kern w:val="2"/>
          <w:sz w:val="28"/>
          <w:szCs w:val="28"/>
          <w:highlight w:val="none"/>
          <w:lang w:val="en-US" w:eastAsia="zh-CN" w:bidi="ar-SA"/>
        </w:rPr>
        <w:t>.1试验设备与试验人员</w:t>
      </w:r>
      <w:bookmarkEnd w:id="421"/>
      <w:bookmarkEnd w:id="422"/>
    </w:p>
    <w:bookmarkEnd w:id="423"/>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9.1.2 承包人应按专用合同条款的约定提供试验设备、取样装置、试验场所和试验条件，并向监理人提交相应进场计划表。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承包人配置的试验设备要符合相应试验规程的要求并经过具有资质的检测单位检测，且在正式使用该试验设备前，需要经过监理人与承包人共同校定。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9.1.3 承包人应向监理人提交试验人员的名单及其岗位、资格等证明资料，试验人员必须能够熟练进行相应的检测试验，承包人对试验人员的试验程序和试验结果的正确性负责。</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24" w:name="_Toc351203564"/>
      <w:bookmarkStart w:id="425" w:name="_Toc532377250"/>
      <w:r>
        <w:rPr>
          <w:rFonts w:hint="eastAsia" w:ascii="宋体" w:hAnsi="宋体" w:eastAsia="宋体" w:cs="宋体"/>
          <w:b/>
          <w:color w:val="auto"/>
          <w:kern w:val="2"/>
          <w:sz w:val="28"/>
          <w:szCs w:val="28"/>
          <w:highlight w:val="none"/>
          <w:lang w:val="en-US" w:eastAsia="zh-CN" w:bidi="ar-SA"/>
        </w:rPr>
        <w:t>9</w:t>
      </w:r>
      <w:bookmarkStart w:id="426" w:name="_Toc337558784"/>
      <w:r>
        <w:rPr>
          <w:rFonts w:hint="eastAsia" w:ascii="宋体" w:hAnsi="宋体" w:eastAsia="宋体" w:cs="宋体"/>
          <w:b/>
          <w:color w:val="auto"/>
          <w:kern w:val="2"/>
          <w:sz w:val="28"/>
          <w:szCs w:val="28"/>
          <w:highlight w:val="none"/>
          <w:lang w:val="en-US" w:eastAsia="zh-CN" w:bidi="ar-SA"/>
        </w:rPr>
        <w:t>.2取样</w:t>
      </w:r>
      <w:bookmarkEnd w:id="424"/>
      <w:bookmarkEnd w:id="425"/>
    </w:p>
    <w:bookmarkEnd w:id="426"/>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试验属于自检性质的，承包人可以单独取样。试验属于监理人抽检性质的，可由监理人取样，也可由承包人的试验人员在监理人的监督下取样。</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27" w:name="_Toc532377251"/>
      <w:bookmarkStart w:id="428" w:name="_Toc351203565"/>
      <w:r>
        <w:rPr>
          <w:rFonts w:hint="eastAsia" w:ascii="宋体" w:hAnsi="宋体" w:eastAsia="宋体" w:cs="宋体"/>
          <w:b/>
          <w:color w:val="auto"/>
          <w:kern w:val="2"/>
          <w:sz w:val="28"/>
          <w:szCs w:val="28"/>
          <w:highlight w:val="none"/>
          <w:lang w:val="en-US" w:eastAsia="zh-CN" w:bidi="ar-SA"/>
        </w:rPr>
        <w:t>9</w:t>
      </w:r>
      <w:bookmarkStart w:id="429" w:name="_Toc337558785"/>
      <w:r>
        <w:rPr>
          <w:rFonts w:hint="eastAsia" w:ascii="宋体" w:hAnsi="宋体" w:eastAsia="宋体" w:cs="宋体"/>
          <w:b/>
          <w:color w:val="auto"/>
          <w:kern w:val="2"/>
          <w:sz w:val="28"/>
          <w:szCs w:val="28"/>
          <w:highlight w:val="none"/>
          <w:lang w:val="en-US" w:eastAsia="zh-CN" w:bidi="ar-SA"/>
        </w:rPr>
        <w:t>.3材料、工程设备和工程的试验和检验</w:t>
      </w:r>
      <w:bookmarkEnd w:id="427"/>
      <w:bookmarkEnd w:id="428"/>
    </w:p>
    <w:bookmarkEnd w:id="429"/>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30" w:name="_Toc351203566"/>
      <w:bookmarkStart w:id="431" w:name="_Toc532377252"/>
      <w:r>
        <w:rPr>
          <w:rFonts w:hint="eastAsia" w:ascii="宋体" w:hAnsi="宋体" w:eastAsia="宋体" w:cs="宋体"/>
          <w:b/>
          <w:color w:val="auto"/>
          <w:kern w:val="2"/>
          <w:sz w:val="28"/>
          <w:szCs w:val="28"/>
          <w:highlight w:val="none"/>
          <w:lang w:val="en-US" w:eastAsia="zh-CN" w:bidi="ar-SA"/>
        </w:rPr>
        <w:t>9</w:t>
      </w:r>
      <w:bookmarkStart w:id="432" w:name="_Toc337558786"/>
      <w:r>
        <w:rPr>
          <w:rFonts w:hint="eastAsia" w:ascii="宋体" w:hAnsi="宋体" w:eastAsia="宋体" w:cs="宋体"/>
          <w:b/>
          <w:color w:val="auto"/>
          <w:kern w:val="2"/>
          <w:sz w:val="28"/>
          <w:szCs w:val="28"/>
          <w:highlight w:val="none"/>
          <w:lang w:val="en-US" w:eastAsia="zh-CN" w:bidi="ar-SA"/>
        </w:rPr>
        <w:t>.4现场工艺试验</w:t>
      </w:r>
      <w:bookmarkEnd w:id="430"/>
      <w:bookmarkEnd w:id="431"/>
    </w:p>
    <w:bookmarkEnd w:id="432"/>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承包人应按合同约定或监理人指示进行现场工艺试验。对大型的现场工艺试验，监理人认为必要时，承包人应根据监理人提出的工艺试验要求，编制工艺试验措施计划，报送监理人审查。</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433" w:name="_Toc532375596"/>
      <w:bookmarkStart w:id="434" w:name="_Toc351203567"/>
      <w:bookmarkStart w:id="435" w:name="_Toc532377253"/>
      <w:r>
        <w:rPr>
          <w:rFonts w:hint="eastAsia" w:ascii="宋体" w:hAnsi="宋体" w:eastAsia="宋体" w:cs="宋体"/>
          <w:color w:val="auto"/>
          <w:kern w:val="2"/>
          <w:sz w:val="28"/>
          <w:szCs w:val="28"/>
          <w:highlight w:val="none"/>
        </w:rPr>
        <w:t>1</w:t>
      </w:r>
      <w:bookmarkStart w:id="436" w:name="_Toc337558787"/>
      <w:r>
        <w:rPr>
          <w:rFonts w:hint="eastAsia" w:ascii="宋体" w:hAnsi="宋体" w:eastAsia="宋体" w:cs="宋体"/>
          <w:color w:val="auto"/>
          <w:kern w:val="2"/>
          <w:sz w:val="28"/>
          <w:szCs w:val="28"/>
          <w:highlight w:val="none"/>
        </w:rPr>
        <w:t>0. 变更</w:t>
      </w:r>
      <w:bookmarkEnd w:id="419"/>
      <w:bookmarkEnd w:id="420"/>
      <w:bookmarkEnd w:id="433"/>
      <w:bookmarkEnd w:id="434"/>
      <w:bookmarkEnd w:id="435"/>
    </w:p>
    <w:bookmarkEnd w:id="436"/>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37" w:name="_Toc351203568"/>
      <w:bookmarkStart w:id="438" w:name="_Toc532377254"/>
      <w:r>
        <w:rPr>
          <w:rFonts w:hint="eastAsia" w:ascii="宋体" w:hAnsi="宋体" w:eastAsia="宋体" w:cs="宋体"/>
          <w:b/>
          <w:color w:val="auto"/>
          <w:kern w:val="2"/>
          <w:sz w:val="28"/>
          <w:szCs w:val="28"/>
          <w:highlight w:val="none"/>
          <w:lang w:val="en-US" w:eastAsia="zh-CN" w:bidi="ar-SA"/>
        </w:rPr>
        <w:t>1</w:t>
      </w:r>
      <w:bookmarkStart w:id="439" w:name="_Toc296346585"/>
      <w:bookmarkStart w:id="440" w:name="_Toc337558788"/>
      <w:bookmarkStart w:id="441" w:name="_Toc296503084"/>
      <w:r>
        <w:rPr>
          <w:rFonts w:hint="eastAsia" w:ascii="宋体" w:hAnsi="宋体" w:eastAsia="宋体" w:cs="宋体"/>
          <w:b/>
          <w:color w:val="auto"/>
          <w:kern w:val="2"/>
          <w:sz w:val="28"/>
          <w:szCs w:val="28"/>
          <w:highlight w:val="none"/>
          <w:lang w:val="en-US" w:eastAsia="zh-CN" w:bidi="ar-SA"/>
        </w:rPr>
        <w:t>0.1变更的范围</w:t>
      </w:r>
      <w:bookmarkEnd w:id="437"/>
      <w:bookmarkEnd w:id="438"/>
    </w:p>
    <w:bookmarkEnd w:id="439"/>
    <w:bookmarkEnd w:id="440"/>
    <w:bookmarkEnd w:id="44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除专用合同条款另有约定外，合同履行过程中发生以下情形的，应按照本条约定进行变更：</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（1）增加或减少合同中任何工作，或追加额外的工作；</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（2）取消合同中任何工作，但转由他人实施的工作除外；</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（3）改变合同中任何工作的质量标准或其他特性；</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（4）改变工程的基线、标高、位置和尺寸；</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（5）改变工程的时间安排或实施顺序。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42" w:name="_Toc532377255"/>
      <w:r>
        <w:rPr>
          <w:rFonts w:hint="eastAsia" w:ascii="宋体" w:hAnsi="宋体" w:eastAsia="宋体" w:cs="宋体"/>
          <w:b/>
          <w:color w:val="auto"/>
          <w:kern w:val="2"/>
          <w:sz w:val="28"/>
          <w:szCs w:val="28"/>
          <w:highlight w:val="none"/>
          <w:lang w:val="en-US" w:eastAsia="zh-CN" w:bidi="ar-SA"/>
        </w:rPr>
        <w:t>10.2变更权</w:t>
      </w:r>
      <w:bookmarkEnd w:id="442"/>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监理人均可以提出变更。变更指示均通过监理人发出，监理人发出变更指示前应征得发包人同意。承包人收到经发包人签认的变更指示后，方可实施变更。未经许可，承包人不得擅自对工程的任何部分进行变更。</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涉及设计变更的，应由设计人提供变更后的图纸和说明。如变更超过原设计标准或批准的建设规模时，发包人应及时办理规划、设计变更等审批手续。</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43" w:name="_Toc532377256"/>
      <w:r>
        <w:rPr>
          <w:rFonts w:hint="eastAsia" w:ascii="宋体" w:hAnsi="宋体" w:eastAsia="宋体" w:cs="宋体"/>
          <w:b/>
          <w:color w:val="auto"/>
          <w:kern w:val="2"/>
          <w:sz w:val="28"/>
          <w:szCs w:val="28"/>
          <w:highlight w:val="none"/>
          <w:lang w:val="en-US" w:eastAsia="zh-CN" w:bidi="ar-SA"/>
        </w:rPr>
        <w:t>10.3变更程序</w:t>
      </w:r>
      <w:bookmarkEnd w:id="443"/>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10.3.1 发包人提出变更</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发包人提出变更的，应通过监理人向承包人发出变更指示，变更指示应说明计划变更的工程范围和变更的内容。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10.3.2 监理人提出变更建议</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10.3.3 变更执行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44" w:name="_Toc351203571"/>
      <w:bookmarkStart w:id="445" w:name="_Toc532377257"/>
      <w:r>
        <w:rPr>
          <w:rFonts w:hint="eastAsia" w:ascii="宋体" w:hAnsi="宋体" w:eastAsia="宋体" w:cs="宋体"/>
          <w:b/>
          <w:color w:val="auto"/>
          <w:kern w:val="2"/>
          <w:sz w:val="28"/>
          <w:szCs w:val="28"/>
          <w:highlight w:val="none"/>
          <w:lang w:val="en-US" w:eastAsia="zh-CN" w:bidi="ar-SA"/>
        </w:rPr>
        <w:t>1</w:t>
      </w:r>
      <w:bookmarkStart w:id="446" w:name="_Toc337558791"/>
      <w:bookmarkStart w:id="447" w:name="_Toc296503087"/>
      <w:bookmarkStart w:id="448" w:name="_Toc296346588"/>
      <w:r>
        <w:rPr>
          <w:rFonts w:hint="eastAsia" w:ascii="宋体" w:hAnsi="宋体" w:eastAsia="宋体" w:cs="宋体"/>
          <w:b/>
          <w:color w:val="auto"/>
          <w:kern w:val="2"/>
          <w:sz w:val="28"/>
          <w:szCs w:val="28"/>
          <w:highlight w:val="none"/>
          <w:lang w:val="en-US" w:eastAsia="zh-CN" w:bidi="ar-SA"/>
        </w:rPr>
        <w:t>0.4变更估价</w:t>
      </w:r>
      <w:bookmarkEnd w:id="444"/>
      <w:bookmarkEnd w:id="445"/>
    </w:p>
    <w:bookmarkEnd w:id="446"/>
    <w:bookmarkEnd w:id="447"/>
    <w:bookmarkEnd w:id="44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10.4.1 变更估价原则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除专用合同条款另有约定外，变更估价按照本款约定处理：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（1）已标价工程量清单或预算书有相同项目的，按照相同项目单价认定；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（2）已标价工程量清单或预算书中无相同项目，但有类似项目的，参照类似项目的单价认定；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10.4.2 变更估价程序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因变更引起的价格调整应计入最近一期的进度款中支付。</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49" w:name="_Toc351203572"/>
      <w:bookmarkStart w:id="450" w:name="_Toc532377258"/>
      <w:r>
        <w:rPr>
          <w:rFonts w:hint="eastAsia" w:ascii="宋体" w:hAnsi="宋体" w:eastAsia="宋体" w:cs="宋体"/>
          <w:b/>
          <w:color w:val="auto"/>
          <w:kern w:val="2"/>
          <w:sz w:val="28"/>
          <w:szCs w:val="28"/>
          <w:highlight w:val="none"/>
          <w:lang w:val="en-US" w:eastAsia="zh-CN" w:bidi="ar-SA"/>
        </w:rPr>
        <w:t>1</w:t>
      </w:r>
      <w:bookmarkStart w:id="451" w:name="_Toc296503094"/>
      <w:bookmarkStart w:id="452" w:name="_Toc337558792"/>
      <w:bookmarkStart w:id="453" w:name="_Toc296346595"/>
      <w:r>
        <w:rPr>
          <w:rFonts w:hint="eastAsia" w:ascii="宋体" w:hAnsi="宋体" w:eastAsia="宋体" w:cs="宋体"/>
          <w:b/>
          <w:color w:val="auto"/>
          <w:kern w:val="2"/>
          <w:sz w:val="28"/>
          <w:szCs w:val="28"/>
          <w:highlight w:val="none"/>
          <w:lang w:val="en-US" w:eastAsia="zh-CN" w:bidi="ar-SA"/>
        </w:rPr>
        <w:t>0.5承包人的合理化建议</w:t>
      </w:r>
      <w:bookmarkEnd w:id="449"/>
      <w:bookmarkEnd w:id="450"/>
    </w:p>
    <w:bookmarkEnd w:id="451"/>
    <w:bookmarkEnd w:id="452"/>
    <w:bookmarkEnd w:id="453"/>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承包人提出合理化建议的，应向监理人提交合理化建议说明，说明建议的内容和理由，以及实施该建议对合同价格和工期的影响。</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合理化建议降低了合同价格或者提高了工程经济效益的，发包人可对承包人给予奖励，奖励的方法和金额在专用合同条款中约定。</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54" w:name="_Toc351203573"/>
      <w:bookmarkStart w:id="455" w:name="_Toc532377259"/>
      <w:r>
        <w:rPr>
          <w:rFonts w:hint="eastAsia" w:ascii="宋体" w:hAnsi="宋体" w:eastAsia="宋体" w:cs="宋体"/>
          <w:b/>
          <w:color w:val="auto"/>
          <w:kern w:val="2"/>
          <w:sz w:val="28"/>
          <w:szCs w:val="28"/>
          <w:highlight w:val="none"/>
          <w:lang w:val="en-US" w:eastAsia="zh-CN" w:bidi="ar-SA"/>
        </w:rPr>
        <w:t>1</w:t>
      </w:r>
      <w:bookmarkStart w:id="456" w:name="_Toc337558793"/>
      <w:r>
        <w:rPr>
          <w:rFonts w:hint="eastAsia" w:ascii="宋体" w:hAnsi="宋体" w:eastAsia="宋体" w:cs="宋体"/>
          <w:b/>
          <w:color w:val="auto"/>
          <w:kern w:val="2"/>
          <w:sz w:val="28"/>
          <w:szCs w:val="28"/>
          <w:highlight w:val="none"/>
          <w:lang w:val="en-US" w:eastAsia="zh-CN" w:bidi="ar-SA"/>
        </w:rPr>
        <w:t>0.6变更引起的工期调整</w:t>
      </w:r>
      <w:bookmarkEnd w:id="454"/>
      <w:bookmarkEnd w:id="455"/>
      <w:bookmarkEnd w:id="456"/>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因变更引起工期变化的，合同当事人均可要求调整合同工期，由合同当事人按照第4.4款〔商定或确定〕并参考工程所在地的工期定额标准确定增减工期天数。</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57" w:name="_Toc532377260"/>
      <w:bookmarkStart w:id="458" w:name="_Toc351203574"/>
      <w:r>
        <w:rPr>
          <w:rFonts w:hint="eastAsia" w:ascii="宋体" w:hAnsi="宋体" w:eastAsia="宋体" w:cs="宋体"/>
          <w:b/>
          <w:color w:val="auto"/>
          <w:kern w:val="2"/>
          <w:sz w:val="28"/>
          <w:szCs w:val="28"/>
          <w:highlight w:val="none"/>
          <w:lang w:val="en-US" w:eastAsia="zh-CN" w:bidi="ar-SA"/>
        </w:rPr>
        <w:t>10.7暂估价</w:t>
      </w:r>
      <w:bookmarkEnd w:id="457"/>
      <w:bookmarkEnd w:id="458"/>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暂估价专业分包工程、服务、材料和工程设备的明细由合同当事人在专用合同条款中约定。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10.7.1 依法必须招标的暂估价项目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对于依法必须招标的暂估价项目，采取以下第1种方式确定。合同当事人也可以在专用合同条款中选择其他招标方式。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第1种方式：对于依法必须招标的暂估价项目，由承包人招标，对该暂估价项目的确认和批准按照以下约定执行：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（2）承包人应当根据施工进度计划，提前14天将</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rPr>
        <w:t>通过监理人报送发包人审批，发包人应当在收到承包人报送的相关文件后7天内完成审批或提出修改意见；发包人有权确定最高限价并按照法律规定参加评标；</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10.7.2不属于依法必须招标的暂估价项目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除专用合同条款另有约定外，对于不属于依法必须招标的暂估价项目，采取以下第1种方式确定： </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第1种方式：对于不属于依法必须招标的暂估价项目，按本项约定确认和批准：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（1）承包人应根据施工进度计划，在签订暂估价项目的</w:t>
      </w:r>
      <w:r>
        <w:rPr>
          <w:rFonts w:hint="eastAsia" w:ascii="宋体" w:hAnsi="宋体" w:cs="宋体"/>
          <w:color w:val="auto"/>
          <w:kern w:val="0"/>
          <w:szCs w:val="21"/>
          <w:highlight w:val="none"/>
          <w:lang w:eastAsia="zh-CN"/>
        </w:rPr>
        <w:t>建筑工程施工合同</w:t>
      </w:r>
      <w:r>
        <w:rPr>
          <w:rFonts w:hint="eastAsia" w:ascii="宋体" w:hAnsi="宋体" w:eastAsia="宋体" w:cs="宋体"/>
          <w:color w:val="auto"/>
          <w:kern w:val="0"/>
          <w:szCs w:val="21"/>
          <w:highlight w:val="none"/>
        </w:rPr>
        <w:t>、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（2）发包人认为承包人确定的供应商、分包人无法满足工程质量或合同要求的，发包人可以要求承包人重新确定暂估价项目的供应商、分包人;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（3）承包人应当在签订暂估价合同后7天内，将暂估价合同副本报送发包人留存。</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第2种方式：承包人按照第10.7.1项〔依法必须招标的暂估价项目〕约定的第1种方式确定暂估价项目。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第3种方式：承包人直接实施的暂估价项目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承包人具备实施暂估价项目的资格和条件的，经发包人和承包人协商一致后，可由承包人自行实施暂估价项目，合同当事人可以在专用合同条款约定具体事项。</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59" w:name="_Toc351203575"/>
      <w:bookmarkStart w:id="460" w:name="_Toc532377261"/>
      <w:r>
        <w:rPr>
          <w:rFonts w:hint="eastAsia" w:ascii="宋体" w:hAnsi="宋体" w:eastAsia="宋体" w:cs="宋体"/>
          <w:b/>
          <w:color w:val="auto"/>
          <w:kern w:val="2"/>
          <w:sz w:val="28"/>
          <w:szCs w:val="28"/>
          <w:highlight w:val="none"/>
          <w:lang w:val="en-US" w:eastAsia="zh-CN" w:bidi="ar-SA"/>
        </w:rPr>
        <w:t>1</w:t>
      </w:r>
      <w:bookmarkStart w:id="461" w:name="_Toc337558794"/>
      <w:bookmarkStart w:id="462" w:name="_Toc296346591"/>
      <w:bookmarkStart w:id="463" w:name="_Toc322522561"/>
      <w:bookmarkStart w:id="464" w:name="_Toc296503090"/>
      <w:r>
        <w:rPr>
          <w:rFonts w:hint="eastAsia" w:ascii="宋体" w:hAnsi="宋体" w:eastAsia="宋体" w:cs="宋体"/>
          <w:b/>
          <w:color w:val="auto"/>
          <w:kern w:val="2"/>
          <w:sz w:val="28"/>
          <w:szCs w:val="28"/>
          <w:highlight w:val="none"/>
          <w:lang w:val="en-US" w:eastAsia="zh-CN" w:bidi="ar-SA"/>
        </w:rPr>
        <w:t>0.8暂列金额</w:t>
      </w:r>
      <w:bookmarkEnd w:id="459"/>
      <w:bookmarkEnd w:id="460"/>
    </w:p>
    <w:bookmarkEnd w:id="46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暂列金额应按照发包人的要求使用，发包人的要求应通过监理人发出。合同当事人可以在专用合同条款中协商确定有关事项。</w:t>
      </w:r>
    </w:p>
    <w:bookmarkEnd w:id="462"/>
    <w:bookmarkEnd w:id="463"/>
    <w:bookmarkEnd w:id="464"/>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65" w:name="_Toc351203576"/>
      <w:bookmarkStart w:id="466" w:name="_Toc532377262"/>
      <w:r>
        <w:rPr>
          <w:rFonts w:hint="eastAsia" w:ascii="宋体" w:hAnsi="宋体" w:eastAsia="宋体" w:cs="宋体"/>
          <w:b/>
          <w:color w:val="auto"/>
          <w:kern w:val="2"/>
          <w:sz w:val="28"/>
          <w:szCs w:val="28"/>
          <w:highlight w:val="none"/>
          <w:lang w:val="en-US" w:eastAsia="zh-CN" w:bidi="ar-SA"/>
        </w:rPr>
        <w:t>1</w:t>
      </w:r>
      <w:bookmarkStart w:id="467" w:name="_Toc296503091"/>
      <w:bookmarkStart w:id="468" w:name="_Toc337558796"/>
      <w:bookmarkStart w:id="469" w:name="_Toc296346592"/>
      <w:r>
        <w:rPr>
          <w:rFonts w:hint="eastAsia" w:ascii="宋体" w:hAnsi="宋体" w:eastAsia="宋体" w:cs="宋体"/>
          <w:b/>
          <w:color w:val="auto"/>
          <w:kern w:val="2"/>
          <w:sz w:val="28"/>
          <w:szCs w:val="28"/>
          <w:highlight w:val="none"/>
          <w:lang w:val="en-US" w:eastAsia="zh-CN" w:bidi="ar-SA"/>
        </w:rPr>
        <w:t>0.9计日工</w:t>
      </w:r>
      <w:bookmarkEnd w:id="465"/>
      <w:bookmarkEnd w:id="466"/>
      <w:bookmarkEnd w:id="467"/>
      <w:bookmarkEnd w:id="468"/>
      <w:bookmarkEnd w:id="469"/>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采用计日工计价的任何一项工作，承包人应在该项工作实施过程中，每天提交以下报表和有关凭证报送监理人审查：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（1）工作名称、内容和数量；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（2）投入该工作的所有人员的姓名、专业、工种、级别和耗用工时；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（3）投入该工作的材料类别和数量；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（4）投入该工作的施工设备型号、台数和耗用台时；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（5）其他有关资料和凭证。</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计日工由承包人汇总后，列入最近一期进度付款申请单，由监理人审查并经发包人批准后列入进度付款。</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470" w:name="_Toc532377263"/>
      <w:bookmarkStart w:id="471" w:name="_Toc532375597"/>
      <w:bookmarkStart w:id="472" w:name="_Toc351203577"/>
      <w:r>
        <w:rPr>
          <w:rFonts w:hint="eastAsia" w:ascii="宋体" w:hAnsi="宋体" w:eastAsia="宋体" w:cs="宋体"/>
          <w:color w:val="auto"/>
          <w:kern w:val="2"/>
          <w:sz w:val="28"/>
          <w:szCs w:val="28"/>
          <w:highlight w:val="none"/>
        </w:rPr>
        <w:t>11. 价格调整</w:t>
      </w:r>
      <w:bookmarkEnd w:id="470"/>
      <w:bookmarkEnd w:id="471"/>
      <w:bookmarkEnd w:id="472"/>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73" w:name="_Toc532377264"/>
      <w:bookmarkStart w:id="474" w:name="_Toc351203578"/>
      <w:bookmarkStart w:id="475" w:name="_Toc337558797"/>
      <w:bookmarkStart w:id="476" w:name="_Toc296346593"/>
      <w:bookmarkStart w:id="477" w:name="_Toc296503092"/>
      <w:r>
        <w:rPr>
          <w:rFonts w:hint="eastAsia" w:ascii="宋体" w:hAnsi="宋体" w:eastAsia="宋体" w:cs="宋体"/>
          <w:b/>
          <w:color w:val="auto"/>
          <w:kern w:val="2"/>
          <w:sz w:val="28"/>
          <w:szCs w:val="28"/>
          <w:highlight w:val="none"/>
          <w:lang w:val="en-US" w:eastAsia="zh-CN" w:bidi="ar-SA"/>
        </w:rPr>
        <w:t>11.1市场价格波动引起的调整</w:t>
      </w:r>
      <w:bookmarkEnd w:id="473"/>
      <w:bookmarkEnd w:id="474"/>
    </w:p>
    <w:bookmarkEnd w:id="475"/>
    <w:bookmarkEnd w:id="476"/>
    <w:bookmarkEnd w:id="477"/>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除专用合同条款另有约定外，市场价格波动超过合同当事人约定的范围，合同价格应当调整。合同当事人可以在专用合同条款中约定选择以下一种方式对合同价格进行调整：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第1种方式：采用价格指数进行价格调整。</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（1）价格调整公式</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因人工、材料和设备等价格波动影响合同价格时，根据专用合同条款中约定的数据，按以下公式计算差额并调整合同价格：</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object>
          <v:shape id="_x0000_i1025" o:spt="75" type="#_x0000_t75" style="height:43pt;width:360pt;" o:ole="t" filled="f" o:preferrelative="t" stroked="f" coordsize="21600,21600">
            <v:path/>
            <v:fill on="f" focussize="0,0"/>
            <v:stroke on="f" joinstyle="miter"/>
            <v:imagedata r:id="rId15" o:title=""/>
            <o:lock v:ext="edit" aspectratio="t"/>
            <w10:wrap type="none"/>
            <w10:anchorlock/>
          </v:shape>
          <o:OLEObject Type="Embed" ProgID="Equation.3" ShapeID="_x0000_i1025" DrawAspect="Content" ObjectID="_1468075725" r:id="rId14">
            <o:LockedField>false</o:LockedField>
          </o:OLEObject>
        </w:object>
      </w:r>
    </w:p>
    <w:p>
      <w:pPr>
        <w:tabs>
          <w:tab w:val="left" w:pos="0"/>
          <w:tab w:val="left" w:pos="360"/>
          <w:tab w:val="left" w:pos="540"/>
        </w:tabs>
        <w:spacing w:line="360" w:lineRule="auto"/>
        <w:ind w:firstLine="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公式中：ΔP——需调整的价格差额；</w:t>
      </w:r>
    </w:p>
    <w:p>
      <w:pPr>
        <w:tabs>
          <w:tab w:val="left" w:pos="0"/>
          <w:tab w:val="left" w:pos="360"/>
          <w:tab w:val="left" w:pos="540"/>
        </w:tabs>
        <w:spacing w:line="360" w:lineRule="auto"/>
        <w:ind w:firstLine="1680" w:firstLineChars="6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object>
          <v:shape id="_x0000_i1026" o:spt="75" type="#_x0000_t75" style="height:18.5pt;width:18.5pt;" o:ole="t" filled="f" o:preferrelative="t" stroked="f" coordsize="21600,21600">
            <v:path/>
            <v:fill on="f" focussize="0,0"/>
            <v:stroke on="f" joinstyle="miter"/>
            <v:imagedata r:id="rId17" o:title=""/>
            <o:lock v:ext="edit" aspectratio="t"/>
            <w10:wrap type="none"/>
            <w10:anchorlock/>
          </v:shape>
          <o:OLEObject Type="Embed" ProgID="Equation.3" ShapeID="_x0000_i1026" DrawAspect="Content" ObjectID="_1468075726" r:id="rId16">
            <o:LockedField>false</o:LockedField>
          </o:OLEObject>
        </w:object>
      </w:r>
      <w:r>
        <w:rPr>
          <w:rFonts w:hint="eastAsia" w:ascii="宋体" w:hAnsi="宋体" w:eastAsia="宋体" w:cs="宋体"/>
          <w:color w:val="auto"/>
          <w:kern w:val="0"/>
          <w:szCs w:val="21"/>
          <w:highlight w:val="none"/>
        </w:rPr>
        <w:t>——约定的付款证书中承包人应得到的已完成工程量的金额。此项金额应不包括价格调整、不计质量保证金的扣留和支付、预付款的支付和扣回。约定的变更及其他金额已按现行价格计价的，也不计在内；</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A——定值权重（即不调部分的权重）；</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object>
          <v:shape id="_x0000_i1027" o:spt="75" type="#_x0000_t75" style="height:22pt;width:100.5pt;" o:ole="t" filled="f" o:preferrelative="t" stroked="f" coordsize="21600,21600">
            <v:path/>
            <v:fill on="f" focussize="0,0"/>
            <v:stroke on="f" joinstyle="miter"/>
            <v:imagedata r:id="rId19" o:title=""/>
            <o:lock v:ext="edit" aspectratio="t"/>
            <w10:wrap type="none"/>
            <w10:anchorlock/>
          </v:shape>
          <o:OLEObject Type="Embed" ProgID="Equation.3" ShapeID="_x0000_i1027" DrawAspect="Content" ObjectID="_1468075727" r:id="rId18">
            <o:LockedField>false</o:LockedField>
          </o:OLEObject>
        </w:object>
      </w:r>
      <w:r>
        <w:rPr>
          <w:rFonts w:hint="eastAsia" w:ascii="宋体" w:hAnsi="宋体" w:eastAsia="宋体" w:cs="宋体"/>
          <w:color w:val="auto"/>
          <w:kern w:val="0"/>
          <w:szCs w:val="21"/>
          <w:highlight w:val="none"/>
        </w:rPr>
        <w:t>——各可调因子的变值权重（即可调部分的权重），为各可调因子在签约合同价中所占的比例；</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object>
          <v:shape id="_x0000_i1028" o:spt="75" type="#_x0000_t75" style="height:22pt;width:101.5pt;" o:ole="t" filled="f" o:preferrelative="t" stroked="f" coordsize="21600,21600">
            <v:path/>
            <v:fill on="f" focussize="0,0"/>
            <v:stroke on="f" joinstyle="miter"/>
            <v:imagedata r:id="rId21" o:title=""/>
            <o:lock v:ext="edit" aspectratio="t"/>
            <w10:wrap type="none"/>
            <w10:anchorlock/>
          </v:shape>
          <o:OLEObject Type="Embed" ProgID="Equation.3" ShapeID="_x0000_i1028" DrawAspect="Content" ObjectID="_1468075728" r:id="rId20">
            <o:LockedField>false</o:LockedField>
          </o:OLEObject>
        </w:object>
      </w:r>
      <w:r>
        <w:rPr>
          <w:rFonts w:hint="eastAsia" w:ascii="宋体" w:hAnsi="宋体" w:eastAsia="宋体" w:cs="宋体"/>
          <w:color w:val="auto"/>
          <w:kern w:val="0"/>
          <w:szCs w:val="21"/>
          <w:highlight w:val="none"/>
        </w:rPr>
        <w:t>——各可调因子的现行价格指数，指约定的付款证书相关周期最后一天的前42天的各可调因子的价格指数；</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object>
          <v:shape id="_x0000_i1029" o:spt="75" type="#_x0000_t75" style="height:22pt;width:109pt;" o:ole="t" filled="f" o:preferrelative="t" stroked="f" coordsize="21600,21600">
            <v:path/>
            <v:fill on="f" focussize="0,0"/>
            <v:stroke on="f" joinstyle="miter"/>
            <v:imagedata r:id="rId23" o:title=""/>
            <o:lock v:ext="edit" aspectratio="t"/>
            <w10:wrap type="none"/>
            <w10:anchorlock/>
          </v:shape>
          <o:OLEObject Type="Embed" ProgID="Equation.3" ShapeID="_x0000_i1029" DrawAspect="Content" ObjectID="_1468075729" r:id="rId22">
            <o:LockedField>false</o:LockedField>
          </o:OLEObject>
        </w:object>
      </w:r>
      <w:r>
        <w:rPr>
          <w:rFonts w:hint="eastAsia" w:ascii="宋体" w:hAnsi="宋体" w:eastAsia="宋体" w:cs="宋体"/>
          <w:color w:val="auto"/>
          <w:kern w:val="0"/>
          <w:szCs w:val="21"/>
          <w:highlight w:val="none"/>
        </w:rPr>
        <w:t>——各可调因子的基本价格指数，指基准日期的各可调因子的价格指数。</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（2）暂时确定调整差额</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在计算调整差额时无现行价格指数的，合同当事人同意暂用前次价格指数计算。实际价格指数有调整的，合同当事人进行相应调整。</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（3）权重的调整</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因变更导致合同约定的权重不合理时，按照第4.4款〔商定或确定〕执行。</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（4）因承包人原因工期延误后的价格调整</w:t>
      </w:r>
    </w:p>
    <w:p>
      <w:pPr>
        <w:tabs>
          <w:tab w:val="left" w:pos="0"/>
          <w:tab w:val="left" w:pos="360"/>
          <w:tab w:val="left" w:pos="540"/>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因承包人原因未按期竣工的，对合同约定的竣工日期后继续施工的工程，在使用价格调整公式时，应采用计划竣工日期与实际竣工日期的两个价格指数中较低的一个作为现行价格指数。</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第2种方式：采用造价信息进行价格调整。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（2）材料、工程设备价格变化的价款调整按照发包人提供的基准价格，按以下风险范围规定执行：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③承包人在已标价工程量清单或预算书中载明材料单价等于基准价格的：除专用合同条款另有约定外，合同履行期间材料单价涨跌幅以基准价格为基础超过±5%时，其超过部分据实调整。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spacing w:line="360" w:lineRule="auto"/>
        <w:ind w:firstLine="560" w:firstLineChars="200"/>
        <w:jc w:val="left"/>
        <w:rPr>
          <w:rFonts w:hint="eastAsia" w:ascii="宋体" w:hAnsi="宋体" w:eastAsia="宋体" w:cs="宋体"/>
          <w:color w:val="auto"/>
          <w:kern w:val="0"/>
          <w:szCs w:val="21"/>
          <w:highlight w:val="none"/>
        </w:rPr>
      </w:pPr>
      <w:bookmarkStart w:id="478" w:name="OLE_LINK3"/>
      <w:r>
        <w:rPr>
          <w:rFonts w:hint="eastAsia" w:ascii="宋体" w:hAnsi="宋体" w:eastAsia="宋体" w:cs="宋体"/>
          <w:color w:val="auto"/>
          <w:kern w:val="0"/>
          <w:szCs w:val="21"/>
          <w:highlight w:val="none"/>
        </w:rPr>
        <w:t>前述基准价格是指由发包人在</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rPr>
        <w:t>或专用合同条款中给定的材料、工程设备的价格，该价格原则上应当按照省级或行业建设主管部门或其授权的工程造价管理机构发布的信息价编制。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（3）施工机械台班单价或施工机械使用费发生变化超过省级或行业建设主管部门或其授权的工程造价管理机构规定的范围时，按规定调整合同价格。</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第3种方式：专用合同条款约定的其他方式。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79" w:name="_Toc351203579"/>
      <w:bookmarkStart w:id="480" w:name="_Toc532377265"/>
      <w:bookmarkStart w:id="481" w:name="_Toc337558798"/>
      <w:bookmarkStart w:id="482" w:name="_Toc296503093"/>
      <w:bookmarkStart w:id="483" w:name="_Toc296346594"/>
      <w:r>
        <w:rPr>
          <w:rFonts w:hint="eastAsia" w:ascii="宋体" w:hAnsi="宋体" w:eastAsia="宋体" w:cs="宋体"/>
          <w:b/>
          <w:color w:val="auto"/>
          <w:kern w:val="2"/>
          <w:sz w:val="28"/>
          <w:szCs w:val="28"/>
          <w:highlight w:val="none"/>
          <w:lang w:val="en-US" w:eastAsia="zh-CN" w:bidi="ar-SA"/>
        </w:rPr>
        <w:t>11.2法律变化引起的调整</w:t>
      </w:r>
      <w:bookmarkEnd w:id="479"/>
      <w:bookmarkEnd w:id="480"/>
    </w:p>
    <w:bookmarkEnd w:id="481"/>
    <w:bookmarkEnd w:id="482"/>
    <w:bookmarkEnd w:id="483"/>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因法律变化引起的合同价格和工期调整，合同当事人无法达成一致的，由总监理工程师按第4.4款〔商定或确定〕的约定处理。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因承包人原因造成工期延误，在工期延误期间出现法律变化的，由此增加的费用和（或）延误的工期由承包人承担。</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484" w:name="_Toc351203580"/>
      <w:bookmarkStart w:id="485" w:name="_Toc532377266"/>
      <w:bookmarkStart w:id="486" w:name="_Toc532375598"/>
      <w:bookmarkStart w:id="487" w:name="_Toc337558799"/>
      <w:bookmarkStart w:id="488" w:name="_Toc296346597"/>
      <w:bookmarkStart w:id="489" w:name="_Toc296503096"/>
      <w:r>
        <w:rPr>
          <w:rFonts w:hint="eastAsia" w:ascii="宋体" w:hAnsi="宋体" w:eastAsia="宋体" w:cs="宋体"/>
          <w:color w:val="auto"/>
          <w:kern w:val="2"/>
          <w:sz w:val="28"/>
          <w:szCs w:val="28"/>
          <w:highlight w:val="none"/>
        </w:rPr>
        <w:t>12. 合同价格、计量与支付</w:t>
      </w:r>
      <w:bookmarkEnd w:id="484"/>
      <w:bookmarkEnd w:id="485"/>
      <w:bookmarkEnd w:id="486"/>
    </w:p>
    <w:bookmarkEnd w:id="48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90" w:name="_Toc532377267"/>
      <w:bookmarkStart w:id="491" w:name="_Toc351203581"/>
      <w:bookmarkStart w:id="492" w:name="_Toc337558800"/>
      <w:r>
        <w:rPr>
          <w:rFonts w:hint="eastAsia" w:ascii="宋体" w:hAnsi="宋体" w:eastAsia="宋体" w:cs="宋体"/>
          <w:b/>
          <w:color w:val="auto"/>
          <w:kern w:val="2"/>
          <w:sz w:val="28"/>
          <w:szCs w:val="28"/>
          <w:highlight w:val="none"/>
          <w:lang w:val="en-US" w:eastAsia="zh-CN" w:bidi="ar-SA"/>
        </w:rPr>
        <w:t>12.1 合同价</w:t>
      </w:r>
      <w:bookmarkEnd w:id="488"/>
      <w:bookmarkEnd w:id="489"/>
      <w:r>
        <w:rPr>
          <w:rFonts w:hint="eastAsia" w:ascii="宋体" w:hAnsi="宋体" w:eastAsia="宋体" w:cs="宋体"/>
          <w:b/>
          <w:color w:val="auto"/>
          <w:kern w:val="2"/>
          <w:sz w:val="28"/>
          <w:szCs w:val="28"/>
          <w:highlight w:val="none"/>
          <w:lang w:val="en-US" w:eastAsia="zh-CN" w:bidi="ar-SA"/>
        </w:rPr>
        <w:t>格形式</w:t>
      </w:r>
      <w:bookmarkEnd w:id="490"/>
      <w:bookmarkEnd w:id="491"/>
    </w:p>
    <w:bookmarkEnd w:id="492"/>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发包人和承包人应在合同协议书中选择下列一种合同价格形式： </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1.单价合同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pStyle w:val="7"/>
        <w:spacing w:before="0" w:beforeAutospacing="0" w:after="0" w:afterAutospacing="0" w:line="360" w:lineRule="auto"/>
        <w:ind w:left="0" w:leftChars="0" w:firstLine="560" w:firstLineChars="200"/>
        <w:rPr>
          <w:rFonts w:hint="eastAsia" w:ascii="宋体" w:hAnsi="宋体" w:eastAsia="宋体" w:cs="宋体"/>
          <w:b w:val="0"/>
          <w:color w:val="auto"/>
          <w:kern w:val="0"/>
          <w:sz w:val="28"/>
          <w:szCs w:val="21"/>
          <w:highlight w:val="none"/>
          <w:lang w:val="en-US" w:eastAsia="zh-CN" w:bidi="ar-SA"/>
        </w:rPr>
      </w:pPr>
      <w:bookmarkStart w:id="493" w:name="_Toc532377268"/>
      <w:r>
        <w:rPr>
          <w:rFonts w:hint="eastAsia" w:ascii="宋体" w:hAnsi="宋体" w:eastAsia="宋体" w:cs="宋体"/>
          <w:b w:val="0"/>
          <w:color w:val="auto"/>
          <w:kern w:val="0"/>
          <w:sz w:val="28"/>
          <w:szCs w:val="21"/>
          <w:highlight w:val="none"/>
          <w:lang w:val="en-US" w:eastAsia="zh-CN" w:bidi="ar-SA"/>
        </w:rPr>
        <w:t>2.总价合同</w:t>
      </w:r>
      <w:bookmarkEnd w:id="493"/>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pStyle w:val="7"/>
        <w:spacing w:before="0" w:beforeAutospacing="0" w:after="0" w:afterAutospacing="0" w:line="360" w:lineRule="auto"/>
        <w:ind w:left="0" w:leftChars="0" w:firstLine="560" w:firstLineChars="200"/>
        <w:rPr>
          <w:rFonts w:hint="eastAsia" w:ascii="宋体" w:hAnsi="宋体" w:eastAsia="宋体" w:cs="宋体"/>
          <w:b w:val="0"/>
          <w:color w:val="auto"/>
          <w:kern w:val="0"/>
          <w:sz w:val="28"/>
          <w:szCs w:val="21"/>
          <w:highlight w:val="none"/>
          <w:lang w:val="en-US" w:eastAsia="zh-CN" w:bidi="ar-SA"/>
        </w:rPr>
      </w:pPr>
      <w:bookmarkStart w:id="494" w:name="_Toc532377269"/>
      <w:r>
        <w:rPr>
          <w:rFonts w:hint="eastAsia" w:ascii="宋体" w:hAnsi="宋体" w:eastAsia="宋体" w:cs="宋体"/>
          <w:b w:val="0"/>
          <w:color w:val="auto"/>
          <w:kern w:val="0"/>
          <w:sz w:val="28"/>
          <w:szCs w:val="21"/>
          <w:highlight w:val="none"/>
          <w:lang w:val="en-US" w:eastAsia="zh-CN" w:bidi="ar-SA"/>
        </w:rPr>
        <w:t>3.其它价格形式</w:t>
      </w:r>
      <w:bookmarkEnd w:id="494"/>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合同当事人可在专用合同条款中约定其他合同价格形式。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495" w:name="_Toc296346598"/>
      <w:bookmarkStart w:id="496" w:name="_Toc296503097"/>
      <w:bookmarkStart w:id="497" w:name="_Toc532377270"/>
      <w:bookmarkStart w:id="498" w:name="_Toc351203582"/>
      <w:bookmarkStart w:id="499" w:name="_Toc337558801"/>
      <w:r>
        <w:rPr>
          <w:rFonts w:hint="eastAsia" w:ascii="宋体" w:hAnsi="宋体" w:eastAsia="宋体" w:cs="宋体"/>
          <w:b/>
          <w:color w:val="auto"/>
          <w:kern w:val="2"/>
          <w:sz w:val="28"/>
          <w:szCs w:val="28"/>
          <w:highlight w:val="none"/>
          <w:lang w:val="en-US" w:eastAsia="zh-CN" w:bidi="ar-SA"/>
        </w:rPr>
        <w:t>12.2预</w:t>
      </w:r>
      <w:bookmarkEnd w:id="495"/>
      <w:bookmarkEnd w:id="496"/>
      <w:bookmarkStart w:id="500" w:name="_Toc296503100"/>
      <w:bookmarkStart w:id="501" w:name="_Toc296346601"/>
      <w:r>
        <w:rPr>
          <w:rFonts w:hint="eastAsia" w:ascii="宋体" w:hAnsi="宋体" w:eastAsia="宋体" w:cs="宋体"/>
          <w:b/>
          <w:color w:val="auto"/>
          <w:kern w:val="2"/>
          <w:sz w:val="28"/>
          <w:szCs w:val="28"/>
          <w:highlight w:val="none"/>
          <w:lang w:val="en-US" w:eastAsia="zh-CN" w:bidi="ar-SA"/>
        </w:rPr>
        <w:t>付款</w:t>
      </w:r>
      <w:bookmarkEnd w:id="497"/>
      <w:bookmarkEnd w:id="498"/>
    </w:p>
    <w:bookmarkEnd w:id="499"/>
    <w:bookmarkEnd w:id="500"/>
    <w:bookmarkEnd w:id="501"/>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12.2.1预付款的支付</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预付款的支付按照专用合同条款约定执行，但至迟应在开工通知载明的开工日期7天前支付。预付款应当用于材料、工程设备、施工设备的采购及修建临时工程、组织施工队伍进场等。</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除专用合同条款另有约定外，预付款在进度付款中同比例扣回。</w:t>
      </w:r>
      <w:bookmarkEnd w:id="478"/>
      <w:r>
        <w:rPr>
          <w:rFonts w:hint="eastAsia" w:ascii="宋体" w:hAnsi="宋体" w:eastAsia="宋体" w:cs="宋体"/>
          <w:color w:val="auto"/>
          <w:kern w:val="0"/>
          <w:szCs w:val="21"/>
          <w:highlight w:val="none"/>
        </w:rPr>
        <w:t>在颁发工程接收证书前，提前解除合同的，尚未扣完的预付款应与合同价款一并结算。</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发包人逾期支付预付款超过7天的，承包人有权向发包人发出要求预付的催告通知，发包人收到通知后7天内仍未支付的，承包人有权暂停施工，并按第16.1.1项〔发包人违约的情形〕执行。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12.2.2 预付款担保</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spacing w:line="360" w:lineRule="auto"/>
        <w:ind w:firstLine="560"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color w:val="auto"/>
          <w:kern w:val="0"/>
          <w:szCs w:val="21"/>
          <w:highlight w:val="none"/>
        </w:rPr>
        <w:t>发包人在工程款中逐期扣回预付款后，预付款担保额度应相应减少，但剩余的预付款担保金额不得低于</w:t>
      </w:r>
      <w:r>
        <w:rPr>
          <w:rFonts w:hint="eastAsia" w:ascii="宋体" w:hAnsi="宋体" w:eastAsia="宋体" w:cs="宋体"/>
          <w:b w:val="0"/>
          <w:bCs/>
          <w:color w:val="auto"/>
          <w:kern w:val="2"/>
          <w:sz w:val="28"/>
          <w:szCs w:val="28"/>
          <w:highlight w:val="none"/>
          <w:lang w:val="en-US" w:eastAsia="zh-CN" w:bidi="ar-SA"/>
        </w:rPr>
        <w:t>未被扣回的预付款金额。</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02" w:name="_Toc351203583"/>
      <w:bookmarkStart w:id="503" w:name="_Toc532377271"/>
      <w:bookmarkStart w:id="504" w:name="_Toc337558802"/>
      <w:r>
        <w:rPr>
          <w:rFonts w:hint="eastAsia" w:ascii="宋体" w:hAnsi="宋体" w:eastAsia="宋体" w:cs="宋体"/>
          <w:b/>
          <w:color w:val="auto"/>
          <w:kern w:val="2"/>
          <w:sz w:val="28"/>
          <w:szCs w:val="28"/>
          <w:highlight w:val="none"/>
          <w:lang w:val="en-US" w:eastAsia="zh-CN" w:bidi="ar-SA"/>
        </w:rPr>
        <w:t>12.3计量</w:t>
      </w:r>
      <w:bookmarkEnd w:id="502"/>
      <w:bookmarkEnd w:id="503"/>
    </w:p>
    <w:bookmarkEnd w:id="504"/>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12.3.1 计量原则</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工程量计量按照合同约定的工程量计算规则、图纸及变更指示等进行计量。工程量计算规则应以相关的国家标准、行业标准等为依据，由合同当事人在专用合同条款中约定。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12.3.2 计量周期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除专用合同条款另有约定外，工程量的计量按月进行。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12.3.3 单价合同的计量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除专用合同条款另有约定外，单价合同的计量按照本项约定执行：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（3）监理人未在收到承包人提交的工程量报表后的7天内完成审核的，承包人报送的工程量报告中的工程量视为承包人实际完成的工程量，据此计算工程价款。</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12.3.4 总价合同的计量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除专用合同条款另有约定外，按月计量支付的总价合同，按照本项约定执行：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（1）承包人应于每月25日向监理人报送上月20日至当月19日已完成的工程量报告，并附具进度付款申请单、已完成工程量报表和有关资料。</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（3）监理人未在收到承包人提交的工程量报表后的7天内完成复核的，承包人提交的工程量报告中的工程量视为承包人实际完成的工程量。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12.3.5 总价合同采用支付分解表计量支付的，可以按照第12.3.4项〔总价合同的计量〕约定进行计量，但合同价款按照支付分解表进行支付。</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12.3.6 其他价格形式合同的计量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合同当事人可在专用合同条款中约定其他价格形式合同的计量方式和程序。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05" w:name="_Toc296503101"/>
      <w:bookmarkStart w:id="506" w:name="_Toc296346602"/>
      <w:bookmarkStart w:id="507" w:name="_Toc351203584"/>
      <w:bookmarkStart w:id="508" w:name="_Toc532377272"/>
      <w:bookmarkStart w:id="509" w:name="_Toc337558803"/>
      <w:r>
        <w:rPr>
          <w:rFonts w:hint="eastAsia" w:ascii="宋体" w:hAnsi="宋体" w:eastAsia="宋体" w:cs="宋体"/>
          <w:b/>
          <w:color w:val="auto"/>
          <w:kern w:val="2"/>
          <w:sz w:val="28"/>
          <w:szCs w:val="28"/>
          <w:highlight w:val="none"/>
          <w:lang w:val="en-US" w:eastAsia="zh-CN" w:bidi="ar-SA"/>
        </w:rPr>
        <w:t>12.4工程进度款支</w:t>
      </w:r>
      <w:bookmarkEnd w:id="505"/>
      <w:bookmarkEnd w:id="506"/>
      <w:r>
        <w:rPr>
          <w:rFonts w:hint="eastAsia" w:ascii="宋体" w:hAnsi="宋体" w:eastAsia="宋体" w:cs="宋体"/>
          <w:b/>
          <w:color w:val="auto"/>
          <w:kern w:val="2"/>
          <w:sz w:val="28"/>
          <w:szCs w:val="28"/>
          <w:highlight w:val="none"/>
          <w:lang w:val="en-US" w:eastAsia="zh-CN" w:bidi="ar-SA"/>
        </w:rPr>
        <w:t>付</w:t>
      </w:r>
      <w:bookmarkEnd w:id="507"/>
      <w:bookmarkEnd w:id="508"/>
    </w:p>
    <w:bookmarkEnd w:id="509"/>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12.4.1 付款周期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除专用合同条款另有约定外，付款周期应按照第12.3.2项〔计量周期〕的约定与计量周期保持一致。</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12.4.2 进度付款申请单的编制</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除专用合同条款另有约定外，进度付款申请单应包括下列内容：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（1）截至本次付款周期已完成工作对应的金额；</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（2）根据第10条〔变更〕应增加和扣减的变更金额；</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（3）根据第12.2款〔预付款〕约定应支付的预付款和扣减的返还预付款；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（4）根据第15.3款〔质量保证金〕约定应扣减的质量保证金；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（5）根据第19条〔索赔〕应增加和扣减的索赔金额；</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（6）对已签发的进度款支付证书中出现错误的修正，应在本次进度付款中支付或扣除的金额；</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（7）根据合同约定应增加和扣减的其他金额。</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12.4.3 进度付款申请单的提交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（1）单价合同进度付款申请单的提交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（2）总价合同进度付款申请单的提交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总价合同按月计量支付的，承包人按照第12.3.4项〔总价合同的计量〕约定的时间按月向监理人提交进度付款申请单，并附上已完成工程量报表和有关资料。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总价合同按支付分解表支付的，承包人应按照第12.4.6项〔支付分解表〕及第12.4.2项〔进度付款申请单的编制〕的约定向监理人提交进度付款申请单。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（3）其他价格形式合同的进度付款申请单的提交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合同当事人可在专用合同条款中约定其他价格形式合同的进度付款申请单的编制和提交程序。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12.4.4 进度款审核和支付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（2）除专用合同条款另有约定外，发包人应在进度款支付证书或临时进度款支付证书签发后14天内完成支付，发包人逾期支付进度款的，应按照中国人民银行发布的同期同类贷款基准利率支付违约金。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（3）发包人签发进度款支付证书或临时进度款支付证书，不表明发包人已同意、批准或接受了承包人完成的相应部分的工作。</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12.4.5 进度付款的修正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在对已签发的进度款支付证书进行阶段汇总和复核中发现错误、遗漏或重复的，发包人和承包人均有权提出修正申请。经发包人和承包人同意的修正，应在下期进度付款中支付或扣除。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12.4.6 支付分解表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1.支付分解表的编制要求</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（1）支付分解表中所列的每期付款金额，应为第12.4.2项〔进度付款申请单的编制〕第（1）目的估算金额；</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（2）实际进度与施工进度计划不一致的，合同当事人可按照第4.4款〔商定或确定〕修改支付分解表；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（3）不采用支付分解表的，承包人应向发包人和监理人提交按季度编制的支付估算分解表，用于支付参考。</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2.总价合同支付分解表的编制与审批</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（2）监理人应在收到支付分解表后7天内完成审核并报送发包人。发包人应在收到经监理人审核的支付分解表后7天内完成审批，经发包人批准的支付分解表为有约束力的支付分解表。</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（3）发包人逾期未完成支付分解表审批的，也未及时要求承包人进行修正和提供补充资料的，则承包人提交的支付分解表视为已经获得发包人批准。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3.单价合同的总价项目支付分解表的编制与审批</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10" w:name="_Toc532377273"/>
      <w:r>
        <w:rPr>
          <w:rFonts w:hint="eastAsia" w:ascii="宋体" w:hAnsi="宋体" w:eastAsia="宋体" w:cs="宋体"/>
          <w:b/>
          <w:color w:val="auto"/>
          <w:kern w:val="2"/>
          <w:sz w:val="28"/>
          <w:szCs w:val="28"/>
          <w:highlight w:val="none"/>
          <w:lang w:val="en-US" w:eastAsia="zh-CN" w:bidi="ar-SA"/>
        </w:rPr>
        <w:t>12.5支付账户</w:t>
      </w:r>
      <w:bookmarkEnd w:id="510"/>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发包人应将合同价款支付至合同协议书中约定的承包人账户。</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511" w:name="_Toc532375599"/>
      <w:bookmarkStart w:id="512" w:name="_Toc532377274"/>
      <w:bookmarkStart w:id="513" w:name="_Toc351203586"/>
      <w:bookmarkStart w:id="514" w:name="_Toc322522574"/>
      <w:bookmarkStart w:id="515" w:name="_Toc296346607"/>
      <w:bookmarkStart w:id="516" w:name="_Toc296503106"/>
      <w:bookmarkStart w:id="517" w:name="_Toc337558804"/>
      <w:r>
        <w:rPr>
          <w:rFonts w:hint="eastAsia" w:ascii="宋体" w:hAnsi="宋体" w:eastAsia="宋体" w:cs="宋体"/>
          <w:color w:val="auto"/>
          <w:kern w:val="2"/>
          <w:sz w:val="28"/>
          <w:szCs w:val="28"/>
          <w:highlight w:val="none"/>
        </w:rPr>
        <w:t>13. 验收和工程试车</w:t>
      </w:r>
      <w:bookmarkEnd w:id="511"/>
      <w:bookmarkEnd w:id="512"/>
      <w:bookmarkEnd w:id="513"/>
    </w:p>
    <w:bookmarkEnd w:id="514"/>
    <w:bookmarkEnd w:id="515"/>
    <w:bookmarkEnd w:id="516"/>
    <w:bookmarkEnd w:id="51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18" w:name="_Toc351203587"/>
      <w:bookmarkStart w:id="519" w:name="_Toc532377275"/>
      <w:bookmarkStart w:id="520" w:name="_Toc337558805"/>
      <w:bookmarkStart w:id="521" w:name="_Toc296503110"/>
      <w:bookmarkStart w:id="522" w:name="_Toc296346611"/>
      <w:r>
        <w:rPr>
          <w:rFonts w:hint="eastAsia" w:ascii="宋体" w:hAnsi="宋体" w:eastAsia="宋体" w:cs="宋体"/>
          <w:b/>
          <w:color w:val="auto"/>
          <w:kern w:val="2"/>
          <w:sz w:val="28"/>
          <w:szCs w:val="28"/>
          <w:highlight w:val="none"/>
          <w:lang w:val="en-US" w:eastAsia="zh-CN" w:bidi="ar-SA"/>
        </w:rPr>
        <w:t>13.1分部分项工程验收</w:t>
      </w:r>
      <w:bookmarkEnd w:id="518"/>
      <w:bookmarkEnd w:id="519"/>
    </w:p>
    <w:bookmarkEnd w:id="520"/>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13.1.1 分部分项工程质量应符合国家有关工程施工验收规范、标准及合同约定，承包人应按照施工组织设计的要求完成分部分项工程施工。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分部分项工程的验收资料应当作为竣工资料的组成部分。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23" w:name="_Toc532377276"/>
      <w:bookmarkStart w:id="524" w:name="_Toc351203588"/>
      <w:bookmarkStart w:id="525" w:name="_Toc337558806"/>
      <w:r>
        <w:rPr>
          <w:rFonts w:hint="eastAsia" w:ascii="宋体" w:hAnsi="宋体" w:eastAsia="宋体" w:cs="宋体"/>
          <w:b/>
          <w:color w:val="auto"/>
          <w:kern w:val="2"/>
          <w:sz w:val="28"/>
          <w:szCs w:val="28"/>
          <w:highlight w:val="none"/>
          <w:lang w:val="en-US" w:eastAsia="zh-CN" w:bidi="ar-SA"/>
        </w:rPr>
        <w:t>13.2竣工验收</w:t>
      </w:r>
      <w:bookmarkEnd w:id="523"/>
      <w:bookmarkEnd w:id="524"/>
    </w:p>
    <w:bookmarkEnd w:id="521"/>
    <w:bookmarkEnd w:id="522"/>
    <w:bookmarkEnd w:id="525"/>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13.2.1竣工验收条件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工程具备以下条件的，承包人可以申请竣工验收：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（2）已按合同约定编制了甩项工作和缺陷修补工作清单以及相应的施工计划；</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（3）已按合同约定的内容和份数备齐竣工资料。</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13.2.2竣工验收程序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除专用合同条款另有约定外，承包人申请竣工验收的，应当按照以下程序进行：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（3）竣工验收合格的，发包人应在验收合格后14天内向承包人签发工程接收证书。发包人无正当理由逾期不颁发工程接收证书的，自验收合格后第15天起视为已颁发工程接收证书。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（5）工程未经验收或验收不合格，发包人擅自使用的，应在转移占有工程后7天内向承包人颁发工程接收证书；发包人无正当理由逾期不颁发工程接收证书的，自转移占有后第15天起视为已颁发工程接收证书。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除专用合同条款另有约定外，发包人不按照本项约定组织竣工验收、颁发工程接收证书的，每逾期一天，应以签约合同价为基数，按照中国人民银行发布的同期同类贷款基准利率支付违约金。</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13.2.3竣工日期</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526" w:name="#go14"/>
      <w:bookmarkEnd w:id="526"/>
      <w:r>
        <w:rPr>
          <w:rFonts w:hint="eastAsia" w:ascii="宋体" w:hAnsi="宋体" w:eastAsia="宋体" w:cs="宋体"/>
          <w:color w:val="auto"/>
          <w:kern w:val="0"/>
          <w:szCs w:val="21"/>
          <w:highlight w:val="none"/>
        </w:rPr>
        <w:t>收申请报告的日期为实际竣工日期；工程未经竣工验收，发包人擅自使用的，以转移占有工程之日为实际竣工日期。</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13.2.4 拒绝接收全部或部分工程</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13.2.5 移交、接收全部与部分工程</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除专用合同条款另有约定外，合同当事人应当在颁发工程接收证书后7天内完成工程的移交。</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发包人无正当理由不接收工程的，发包人自应当接收工程之日起，承担工程照管、成品保护、保管等与工程有关的各项费用，合同当事人可以在专用合同条款中另行约定发包人逾期接收工程的违约责任。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承包人无正当理由不移交工程的，承包人应承担工程照管、成品保护、保管等与工程有关的各项费用，合同当事人可以在专用合同条款中另行约定承包人无正当理由不移交工程的违约责任。</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27" w:name="_Toc532377277"/>
      <w:bookmarkStart w:id="528" w:name="_Toc351203589"/>
      <w:bookmarkStart w:id="529" w:name="_Toc337558807"/>
      <w:bookmarkStart w:id="530" w:name="_Toc296503111"/>
      <w:bookmarkStart w:id="531" w:name="_Toc296346612"/>
      <w:r>
        <w:rPr>
          <w:rFonts w:hint="eastAsia" w:ascii="宋体" w:hAnsi="宋体" w:eastAsia="宋体" w:cs="宋体"/>
          <w:b/>
          <w:color w:val="auto"/>
          <w:kern w:val="2"/>
          <w:sz w:val="28"/>
          <w:szCs w:val="28"/>
          <w:highlight w:val="none"/>
          <w:lang w:val="en-US" w:eastAsia="zh-CN" w:bidi="ar-SA"/>
        </w:rPr>
        <w:t>13.3工程试车</w:t>
      </w:r>
      <w:bookmarkEnd w:id="527"/>
      <w:bookmarkEnd w:id="528"/>
    </w:p>
    <w:bookmarkEnd w:id="529"/>
    <w:bookmarkEnd w:id="530"/>
    <w:bookmarkEnd w:id="531"/>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13.3.1试车程序</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工程需要试车的，除专用合同条款另有约定外，试车内容应与承包人承包范围相一致，试车费用由承包人承担。工程试车应按如下程序进行：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具备单机无负荷试车条件，承包人组织试车，并在试车前48小时书面通知监理人，通知中应载明试车内容、时间、地点。承包人准备试车记录，发包人根据承包人要求为试车提供必要条件。试车合格的，监理人在试车记录上签名。监理人在试车合格后不在试车记录上签名，自试车结束满24小时后视为监理人已经认可试车记录，承包人可继续施工或办理竣工验收手续。</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具备无负荷联动试车条件，发包人组织试车，并在试车前48小时以书面形式通知承包人。通知中应载明试车内容、时间、地点和对承包人的要求，承包人按要求做好准备工作。试车合格，合同当事人在试车记录上签名。承包人无正当理由不参加试车的，视为认可试车记录。</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13.3.2 试车中的责任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13.3.3 投料试车</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如需进行投料试车的，发包人应在工程竣工验收后组织投料试车。发包人要求在工程竣工验收前进行或需要承包人配合时，应征得承包人同意，并在专用合同条款中约定有关事项。</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32" w:name="_Toc532377278"/>
      <w:r>
        <w:rPr>
          <w:rFonts w:hint="eastAsia" w:ascii="宋体" w:hAnsi="宋体" w:eastAsia="宋体" w:cs="宋体"/>
          <w:b/>
          <w:color w:val="auto"/>
          <w:kern w:val="2"/>
          <w:sz w:val="28"/>
          <w:szCs w:val="28"/>
          <w:highlight w:val="none"/>
          <w:lang w:val="en-US" w:eastAsia="zh-CN" w:bidi="ar-SA"/>
        </w:rPr>
        <w:t>13.4提前交付单位工程的验收</w:t>
      </w:r>
      <w:bookmarkEnd w:id="532"/>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13.4.1 发包人需要在工程竣工前使用单位工程的，或承包人提出提前交付已经竣工的单位工程且经发包人同意的，可进行单位工程验收，验收的程序按照第13.2款〔竣工验收〕的约定进行。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验收合格后，由监理人向承包人出具经发包人签认的单位工程接收证书。已签发单位工程接收证书的单位工程由发包人负责照管。单位工程的验收成果和结论作为整体工程竣工验收申请报告的附件。</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13.4.2 发包人要求在工程竣工前交付单位工程，由此导致承包人费用增加和（或）工期延误的，由发包人承担由此增加的费用和（或）延误的工期，并支付承包人合理的利润。</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33" w:name="_Toc532377279"/>
      <w:bookmarkStart w:id="534" w:name="_Toc351203591"/>
      <w:r>
        <w:rPr>
          <w:rFonts w:hint="eastAsia" w:ascii="宋体" w:hAnsi="宋体" w:eastAsia="宋体" w:cs="宋体"/>
          <w:b/>
          <w:color w:val="auto"/>
          <w:kern w:val="2"/>
          <w:sz w:val="28"/>
          <w:szCs w:val="28"/>
          <w:highlight w:val="none"/>
          <w:lang w:val="en-US" w:eastAsia="zh-CN" w:bidi="ar-SA"/>
        </w:rPr>
        <w:t>13.5 施工期运行</w:t>
      </w:r>
      <w:bookmarkEnd w:id="533"/>
      <w:bookmarkEnd w:id="534"/>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13.5.2 在施工期运行中发现工程或工程设备损坏或存在缺陷的，由承包人按第15.2款〔缺陷责任期〕约定进行修复。</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35" w:name="_Toc296503112"/>
      <w:bookmarkStart w:id="536" w:name="_Toc296346613"/>
      <w:bookmarkStart w:id="537" w:name="_Toc532377280"/>
      <w:bookmarkStart w:id="538" w:name="_Toc351203592"/>
      <w:bookmarkStart w:id="539" w:name="_Toc337558809"/>
      <w:r>
        <w:rPr>
          <w:rFonts w:hint="eastAsia" w:ascii="宋体" w:hAnsi="宋体" w:eastAsia="宋体" w:cs="宋体"/>
          <w:b/>
          <w:color w:val="auto"/>
          <w:kern w:val="2"/>
          <w:sz w:val="28"/>
          <w:szCs w:val="28"/>
          <w:highlight w:val="none"/>
          <w:lang w:val="en-US" w:eastAsia="zh-CN" w:bidi="ar-SA"/>
        </w:rPr>
        <w:t>13.6 竣工退</w:t>
      </w:r>
      <w:bookmarkEnd w:id="535"/>
      <w:bookmarkEnd w:id="536"/>
      <w:r>
        <w:rPr>
          <w:rFonts w:hint="eastAsia" w:ascii="宋体" w:hAnsi="宋体" w:eastAsia="宋体" w:cs="宋体"/>
          <w:b/>
          <w:color w:val="auto"/>
          <w:kern w:val="2"/>
          <w:sz w:val="28"/>
          <w:szCs w:val="28"/>
          <w:highlight w:val="none"/>
          <w:lang w:val="en-US" w:eastAsia="zh-CN" w:bidi="ar-SA"/>
        </w:rPr>
        <w:t>场</w:t>
      </w:r>
      <w:bookmarkEnd w:id="537"/>
      <w:bookmarkEnd w:id="538"/>
    </w:p>
    <w:bookmarkEnd w:id="539"/>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13.6.1 竣工退场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颁发工程接收证书后，承包人应按以下要求对施工现场进行清理：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（1）施工现场内残留的垃圾已全部清除出场；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（2）临时工程已拆除，场地已进行清理、平整或复原；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（3）按合同约定应撤离的人员、承包人施工设备和剩余的材料，包括废弃的施工设备和材料，已按计划撤离施工现场；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（4）施工现场周边及其附近道路、河道的施工堆积物，已全部清理；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（5）施工现场其他场地清理工作已全部完成。</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13.6.2 地表还原</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承包人应按发包人要求恢复临时占地及清理场地，承包人未按发包人的要求恢复临时占地，或者场地清理未达到合同约定要求的，发包人有权委托其他人恢复或清理，所发生的费用由承包人承担。</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540" w:name="_Toc351203593"/>
      <w:bookmarkStart w:id="541" w:name="_Toc532375600"/>
      <w:bookmarkStart w:id="542" w:name="_Toc532377281"/>
      <w:bookmarkStart w:id="543" w:name="_Toc337558810"/>
      <w:bookmarkStart w:id="544" w:name="_Toc296503113"/>
      <w:bookmarkStart w:id="545" w:name="_Toc296346614"/>
      <w:r>
        <w:rPr>
          <w:rFonts w:hint="eastAsia" w:ascii="宋体" w:hAnsi="宋体" w:eastAsia="宋体" w:cs="宋体"/>
          <w:color w:val="auto"/>
          <w:kern w:val="2"/>
          <w:sz w:val="28"/>
          <w:szCs w:val="28"/>
          <w:highlight w:val="none"/>
        </w:rPr>
        <w:t>14. 竣工结算</w:t>
      </w:r>
      <w:bookmarkEnd w:id="540"/>
      <w:bookmarkEnd w:id="541"/>
      <w:bookmarkEnd w:id="542"/>
    </w:p>
    <w:bookmarkEnd w:id="543"/>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46" w:name="_Toc532377282"/>
      <w:bookmarkStart w:id="547" w:name="_Toc351203594"/>
      <w:bookmarkStart w:id="548" w:name="_Toc337558811"/>
      <w:r>
        <w:rPr>
          <w:rFonts w:hint="eastAsia" w:ascii="宋体" w:hAnsi="宋体" w:eastAsia="宋体" w:cs="宋体"/>
          <w:b/>
          <w:color w:val="auto"/>
          <w:kern w:val="2"/>
          <w:sz w:val="28"/>
          <w:szCs w:val="28"/>
          <w:highlight w:val="none"/>
          <w:lang w:val="en-US" w:eastAsia="zh-CN" w:bidi="ar-SA"/>
        </w:rPr>
        <w:t>14.1 竣工结算申请</w:t>
      </w:r>
      <w:bookmarkEnd w:id="546"/>
      <w:bookmarkEnd w:id="547"/>
    </w:p>
    <w:bookmarkEnd w:id="54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除专用合同条款另有约定外，竣工结算申请单应包括以下内容：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（1）竣工结算合同价格；</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（2）发包人已支付承包人的款项；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（3）应扣留的质量保证金。已缴纳履约保证金的或提供其他工程质量担保方式的除外； </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（4）发包人应支付承包人的合同价款。</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49" w:name="_Toc532377283"/>
      <w:bookmarkStart w:id="550" w:name="_Toc351203595"/>
      <w:bookmarkStart w:id="551" w:name="_Toc337558812"/>
      <w:r>
        <w:rPr>
          <w:rFonts w:hint="eastAsia" w:ascii="宋体" w:hAnsi="宋体" w:eastAsia="宋体" w:cs="宋体"/>
          <w:b/>
          <w:color w:val="auto"/>
          <w:kern w:val="2"/>
          <w:sz w:val="28"/>
          <w:szCs w:val="28"/>
          <w:highlight w:val="none"/>
          <w:lang w:val="en-US" w:eastAsia="zh-CN" w:bidi="ar-SA"/>
        </w:rPr>
        <w:t>14.2 竣工结算审核</w:t>
      </w:r>
      <w:bookmarkEnd w:id="549"/>
      <w:bookmarkEnd w:id="550"/>
    </w:p>
    <w:bookmarkEnd w:id="55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52" w:name="_Toc351203596"/>
      <w:bookmarkStart w:id="553" w:name="_Toc532377284"/>
      <w:bookmarkStart w:id="554" w:name="_Toc337558813"/>
      <w:r>
        <w:rPr>
          <w:rFonts w:hint="eastAsia" w:ascii="宋体" w:hAnsi="宋体" w:eastAsia="宋体" w:cs="宋体"/>
          <w:b/>
          <w:color w:val="auto"/>
          <w:kern w:val="2"/>
          <w:sz w:val="28"/>
          <w:szCs w:val="28"/>
          <w:highlight w:val="none"/>
          <w:lang w:val="en-US" w:eastAsia="zh-CN" w:bidi="ar-SA"/>
        </w:rPr>
        <w:t>14.3 甩项竣工协议</w:t>
      </w:r>
      <w:bookmarkEnd w:id="552"/>
      <w:bookmarkEnd w:id="553"/>
    </w:p>
    <w:bookmarkEnd w:id="554"/>
    <w:p>
      <w:pPr>
        <w:autoSpaceDE w:val="0"/>
        <w:autoSpaceDN w:val="0"/>
        <w:spacing w:line="360" w:lineRule="auto"/>
        <w:ind w:firstLine="548"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要求甩项竣工的，合同当事人应签订甩项竣工协议。在甩项竣工协议中应明确，合同当事人按照第14.1款〔竣工结算申请〕及14.2款〔竣工结算审核〕的约定，对已完合格工程进行结算，并支付相应合同价款。</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55" w:name="_Toc351203597"/>
      <w:bookmarkStart w:id="556" w:name="_Toc532377285"/>
      <w:bookmarkStart w:id="557" w:name="_Toc337558814"/>
      <w:r>
        <w:rPr>
          <w:rFonts w:hint="eastAsia" w:ascii="宋体" w:hAnsi="宋体" w:eastAsia="宋体" w:cs="宋体"/>
          <w:b/>
          <w:color w:val="auto"/>
          <w:kern w:val="2"/>
          <w:sz w:val="28"/>
          <w:szCs w:val="28"/>
          <w:highlight w:val="none"/>
          <w:lang w:val="en-US" w:eastAsia="zh-CN" w:bidi="ar-SA"/>
        </w:rPr>
        <w:t>14.4 最终结清</w:t>
      </w:r>
      <w:bookmarkEnd w:id="555"/>
      <w:bookmarkEnd w:id="556"/>
    </w:p>
    <w:bookmarkEnd w:id="557"/>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14.4.1 最终结清申请单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（1）除专用合同条款另有约定外，承包人应在缺陷责任期终止证书颁发后7天内，按专用合同条款约定的份数向发包人提交最终结清申请单，并提供相关证明材料。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除专用合同条款另有约定外，最终结清申请单应列明质量保证金、应扣除的质量保证金、缺陷责任期内发生的增减费用。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（2）发包人对最终结清申请单内容有异议的，有权要求承包人进行修正和提供补充资料，承包人应向发包人提交修正后的最终结清申请单。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14.4.2 最终结清证书和支付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（3）承包人对发包人颁发的最终结清证书有异议的，按第20条〔争议解决〕的约定办理。</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558" w:name="_Toc532377286"/>
      <w:bookmarkStart w:id="559" w:name="_Toc351203598"/>
      <w:bookmarkStart w:id="560" w:name="_Toc532375601"/>
      <w:bookmarkStart w:id="561" w:name="_Toc337558815"/>
      <w:r>
        <w:rPr>
          <w:rFonts w:hint="eastAsia" w:ascii="宋体" w:hAnsi="宋体" w:eastAsia="宋体" w:cs="宋体"/>
          <w:color w:val="auto"/>
          <w:kern w:val="2"/>
          <w:sz w:val="28"/>
          <w:szCs w:val="28"/>
          <w:highlight w:val="none"/>
        </w:rPr>
        <w:t>15. 缺陷责任与保修</w:t>
      </w:r>
      <w:bookmarkEnd w:id="558"/>
      <w:bookmarkEnd w:id="559"/>
      <w:bookmarkEnd w:id="560"/>
    </w:p>
    <w:bookmarkEnd w:id="544"/>
    <w:bookmarkEnd w:id="545"/>
    <w:bookmarkEnd w:id="561"/>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62" w:name="_Toc532377287"/>
      <w:bookmarkStart w:id="563" w:name="_Toc351203599"/>
      <w:bookmarkStart w:id="564" w:name="_Toc337558816"/>
      <w:bookmarkStart w:id="565" w:name="_Toc296503114"/>
      <w:bookmarkStart w:id="566" w:name="_Toc296346615"/>
      <w:r>
        <w:rPr>
          <w:rFonts w:hint="eastAsia" w:ascii="宋体" w:hAnsi="宋体" w:eastAsia="宋体" w:cs="宋体"/>
          <w:b/>
          <w:color w:val="auto"/>
          <w:kern w:val="2"/>
          <w:sz w:val="28"/>
          <w:szCs w:val="28"/>
          <w:highlight w:val="none"/>
          <w:lang w:val="en-US" w:eastAsia="zh-CN" w:bidi="ar-SA"/>
        </w:rPr>
        <w:t>15.1 工程保修的原则</w:t>
      </w:r>
      <w:bookmarkEnd w:id="562"/>
      <w:bookmarkEnd w:id="563"/>
    </w:p>
    <w:bookmarkEnd w:id="564"/>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在工程移交发包人后，因承包人原因产生的质量缺陷，承包人应承担质量缺陷责任和保修义务。缺陷责任期届满，承包人仍应按合同约定的工程各部位保修年限承担保修义务。</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67" w:name="_Toc351203600"/>
      <w:bookmarkStart w:id="568" w:name="_Toc532377288"/>
      <w:bookmarkStart w:id="569" w:name="_Toc337558817"/>
      <w:r>
        <w:rPr>
          <w:rFonts w:hint="eastAsia" w:ascii="宋体" w:hAnsi="宋体" w:eastAsia="宋体" w:cs="宋体"/>
          <w:b/>
          <w:color w:val="auto"/>
          <w:kern w:val="2"/>
          <w:sz w:val="28"/>
          <w:szCs w:val="28"/>
          <w:highlight w:val="none"/>
          <w:lang w:val="en-US" w:eastAsia="zh-CN" w:bidi="ar-SA"/>
        </w:rPr>
        <w:t>15.2 缺陷责任期</w:t>
      </w:r>
      <w:bookmarkEnd w:id="565"/>
      <w:bookmarkEnd w:id="566"/>
      <w:bookmarkEnd w:id="567"/>
      <w:bookmarkEnd w:id="568"/>
    </w:p>
    <w:bookmarkEnd w:id="56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15.2.1 缺陷责任期从工程通过竣工验收之日起计算，合同当事人应在专用合同条款约定缺陷责任期的具体期限，但该期限最长不超过24个月。</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由他人原因造成的缺陷，发包人负责组织维修，承包人不承担费用，且发包人不得从保证金中扣除费用。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15.2.3 任何一项缺陷或损坏修复后，经检查证明其影响了工程或工程设备的使用性能，承包人应重新进行合同约定的试验和试运行，试验和试运行的全部费用应由责任方承担。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发包人应在收到缺陷责任期届满通知后14天内，向承包人颁发缺陷责任期终止证书。</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70" w:name="_Toc351203601"/>
      <w:bookmarkStart w:id="571" w:name="_Toc532377289"/>
      <w:bookmarkStart w:id="572" w:name="_Toc337558818"/>
      <w:bookmarkStart w:id="573" w:name="_Toc296503115"/>
      <w:bookmarkStart w:id="574" w:name="_Toc296346616"/>
      <w:r>
        <w:rPr>
          <w:rFonts w:hint="eastAsia" w:ascii="宋体" w:hAnsi="宋体" w:eastAsia="宋体" w:cs="宋体"/>
          <w:b/>
          <w:color w:val="auto"/>
          <w:kern w:val="2"/>
          <w:sz w:val="28"/>
          <w:szCs w:val="28"/>
          <w:highlight w:val="none"/>
          <w:lang w:val="en-US" w:eastAsia="zh-CN" w:bidi="ar-SA"/>
        </w:rPr>
        <w:t>15.3 质量保证金</w:t>
      </w:r>
      <w:bookmarkEnd w:id="570"/>
      <w:bookmarkEnd w:id="571"/>
    </w:p>
    <w:bookmarkEnd w:id="572"/>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经合同当事人协商一致扣留质量保证金的，应在专用合同条款中予以明确。</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在工程项目竣工前，承包人已经提供履约担保的，发包人不得同时预留工程质量保证金。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15.3.1 承包人提供质量保证金的方式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承包人提供质量保证金有以下三种方式：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（1）质量保证金保函；</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（2）相应比例的工程款；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（3）双方约定的其他方式。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除专用合同条款另有约定外，质量保证金原则上采用上述第（1）种方式。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15.3.2 质量保证金的扣留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质量保证金的扣留有以下三种方式：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（1）在支付工程进度款时逐次扣留，在此情形下，质量保证金的计算基数不包括预付款的支付、扣回以及价格调整的金额；</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（2）工</w:t>
      </w:r>
      <w:bookmarkStart w:id="575" w:name="#go6"/>
      <w:bookmarkEnd w:id="575"/>
      <w:r>
        <w:rPr>
          <w:rFonts w:hint="eastAsia" w:ascii="宋体" w:hAnsi="宋体" w:eastAsia="宋体" w:cs="宋体"/>
          <w:color w:val="auto"/>
          <w:kern w:val="0"/>
          <w:szCs w:val="21"/>
          <w:highlight w:val="none"/>
        </w:rPr>
        <w:t>程竣工结算时一次性扣留质量保证金；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（3）双方约定的其他扣留方式。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除专用合同条款另有约定外，质量保证金的扣留原则上采用上述第（1）种方式。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w:t>
      </w:r>
      <w:bookmarkStart w:id="576" w:name="#go4"/>
      <w:bookmarkEnd w:id="576"/>
      <w:r>
        <w:rPr>
          <w:rFonts w:hint="eastAsia" w:ascii="宋体" w:hAnsi="宋体" w:eastAsia="宋体" w:cs="宋体"/>
          <w:color w:val="auto"/>
          <w:kern w:val="0"/>
          <w:szCs w:val="21"/>
          <w:highlight w:val="none"/>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发包人在退还质量保证金的同时按照中国人民银行发布的同期同类贷款基准利率支付利息。</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15.3.3 质量保证金的退还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缺陷责任期内，承包人认真履行合同约定的责任，到期后，承包人可向发包人申请返还保证金。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发包人和承包人对保证金预留、返还以及工程维修质量、费用有争议的，按合同第20条约定的争议和纠纷解决程序处理。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77" w:name="_Toc351203602"/>
      <w:bookmarkStart w:id="578" w:name="_Toc532377290"/>
      <w:bookmarkStart w:id="579" w:name="_Toc337558819"/>
      <w:r>
        <w:rPr>
          <w:rFonts w:hint="eastAsia" w:ascii="宋体" w:hAnsi="宋体" w:eastAsia="宋体" w:cs="宋体"/>
          <w:b/>
          <w:color w:val="auto"/>
          <w:kern w:val="2"/>
          <w:sz w:val="28"/>
          <w:szCs w:val="28"/>
          <w:highlight w:val="none"/>
          <w:lang w:val="en-US" w:eastAsia="zh-CN" w:bidi="ar-SA"/>
        </w:rPr>
        <w:t>15.4 保修</w:t>
      </w:r>
      <w:bookmarkEnd w:id="577"/>
      <w:bookmarkEnd w:id="578"/>
    </w:p>
    <w:bookmarkEnd w:id="573"/>
    <w:bookmarkEnd w:id="574"/>
    <w:bookmarkEnd w:id="57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15.4.1保修责任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发包人未经竣工验收擅自使用工程的，保修期自转移占有之日起算。</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15.4.2 修复费用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保修期内，修复的费用按照以下约定处理：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（1）保修期内，因承包人原因造成工程的缺陷、损坏，承包人应负责修复，并承担修复的费用以及因工程的缺陷、损坏造成的人身伤害和财产损失；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（2）保修期内，因发包人使用不当造成工程的缺陷、损坏，可以委托承包人修复，但发包人应承担修复的费用，并支付承包人合理利润；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（3）因其他原因造成工程的缺陷、损坏，可以委托承包人修复，发包人应承担修复的费用，并支付承包人合理的利润，因工程的缺陷、损坏造成的人身伤害和财产损失由责任方承担。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15.4.3 修复通知</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15.4.4 未能修复</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15.4.5 承包人出入权</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580" w:name="_Toc532375602"/>
      <w:bookmarkStart w:id="581" w:name="_Toc351203603"/>
      <w:bookmarkStart w:id="582" w:name="_Toc532377291"/>
      <w:bookmarkStart w:id="583" w:name="_Toc337558820"/>
      <w:r>
        <w:rPr>
          <w:rFonts w:hint="eastAsia" w:ascii="宋体" w:hAnsi="宋体" w:eastAsia="宋体" w:cs="宋体"/>
          <w:color w:val="auto"/>
          <w:kern w:val="2"/>
          <w:sz w:val="28"/>
          <w:szCs w:val="28"/>
          <w:highlight w:val="none"/>
        </w:rPr>
        <w:t>16. 违约</w:t>
      </w:r>
      <w:bookmarkEnd w:id="580"/>
      <w:bookmarkEnd w:id="581"/>
      <w:bookmarkEnd w:id="582"/>
    </w:p>
    <w:bookmarkEnd w:id="583"/>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84" w:name="_Toc296503129"/>
      <w:bookmarkStart w:id="585" w:name="_Toc296346630"/>
      <w:bookmarkStart w:id="586" w:name="_Toc532377292"/>
      <w:bookmarkStart w:id="587" w:name="_Toc351203604"/>
      <w:bookmarkStart w:id="588" w:name="_Toc337558821"/>
      <w:r>
        <w:rPr>
          <w:rFonts w:hint="eastAsia" w:ascii="宋体" w:hAnsi="宋体" w:eastAsia="宋体" w:cs="宋体"/>
          <w:b/>
          <w:color w:val="auto"/>
          <w:kern w:val="2"/>
          <w:sz w:val="28"/>
          <w:szCs w:val="28"/>
          <w:highlight w:val="none"/>
          <w:lang w:val="en-US" w:eastAsia="zh-CN" w:bidi="ar-SA"/>
        </w:rPr>
        <w:t>16.1 发</w:t>
      </w:r>
      <w:bookmarkEnd w:id="584"/>
      <w:bookmarkEnd w:id="585"/>
      <w:r>
        <w:rPr>
          <w:rFonts w:hint="eastAsia" w:ascii="宋体" w:hAnsi="宋体" w:eastAsia="宋体" w:cs="宋体"/>
          <w:b/>
          <w:color w:val="auto"/>
          <w:kern w:val="2"/>
          <w:sz w:val="28"/>
          <w:szCs w:val="28"/>
          <w:highlight w:val="none"/>
          <w:lang w:val="en-US" w:eastAsia="zh-CN" w:bidi="ar-SA"/>
        </w:rPr>
        <w:t>包人违约</w:t>
      </w:r>
      <w:bookmarkEnd w:id="586"/>
      <w:bookmarkEnd w:id="587"/>
    </w:p>
    <w:bookmarkEnd w:id="58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16.1.1 发包人违约的情形</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在合同履行过程中发生的下列情形，属于发包人违约：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（1）因发包人原因未能在计划开工日期前7天内下达开工通知的；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（2）因发包人原因未能按合同约定支付合同价款的；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（3）发包人违反第10.1款〔变更的范围〕第（2）项约定，自行实施被取消的工作或转由他人实施的；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（4）发包人提供的材料、工程设备的规格、数量或质量不符合合同约定，或因发包人原因导致交货日期延误或交货地点变更等情况的；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（5）因发包人违反合同约定造成暂停施工的；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（6）发包人无正当理由没有在约定期限内发出复工指示，导致承包人无法复工的；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（7）发包人明确表示或者以其行为表明不履行合同主要义务的；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（8）发包人未能按照合同约定履行其他义务的。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16.1.2 发包人违约的责任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发包人应承担因其违约给承包人增加的费用和（或）延误的工期，并支付承包人合理的利润。此外，合同当事人可在专用合同条款中另行约定发包人违约责任的承担方式和计算方法。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16.1.3 因发包人违约解除合同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16.1.4 因发包人违约解除合同后的付款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承包人按照本款约定解除合同的，发包人应在解除合同后28天内支付下列款项，并解除履约担保：</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（1）合同解除前所完成工作的价款；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（2）承包人为工程施工订购并已付款的材料、工程设备和其他物品的价款；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（3）承包人撤离施工现场以及遣散承包人人员的款项；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（4）按照合同约定在合同解除前应支付的违约金；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（5）按照合同约定应当支付给承包人的其他款项；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（6）按照合同约定应退还的质量保证金；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（7）因解除合同给承包人造成的损失。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合同当事人未能就解除合同后的结清达成一致的，按照第20条〔争议解决〕的约定处理。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89" w:name="_Toc351203605"/>
      <w:bookmarkStart w:id="590" w:name="_Toc532377293"/>
      <w:bookmarkStart w:id="591" w:name="_Toc296346632"/>
      <w:bookmarkStart w:id="592" w:name="_Toc337558822"/>
      <w:bookmarkStart w:id="593" w:name="_Toc296503131"/>
      <w:r>
        <w:rPr>
          <w:rFonts w:hint="eastAsia" w:ascii="宋体" w:hAnsi="宋体" w:eastAsia="宋体" w:cs="宋体"/>
          <w:b/>
          <w:color w:val="auto"/>
          <w:kern w:val="2"/>
          <w:sz w:val="28"/>
          <w:szCs w:val="28"/>
          <w:highlight w:val="none"/>
          <w:lang w:val="en-US" w:eastAsia="zh-CN" w:bidi="ar-SA"/>
        </w:rPr>
        <w:t>16.2 承包人违约</w:t>
      </w:r>
      <w:bookmarkEnd w:id="589"/>
      <w:bookmarkEnd w:id="590"/>
    </w:p>
    <w:bookmarkEnd w:id="591"/>
    <w:bookmarkEnd w:id="592"/>
    <w:bookmarkEnd w:id="593"/>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16.2.1 承包人违约的情形</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在合同履行过程中发生的下列情形，属于承包人违约：</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（1）承包人违反合同约定进行转包或违法分包的；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（2）承包人违反合同约定采购和使用不合格的材料和工程设备的；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（3）因承包人原因导致工程质量不符合合同要求的； </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（4）承包人违反第8.9款〔材料与设备专用要求〕的约定，未经批准，私自将已按照合同约定进入施工现场的材料或设备撤离施工现场的；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（5）承包人未能按施工进度计划及时完成合同约定的工作，造成工期延误的；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（6）承包人在缺陷责任期及保修期内，未能在合理期限对工程缺陷进行修复，或拒绝按发包人要求进行修复的；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（7）承包人明确表示或者以其行为表明不履行合同主要义务的；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（8）承包人未能按照合同约定履行其他义务的。</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承包人发生除本项第（7）目约定以外的其他违约情况时，监理人可向承包人发出整改通知，要求其在指定的期限内改正。</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 承包人违约的责任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承包人应承担因其违约行为而增加的费用和（或）延误的工期。此外，合同当事人可在专用合同条款中另行约定承包人违约责任的承担方式和计算方法。</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16.2.3 因承包人违约解除合同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不免除或减轻承包人应承担的违约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16.2.4因承包人违约解除合同后的处理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因承包人原因导致合同解除的，则合同当事人应在合同解除后28天内完成估价、付款和清算，并按以下约定执行：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（1）合同解除后，按第4.4款〔商定或确定〕商定或确定承包人实际完成工作对应的合同价款，以及承包人已提供的材料、工程设备、施工设备和临时工程等的价值；</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（2）合同解除后，承包人应支付的违约金；</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（3）合同解除后，因解除合同给发包人造成的损失；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（4）合同解除后，承包人应按照发包人要求和监理人的指示完成现场的清理和撤离；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（5）发包人和承包人应在合同解除后进行清算，出具最终结清付款证书，结清全部款项。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因承包人违约解除合同的，发包人有权暂停对承包人的付款，查清各项付款和已扣款项。发包人和承包人未能就合同解除后的清算和款项支付达成一致的，按照第20条〔争议解决〕的约定处理。</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16.2.5</w:t>
      </w:r>
      <w:r>
        <w:rPr>
          <w:rFonts w:hint="eastAsia" w:ascii="宋体" w:hAnsi="宋体" w:cs="宋体"/>
          <w:color w:val="auto"/>
          <w:kern w:val="0"/>
          <w:szCs w:val="21"/>
          <w:highlight w:val="none"/>
          <w:lang w:eastAsia="zh-CN"/>
        </w:rPr>
        <w:t>建筑工程施工合同</w:t>
      </w:r>
      <w:r>
        <w:rPr>
          <w:rFonts w:hint="eastAsia" w:ascii="宋体" w:hAnsi="宋体" w:eastAsia="宋体" w:cs="宋体"/>
          <w:color w:val="auto"/>
          <w:kern w:val="0"/>
          <w:szCs w:val="21"/>
          <w:highlight w:val="none"/>
        </w:rPr>
        <w:t>权益转让</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因承包人违约解除合同的，发包人有权要求承包人将其为实施合同而签订的材料和设备的</w:t>
      </w:r>
      <w:r>
        <w:rPr>
          <w:rFonts w:hint="eastAsia" w:ascii="宋体" w:hAnsi="宋体" w:cs="宋体"/>
          <w:color w:val="auto"/>
          <w:kern w:val="0"/>
          <w:szCs w:val="21"/>
          <w:highlight w:val="none"/>
          <w:lang w:eastAsia="zh-CN"/>
        </w:rPr>
        <w:t>建筑工程施工合同</w:t>
      </w:r>
      <w:r>
        <w:rPr>
          <w:rFonts w:hint="eastAsia" w:ascii="宋体" w:hAnsi="宋体" w:eastAsia="宋体" w:cs="宋体"/>
          <w:color w:val="auto"/>
          <w:kern w:val="0"/>
          <w:szCs w:val="21"/>
          <w:highlight w:val="none"/>
        </w:rPr>
        <w:t>的权益转让给发包人，承包人应在收到解除合同通知后14天内，协助发包人与</w:t>
      </w:r>
      <w:r>
        <w:rPr>
          <w:rFonts w:hint="eastAsia" w:ascii="宋体" w:hAnsi="宋体" w:cs="宋体"/>
          <w:color w:val="auto"/>
          <w:kern w:val="0"/>
          <w:szCs w:val="21"/>
          <w:highlight w:val="none"/>
          <w:lang w:eastAsia="zh-CN"/>
        </w:rPr>
        <w:t>建筑工程施工合同</w:t>
      </w:r>
      <w:r>
        <w:rPr>
          <w:rFonts w:hint="eastAsia" w:ascii="宋体" w:hAnsi="宋体" w:eastAsia="宋体" w:cs="宋体"/>
          <w:color w:val="auto"/>
          <w:kern w:val="0"/>
          <w:szCs w:val="21"/>
          <w:highlight w:val="none"/>
        </w:rPr>
        <w:t>的供应商达成相关的转让协议。</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594" w:name="_Toc351203606"/>
      <w:bookmarkStart w:id="595" w:name="_Toc532377294"/>
      <w:r>
        <w:rPr>
          <w:rFonts w:hint="eastAsia" w:ascii="宋体" w:hAnsi="宋体" w:eastAsia="宋体" w:cs="宋体"/>
          <w:b/>
          <w:color w:val="auto"/>
          <w:kern w:val="2"/>
          <w:sz w:val="28"/>
          <w:szCs w:val="28"/>
          <w:highlight w:val="none"/>
          <w:lang w:val="en-US" w:eastAsia="zh-CN" w:bidi="ar-SA"/>
        </w:rPr>
        <w:t>16.3 第三人造成的违约</w:t>
      </w:r>
      <w:bookmarkEnd w:id="594"/>
      <w:bookmarkEnd w:id="595"/>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在履行合同过程中，一方当事人因第三人的原因造成违约的，应当向对方当事人承担违约责任。一方当事人和第三人之间的纠纷，依照法律规定或者按照约定解决。</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596" w:name="_Toc351203607"/>
      <w:bookmarkStart w:id="597" w:name="_Toc337558823"/>
      <w:bookmarkStart w:id="598" w:name="_Toc296503116"/>
      <w:bookmarkStart w:id="599" w:name="_Toc532377295"/>
      <w:bookmarkStart w:id="600" w:name="_Toc296346617"/>
      <w:bookmarkStart w:id="601" w:name="_Toc532375603"/>
      <w:r>
        <w:rPr>
          <w:rFonts w:hint="eastAsia" w:ascii="宋体" w:hAnsi="宋体" w:eastAsia="宋体" w:cs="宋体"/>
          <w:color w:val="auto"/>
          <w:kern w:val="2"/>
          <w:sz w:val="28"/>
          <w:szCs w:val="28"/>
          <w:highlight w:val="none"/>
        </w:rPr>
        <w:t>17. 不可抗力</w:t>
      </w:r>
      <w:bookmarkEnd w:id="596"/>
      <w:bookmarkEnd w:id="597"/>
      <w:bookmarkEnd w:id="598"/>
      <w:bookmarkEnd w:id="599"/>
      <w:bookmarkEnd w:id="600"/>
      <w:bookmarkEnd w:id="601"/>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02" w:name="_Toc532377296"/>
      <w:bookmarkStart w:id="603" w:name="_Toc351203608"/>
      <w:bookmarkStart w:id="604" w:name="_Toc296503117"/>
      <w:bookmarkStart w:id="605" w:name="_Toc296346618"/>
      <w:bookmarkStart w:id="606" w:name="_Toc337558824"/>
      <w:r>
        <w:rPr>
          <w:rFonts w:hint="eastAsia" w:ascii="宋体" w:hAnsi="宋体" w:eastAsia="宋体" w:cs="宋体"/>
          <w:b/>
          <w:color w:val="auto"/>
          <w:kern w:val="2"/>
          <w:sz w:val="28"/>
          <w:szCs w:val="28"/>
          <w:highlight w:val="none"/>
          <w:lang w:val="en-US" w:eastAsia="zh-CN" w:bidi="ar-SA"/>
        </w:rPr>
        <w:t>17.1 不可抗力的确认</w:t>
      </w:r>
      <w:bookmarkEnd w:id="602"/>
      <w:bookmarkEnd w:id="603"/>
    </w:p>
    <w:bookmarkEnd w:id="604"/>
    <w:bookmarkEnd w:id="605"/>
    <w:bookmarkEnd w:id="606"/>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不可抗力是指合同当事人在签订合同时不可预见，在合同履行过程中不可避免且不能克服的自然灾害和社会性突发事件，如地震、海啸、瘟疫、骚乱、戒严、暴动、战争和专用合同条款中约定的其他情形。</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发包人和承包人应收集证明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07" w:name="_Toc532377297"/>
      <w:bookmarkStart w:id="608" w:name="_Toc351203609"/>
      <w:bookmarkStart w:id="609" w:name="_Toc337558825"/>
      <w:bookmarkStart w:id="610" w:name="_Toc296346619"/>
      <w:bookmarkStart w:id="611" w:name="_Toc296503118"/>
      <w:r>
        <w:rPr>
          <w:rFonts w:hint="eastAsia" w:ascii="宋体" w:hAnsi="宋体" w:eastAsia="宋体" w:cs="宋体"/>
          <w:b/>
          <w:color w:val="auto"/>
          <w:kern w:val="2"/>
          <w:sz w:val="28"/>
          <w:szCs w:val="28"/>
          <w:highlight w:val="none"/>
          <w:lang w:val="en-US" w:eastAsia="zh-CN" w:bidi="ar-SA"/>
        </w:rPr>
        <w:t>17.2 不可抗力的通知</w:t>
      </w:r>
      <w:bookmarkEnd w:id="607"/>
      <w:bookmarkEnd w:id="608"/>
    </w:p>
    <w:bookmarkEnd w:id="609"/>
    <w:bookmarkEnd w:id="610"/>
    <w:bookmarkEnd w:id="61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合同一方当事人遇到不可抗力事件，使其履行合同义务受到阻碍时，应立即通知合同另一方当事人和监理人，书面说明不可抗力和受阻碍的详细情况，并提供必要的证明。</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不可抗力持续发生的，合同一方当事人应及时向合同另一方当事人和监理人提交中间报告，说明不可抗力和履行合同受阻的情况，并于不可抗力事件结束后28天内提交最终报告及有关资料。</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12" w:name="_Toc532377298"/>
      <w:r>
        <w:rPr>
          <w:rFonts w:hint="eastAsia" w:ascii="宋体" w:hAnsi="宋体" w:eastAsia="宋体" w:cs="宋体"/>
          <w:b/>
          <w:color w:val="auto"/>
          <w:kern w:val="2"/>
          <w:sz w:val="28"/>
          <w:szCs w:val="28"/>
          <w:highlight w:val="none"/>
          <w:lang w:val="en-US" w:eastAsia="zh-CN" w:bidi="ar-SA"/>
        </w:rPr>
        <w:t>17.3 不可抗力后果的承担</w:t>
      </w:r>
      <w:bookmarkEnd w:id="612"/>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17.3.1 不可抗力引起的后果及造成的损失由合同当事人按照法律规定及合同约定各自承担。不可抗力发生前已完成的工程应当按照合同约定进行计量支付。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17.3.2 不可抗力导致的人员伤亡、财产损失、费用增加和（或）工期延误等后果，由合同当事人按以下原则承担：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（1）永久工程、已运至施工现场的材料和工程设备的损坏，以及因工程损坏造成的第三人人员伤亡和财产损失由发包人承担；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（2）承包人施工设备的损坏由承包人承担；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（3）发包人和承包人承担各自人员伤亡和财产的损失；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（4）因不可抗力影响承包人履行合同约定的义务，已经引起或将引起工期延误的，应当顺延工期，由此导致承包人停工的费用损失由发包人和承包人合理分担，停工期间必须支付的工人工资由发包人承担；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（5）因不可抗力引起或将引起工期延误，发包人要求赶工的，由此增加的赶工费用由发包人承担；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（6）承包人在停工期间按照发包人要求照管、清理和修复工程的费用由发包人承担。</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不可抗力发生后，合同当事人均应采取措施尽量避免和减少损失的扩大，任何一方当事人没有采取有效措施导致损失扩大的，应对扩大的损失承担责任。</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因合同一方迟延履行合同义务，在迟延履行期间遭遇不可抗力的，不免除其违约责任。</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13" w:name="_Toc351203611"/>
      <w:bookmarkStart w:id="614" w:name="_Toc532377299"/>
      <w:bookmarkStart w:id="615" w:name="_Toc337558827"/>
      <w:r>
        <w:rPr>
          <w:rFonts w:hint="eastAsia" w:ascii="宋体" w:hAnsi="宋体" w:eastAsia="宋体" w:cs="宋体"/>
          <w:b/>
          <w:color w:val="auto"/>
          <w:kern w:val="2"/>
          <w:sz w:val="28"/>
          <w:szCs w:val="28"/>
          <w:highlight w:val="none"/>
          <w:lang w:val="en-US" w:eastAsia="zh-CN" w:bidi="ar-SA"/>
        </w:rPr>
        <w:t>17.4 因不可抗力解除合同</w:t>
      </w:r>
      <w:bookmarkEnd w:id="613"/>
      <w:bookmarkEnd w:id="614"/>
    </w:p>
    <w:bookmarkEnd w:id="615"/>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因不可抗力导致合同无法履行连续超过84天或累计超过140天的，发包人和承包人均有权解除合同。合同解除后，由双方当事人按照第4.4款〔商定或确定〕商定或确定发包人应支付的款项，该款项包括：</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（1）合同解除前承包人已完成工作的价款；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（2）承包人为工程订购的并已交付给承包人，或承包人有责任接受交付的材料、工程设备和其他物品的价款；</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（3）发包人要求承包人退货或解除订货合同而产生的费用，或因不能退货或解除合同而产生的损失；</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（4）承包人撤离施工现场以及遣散承包人人员的费用；</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（5）按照合同约定在合同解除前应支付给承包人的其他款项；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（6）扣减承包人按照合同约定应向发包人支付的款项；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（7）双方商定或确定的其他款项。</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除专用合同条款另有约定外，合同解除后，发包人应在商定或确定上述款项后28天内完成上述款项的支付。</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rPr>
      </w:pPr>
      <w:bookmarkStart w:id="616" w:name="_Toc532375604"/>
      <w:bookmarkStart w:id="617" w:name="_Toc532377300"/>
      <w:bookmarkStart w:id="618" w:name="_Toc351203612"/>
      <w:bookmarkStart w:id="619" w:name="_Toc337558828"/>
      <w:bookmarkStart w:id="620" w:name="_Toc296346621"/>
      <w:bookmarkStart w:id="621" w:name="_Toc296503120"/>
      <w:r>
        <w:rPr>
          <w:rFonts w:hint="eastAsia" w:ascii="宋体" w:hAnsi="宋体" w:eastAsia="宋体" w:cs="宋体"/>
          <w:color w:val="auto"/>
          <w:kern w:val="2"/>
          <w:sz w:val="28"/>
          <w:szCs w:val="28"/>
          <w:highlight w:val="none"/>
        </w:rPr>
        <w:t>18. 保险</w:t>
      </w:r>
      <w:bookmarkEnd w:id="616"/>
      <w:bookmarkEnd w:id="617"/>
      <w:bookmarkEnd w:id="618"/>
    </w:p>
    <w:bookmarkEnd w:id="619"/>
    <w:bookmarkEnd w:id="620"/>
    <w:bookmarkEnd w:id="621"/>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22" w:name="_Toc351203613"/>
      <w:bookmarkStart w:id="623" w:name="_Toc532377301"/>
      <w:bookmarkStart w:id="624" w:name="_Toc296503121"/>
      <w:bookmarkStart w:id="625" w:name="_Toc296346622"/>
      <w:bookmarkStart w:id="626" w:name="_Toc337558829"/>
      <w:r>
        <w:rPr>
          <w:rFonts w:hint="eastAsia" w:ascii="宋体" w:hAnsi="宋体" w:eastAsia="宋体" w:cs="宋体"/>
          <w:b/>
          <w:color w:val="auto"/>
          <w:kern w:val="2"/>
          <w:sz w:val="28"/>
          <w:szCs w:val="28"/>
          <w:highlight w:val="none"/>
          <w:lang w:val="en-US" w:eastAsia="zh-CN" w:bidi="ar-SA"/>
        </w:rPr>
        <w:t>18.1 工程保险</w:t>
      </w:r>
      <w:bookmarkEnd w:id="622"/>
      <w:bookmarkEnd w:id="623"/>
    </w:p>
    <w:bookmarkEnd w:id="624"/>
    <w:bookmarkEnd w:id="625"/>
    <w:bookmarkEnd w:id="626"/>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除专用合同条款另有约定外，发包人应投保建筑工程一切险或安装工程一切险；发包人委托承包人投保的，因投保产生的保险费和其他相关费用由发包人承担。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27" w:name="_Toc532377302"/>
      <w:bookmarkStart w:id="628" w:name="_Toc351203614"/>
      <w:bookmarkStart w:id="629" w:name="_Toc296346623"/>
      <w:bookmarkStart w:id="630" w:name="_Toc296503122"/>
      <w:bookmarkStart w:id="631" w:name="_Toc337558830"/>
      <w:r>
        <w:rPr>
          <w:rFonts w:hint="eastAsia" w:ascii="宋体" w:hAnsi="宋体" w:eastAsia="宋体" w:cs="宋体"/>
          <w:b/>
          <w:color w:val="auto"/>
          <w:kern w:val="2"/>
          <w:sz w:val="28"/>
          <w:szCs w:val="28"/>
          <w:highlight w:val="none"/>
          <w:lang w:val="en-US" w:eastAsia="zh-CN" w:bidi="ar-SA"/>
        </w:rPr>
        <w:t>18.2 工伤保险</w:t>
      </w:r>
      <w:bookmarkEnd w:id="627"/>
      <w:bookmarkEnd w:id="628"/>
    </w:p>
    <w:bookmarkEnd w:id="629"/>
    <w:bookmarkEnd w:id="630"/>
    <w:bookmarkEnd w:id="63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18.2.1 发包人应依照法律规定参加工伤保险，并为在施工现场的全部员工办理工伤保险，缴纳工伤保险费，并要求监理人及由发包人为履行合同聘请的第三方依法参加工伤保险。</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18.2.2 承包人应依照法律规定参加工伤保险，并为其履行合同的全部员工办理工伤保险，缴纳工伤保险费，并要求分包人及由承包人为履行合同聘请的第三方依法参加工伤保险。</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32" w:name="_Toc532377303"/>
      <w:bookmarkStart w:id="633" w:name="_Toc351203615"/>
      <w:bookmarkStart w:id="634" w:name="_Toc296503125"/>
      <w:bookmarkStart w:id="635" w:name="_Toc337558831"/>
      <w:bookmarkStart w:id="636" w:name="_Toc296346626"/>
      <w:r>
        <w:rPr>
          <w:rFonts w:hint="eastAsia" w:ascii="宋体" w:hAnsi="宋体" w:eastAsia="宋体" w:cs="宋体"/>
          <w:b/>
          <w:color w:val="auto"/>
          <w:kern w:val="2"/>
          <w:sz w:val="28"/>
          <w:szCs w:val="28"/>
          <w:highlight w:val="none"/>
          <w:lang w:val="en-US" w:eastAsia="zh-CN" w:bidi="ar-SA"/>
        </w:rPr>
        <w:t>18.3其他保险</w:t>
      </w:r>
      <w:bookmarkEnd w:id="632"/>
      <w:bookmarkEnd w:id="633"/>
    </w:p>
    <w:bookmarkEnd w:id="634"/>
    <w:bookmarkEnd w:id="635"/>
    <w:bookmarkEnd w:id="636"/>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发包人和承包人可以为其施工现场的全部人员办理意外伤害保险并支付保险费，包括其员工及为履行合同聘请的第三方的人员，具体事项由合同当事人在专用合同条款约定。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除专用合同条款另有约定外，承包人应为其施工设备等办理财产保险。</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37" w:name="_Toc351203616"/>
      <w:bookmarkStart w:id="638" w:name="_Toc532377304"/>
      <w:r>
        <w:rPr>
          <w:rFonts w:hint="eastAsia" w:ascii="宋体" w:hAnsi="宋体" w:eastAsia="宋体" w:cs="宋体"/>
          <w:b/>
          <w:color w:val="auto"/>
          <w:kern w:val="2"/>
          <w:sz w:val="28"/>
          <w:szCs w:val="28"/>
          <w:highlight w:val="none"/>
          <w:lang w:val="en-US" w:eastAsia="zh-CN" w:bidi="ar-SA"/>
        </w:rPr>
        <w:t>18.4持续保险</w:t>
      </w:r>
      <w:bookmarkEnd w:id="637"/>
      <w:bookmarkEnd w:id="638"/>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合同当事人应与保险人保持联系，使保险人能够随时了解工程实施中的变动，并确保按保险合同条款要求持续保险。</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39" w:name="_Toc532377305"/>
      <w:bookmarkStart w:id="640" w:name="_Toc351203617"/>
      <w:bookmarkStart w:id="641" w:name="_Toc296346627"/>
      <w:bookmarkStart w:id="642" w:name="_Toc296503126"/>
      <w:bookmarkStart w:id="643" w:name="_Toc337558832"/>
      <w:r>
        <w:rPr>
          <w:rFonts w:hint="eastAsia" w:ascii="宋体" w:hAnsi="宋体" w:eastAsia="宋体" w:cs="宋体"/>
          <w:b/>
          <w:color w:val="auto"/>
          <w:kern w:val="2"/>
          <w:sz w:val="28"/>
          <w:szCs w:val="28"/>
          <w:highlight w:val="none"/>
          <w:lang w:val="en-US" w:eastAsia="zh-CN" w:bidi="ar-SA"/>
        </w:rPr>
        <w:t>18.5 保险凭证</w:t>
      </w:r>
      <w:bookmarkEnd w:id="639"/>
      <w:bookmarkEnd w:id="640"/>
    </w:p>
    <w:bookmarkEnd w:id="641"/>
    <w:bookmarkEnd w:id="642"/>
    <w:bookmarkEnd w:id="643"/>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合同当事人应及时向另一方当事人提交其已投保的各项保险的凭证和保险单复印件。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44" w:name="_Toc351203618"/>
      <w:bookmarkStart w:id="645" w:name="_Toc532377306"/>
      <w:bookmarkStart w:id="646" w:name="_Toc296503127"/>
      <w:bookmarkStart w:id="647" w:name="_Toc337558833"/>
      <w:bookmarkStart w:id="648" w:name="_Toc296346628"/>
      <w:r>
        <w:rPr>
          <w:rFonts w:hint="eastAsia" w:ascii="宋体" w:hAnsi="宋体" w:eastAsia="宋体" w:cs="宋体"/>
          <w:b/>
          <w:color w:val="auto"/>
          <w:kern w:val="2"/>
          <w:sz w:val="28"/>
          <w:szCs w:val="28"/>
          <w:highlight w:val="none"/>
          <w:lang w:val="en-US" w:eastAsia="zh-CN" w:bidi="ar-SA"/>
        </w:rPr>
        <w:t>18.6 未按约定投保的补救</w:t>
      </w:r>
      <w:bookmarkEnd w:id="644"/>
      <w:bookmarkEnd w:id="645"/>
    </w:p>
    <w:bookmarkEnd w:id="646"/>
    <w:bookmarkEnd w:id="647"/>
    <w:bookmarkEnd w:id="648"/>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18.6.1发包人未按合同约定办理保险，或未能使保险持续有效的，则承包人可代为办理，所需费用由发包人承担。发包人未按合同约定办理保险，导致未能得到足额赔偿的，由发包人负责补足。</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18.6.2承包人未按合同约定办理保险，或未能使保险持续有效的，则发包人可代为办理，所需费用由承包人承担。承包人未按合同约定办理保险，导致未能得到足额赔偿的，由承包人负责补足。</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49" w:name="_Toc351203619"/>
      <w:bookmarkStart w:id="650" w:name="_Toc532377307"/>
      <w:bookmarkStart w:id="651" w:name="_Toc337558834"/>
      <w:r>
        <w:rPr>
          <w:rFonts w:hint="eastAsia" w:ascii="宋体" w:hAnsi="宋体" w:eastAsia="宋体" w:cs="宋体"/>
          <w:b/>
          <w:color w:val="auto"/>
          <w:kern w:val="2"/>
          <w:sz w:val="28"/>
          <w:szCs w:val="28"/>
          <w:highlight w:val="none"/>
          <w:lang w:val="en-US" w:eastAsia="zh-CN" w:bidi="ar-SA"/>
        </w:rPr>
        <w:t>18.7 通知义务</w:t>
      </w:r>
      <w:bookmarkEnd w:id="649"/>
      <w:bookmarkEnd w:id="650"/>
    </w:p>
    <w:bookmarkEnd w:id="651"/>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除专用合同条款另有约定外，发包人变更除工伤保险之外的保险合同时，应事先征得承包人同意，并通知监理人；承包人变更除工伤保险之外的保险合同时，应事先征得发包人同意，并通知监理人。</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保险事故发生时，投保人应按照保险合同规定的条件和期限及时向保险人报告。发包人和承包人应当在知道保险事故发生后及时通知对方。</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lang w:val="en-US" w:eastAsia="zh-CN"/>
        </w:rPr>
      </w:pPr>
      <w:bookmarkStart w:id="652" w:name="_Toc532375605"/>
      <w:bookmarkStart w:id="653" w:name="_Toc532377308"/>
      <w:r>
        <w:rPr>
          <w:rFonts w:hint="eastAsia" w:ascii="宋体" w:hAnsi="宋体" w:eastAsia="宋体" w:cs="宋体"/>
          <w:color w:val="auto"/>
          <w:kern w:val="2"/>
          <w:sz w:val="28"/>
          <w:szCs w:val="28"/>
          <w:highlight w:val="none"/>
          <w:lang w:val="en-US" w:eastAsia="zh-CN"/>
        </w:rPr>
        <w:t>19. 索赔</w:t>
      </w:r>
      <w:bookmarkEnd w:id="652"/>
      <w:bookmarkEnd w:id="653"/>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54" w:name="_Toc532377309"/>
      <w:r>
        <w:rPr>
          <w:rFonts w:hint="eastAsia" w:ascii="宋体" w:hAnsi="宋体" w:eastAsia="宋体" w:cs="宋体"/>
          <w:b/>
          <w:color w:val="auto"/>
          <w:kern w:val="2"/>
          <w:sz w:val="28"/>
          <w:szCs w:val="28"/>
          <w:highlight w:val="none"/>
          <w:lang w:val="en-US" w:eastAsia="zh-CN" w:bidi="ar-SA"/>
        </w:rPr>
        <w:t>19.1承包人的索赔</w:t>
      </w:r>
      <w:bookmarkEnd w:id="654"/>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根据合同约定，承包人认为有权得到追加付款和（或）延长工期的，应按以下程序向发包人提出索赔：</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（1）承包人应在知道或应当知道索赔事件发生后28天内，向监理人递交索赔意向通知书，并说明发生索赔事件的事由；承包人未在前述28天内发出索赔意向通知书的，丧失要求追加付款和（或）延长工期的权利；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（3）索赔事件具有持续影响的，承包人应按合理时间间隔继续递交延续索赔通知，说明持续影响的实际情况和记录，列出累计的追加付款金额和（或）工期延长天数；</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（4）在索赔事件影响结束后28天内，承包人应向监理人递交最终索赔报告，说明最终要求索赔的追加付款金额和（或）延长的工期，并附必要的记录和证明材料。</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55" w:name="_Toc351203622"/>
      <w:bookmarkStart w:id="656" w:name="_Toc532377310"/>
      <w:bookmarkStart w:id="657" w:name="_Toc296503142"/>
      <w:bookmarkStart w:id="658" w:name="_Toc337558837"/>
      <w:bookmarkStart w:id="659" w:name="_Toc296346643"/>
      <w:r>
        <w:rPr>
          <w:rFonts w:hint="eastAsia" w:ascii="宋体" w:hAnsi="宋体" w:eastAsia="宋体" w:cs="宋体"/>
          <w:b/>
          <w:color w:val="auto"/>
          <w:kern w:val="2"/>
          <w:sz w:val="28"/>
          <w:szCs w:val="28"/>
          <w:highlight w:val="none"/>
          <w:lang w:val="en-US" w:eastAsia="zh-CN" w:bidi="ar-SA"/>
        </w:rPr>
        <w:t>19.2 对承包人索赔的处理</w:t>
      </w:r>
      <w:bookmarkEnd w:id="655"/>
      <w:bookmarkEnd w:id="656"/>
    </w:p>
    <w:bookmarkEnd w:id="657"/>
    <w:bookmarkEnd w:id="658"/>
    <w:bookmarkEnd w:id="65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对承包人索赔的处理如下：</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（1）监理人应在收到索赔报告后14天内完成审查并报送发包人。监理人对索赔报告存在异议的，有权要求承包人提交全部原始记录副本；</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（2）发包人应在监理人收到索赔报告或有关索赔的进一步证明材料后的28天内，由监理人向承包人出具经发包人签认的索赔处理结果。发包人逾期答复的，则视为认可承包人的索赔要求；</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（3）承包人接受索赔处理结果的，索赔款项在当期进度款中进行支付；承包人不接受索赔处理结果的，按照第20条〔争议解决〕约定处理。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60" w:name="_Toc532377311"/>
      <w:bookmarkStart w:id="661" w:name="_Toc351203623"/>
      <w:bookmarkStart w:id="662" w:name="_Toc296503143"/>
      <w:bookmarkStart w:id="663" w:name="_Toc296346644"/>
      <w:bookmarkStart w:id="664" w:name="_Toc337558838"/>
      <w:r>
        <w:rPr>
          <w:rFonts w:hint="eastAsia" w:ascii="宋体" w:hAnsi="宋体" w:eastAsia="宋体" w:cs="宋体"/>
          <w:b/>
          <w:color w:val="auto"/>
          <w:kern w:val="2"/>
          <w:sz w:val="28"/>
          <w:szCs w:val="28"/>
          <w:highlight w:val="none"/>
          <w:lang w:val="en-US" w:eastAsia="zh-CN" w:bidi="ar-SA"/>
        </w:rPr>
        <w:t>19.3发包人的索赔</w:t>
      </w:r>
      <w:bookmarkEnd w:id="660"/>
      <w:bookmarkEnd w:id="661"/>
    </w:p>
    <w:bookmarkEnd w:id="662"/>
    <w:bookmarkEnd w:id="663"/>
    <w:bookmarkEnd w:id="664"/>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65" w:name="_Toc351203624"/>
      <w:bookmarkStart w:id="666" w:name="_Toc532377312"/>
      <w:bookmarkStart w:id="667" w:name="_Toc296503144"/>
      <w:bookmarkStart w:id="668" w:name="_Toc337558839"/>
      <w:bookmarkStart w:id="669" w:name="_Toc296346645"/>
      <w:r>
        <w:rPr>
          <w:rFonts w:hint="eastAsia" w:ascii="宋体" w:hAnsi="宋体" w:eastAsia="宋体" w:cs="宋体"/>
          <w:b/>
          <w:color w:val="auto"/>
          <w:kern w:val="2"/>
          <w:sz w:val="28"/>
          <w:szCs w:val="28"/>
          <w:highlight w:val="none"/>
          <w:lang w:val="en-US" w:eastAsia="zh-CN" w:bidi="ar-SA"/>
        </w:rPr>
        <w:t>19.4 对发包人索赔的处理</w:t>
      </w:r>
      <w:bookmarkEnd w:id="665"/>
      <w:bookmarkEnd w:id="666"/>
    </w:p>
    <w:bookmarkEnd w:id="667"/>
    <w:bookmarkEnd w:id="668"/>
    <w:bookmarkEnd w:id="669"/>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对发包人索赔的处理如下：</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（1）承包人收到发包人提交的索赔报告后，应及时审查索赔报告的内容、查验发包人证明材料；</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（2）承包人应在收到索赔报告或有关索赔的进一步证明材料后28天内，将索赔处理结果答复发包人。如果承包人未在上述期限内作出答复的，则视为对发包人索赔要求的认可；</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70" w:name="_Toc351203625"/>
      <w:bookmarkStart w:id="671" w:name="_Toc532377313"/>
      <w:r>
        <w:rPr>
          <w:rFonts w:hint="eastAsia" w:ascii="宋体" w:hAnsi="宋体" w:eastAsia="宋体" w:cs="宋体"/>
          <w:b/>
          <w:color w:val="auto"/>
          <w:kern w:val="2"/>
          <w:sz w:val="28"/>
          <w:szCs w:val="28"/>
          <w:highlight w:val="none"/>
          <w:lang w:val="en-US" w:eastAsia="zh-CN" w:bidi="ar-SA"/>
        </w:rPr>
        <w:t>19.5 提出索赔的期限</w:t>
      </w:r>
      <w:bookmarkEnd w:id="670"/>
      <w:bookmarkEnd w:id="671"/>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（1）承包人按第14.2款〔竣工结算审核〕约定接收竣工付款证书后，应被视为已无权再提出在工程接收证书颁发前所发生的任何索赔。</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（2）承包人按第14.4款〔最终结清〕提交的最终结清申请单中，只限于提出工程接收证书颁发后发生的索赔。提出索赔的期限自接受最终结清证书时终止。</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lang w:val="en-US" w:eastAsia="zh-CN"/>
        </w:rPr>
      </w:pPr>
      <w:bookmarkStart w:id="672" w:name="_Toc351203626"/>
      <w:bookmarkStart w:id="673" w:name="_Toc532377314"/>
      <w:bookmarkStart w:id="674" w:name="_Toc532375606"/>
      <w:r>
        <w:rPr>
          <w:rFonts w:hint="eastAsia" w:ascii="宋体" w:hAnsi="宋体" w:eastAsia="宋体" w:cs="宋体"/>
          <w:color w:val="auto"/>
          <w:kern w:val="2"/>
          <w:sz w:val="28"/>
          <w:szCs w:val="28"/>
          <w:highlight w:val="none"/>
          <w:lang w:val="en-US" w:eastAsia="zh-CN"/>
        </w:rPr>
        <w:t>20</w:t>
      </w:r>
      <w:bookmarkStart w:id="675" w:name="_Toc296346647"/>
      <w:bookmarkStart w:id="676" w:name="_Toc337558840"/>
      <w:bookmarkStart w:id="677" w:name="_Toc296503146"/>
      <w:r>
        <w:rPr>
          <w:rFonts w:hint="eastAsia" w:ascii="宋体" w:hAnsi="宋体" w:eastAsia="宋体" w:cs="宋体"/>
          <w:color w:val="auto"/>
          <w:kern w:val="2"/>
          <w:sz w:val="28"/>
          <w:szCs w:val="28"/>
          <w:highlight w:val="none"/>
          <w:lang w:val="en-US" w:eastAsia="zh-CN"/>
        </w:rPr>
        <w:t>. 争议解决</w:t>
      </w:r>
      <w:bookmarkEnd w:id="672"/>
      <w:bookmarkEnd w:id="673"/>
      <w:bookmarkEnd w:id="674"/>
    </w:p>
    <w:bookmarkEnd w:id="675"/>
    <w:bookmarkEnd w:id="676"/>
    <w:bookmarkEnd w:id="67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78" w:name="_Toc532377315"/>
      <w:bookmarkStart w:id="679" w:name="_Toc351203627"/>
      <w:bookmarkStart w:id="680" w:name="_Toc296346648"/>
      <w:bookmarkStart w:id="681" w:name="_Toc296503147"/>
      <w:bookmarkStart w:id="682" w:name="_Toc337558841"/>
      <w:r>
        <w:rPr>
          <w:rFonts w:hint="eastAsia" w:ascii="宋体" w:hAnsi="宋体" w:eastAsia="宋体" w:cs="宋体"/>
          <w:b/>
          <w:color w:val="auto"/>
          <w:kern w:val="2"/>
          <w:sz w:val="28"/>
          <w:szCs w:val="28"/>
          <w:highlight w:val="none"/>
          <w:lang w:val="en-US" w:eastAsia="zh-CN" w:bidi="ar-SA"/>
        </w:rPr>
        <w:t>20.1和解</w:t>
      </w:r>
      <w:bookmarkEnd w:id="678"/>
      <w:bookmarkEnd w:id="679"/>
    </w:p>
    <w:bookmarkEnd w:id="680"/>
    <w:bookmarkEnd w:id="681"/>
    <w:bookmarkEnd w:id="682"/>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合同当事人可以就争议自行和解，自行和解达成协议的经双方签名并盖章后作为合同补充文件，双方均应遵照执行。</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83" w:name="_Toc532377316"/>
      <w:bookmarkStart w:id="684" w:name="_Toc351203628"/>
      <w:r>
        <w:rPr>
          <w:rFonts w:hint="eastAsia" w:ascii="宋体" w:hAnsi="宋体" w:eastAsia="宋体" w:cs="宋体"/>
          <w:b/>
          <w:color w:val="auto"/>
          <w:kern w:val="2"/>
          <w:sz w:val="28"/>
          <w:szCs w:val="28"/>
          <w:highlight w:val="none"/>
          <w:lang w:val="en-US" w:eastAsia="zh-CN" w:bidi="ar-SA"/>
        </w:rPr>
        <w:t>20</w:t>
      </w:r>
      <w:bookmarkStart w:id="685" w:name="_Toc296503148"/>
      <w:bookmarkStart w:id="686" w:name="_Toc296346649"/>
      <w:bookmarkStart w:id="687" w:name="_Toc337558842"/>
      <w:r>
        <w:rPr>
          <w:rFonts w:hint="eastAsia" w:ascii="宋体" w:hAnsi="宋体" w:eastAsia="宋体" w:cs="宋体"/>
          <w:b/>
          <w:color w:val="auto"/>
          <w:kern w:val="2"/>
          <w:sz w:val="28"/>
          <w:szCs w:val="28"/>
          <w:highlight w:val="none"/>
          <w:lang w:val="en-US" w:eastAsia="zh-CN" w:bidi="ar-SA"/>
        </w:rPr>
        <w:t>.2调解</w:t>
      </w:r>
      <w:bookmarkEnd w:id="683"/>
      <w:bookmarkEnd w:id="684"/>
    </w:p>
    <w:bookmarkEnd w:id="685"/>
    <w:bookmarkEnd w:id="686"/>
    <w:bookmarkEnd w:id="687"/>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合同当事人可以就争议请求建设行政主管部门、行业协会或其他第三方进行调解，调解达成协议的，经双方签名并盖章后作为合同补充文件，双方均应遵照执行。</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88" w:name="_Toc532377317"/>
      <w:bookmarkStart w:id="689" w:name="_Toc351203629"/>
      <w:bookmarkStart w:id="690" w:name="_Toc337558843"/>
      <w:bookmarkStart w:id="691" w:name="_Toc296346650"/>
      <w:bookmarkStart w:id="692" w:name="_Toc296503149"/>
      <w:r>
        <w:rPr>
          <w:rFonts w:hint="eastAsia" w:ascii="宋体" w:hAnsi="宋体" w:eastAsia="宋体" w:cs="宋体"/>
          <w:b/>
          <w:color w:val="auto"/>
          <w:kern w:val="2"/>
          <w:sz w:val="28"/>
          <w:szCs w:val="28"/>
          <w:highlight w:val="none"/>
          <w:lang w:val="en-US" w:eastAsia="zh-CN" w:bidi="ar-SA"/>
        </w:rPr>
        <w:t>20.3争议评审</w:t>
      </w:r>
      <w:bookmarkEnd w:id="688"/>
      <w:bookmarkEnd w:id="689"/>
    </w:p>
    <w:bookmarkEnd w:id="690"/>
    <w:bookmarkEnd w:id="691"/>
    <w:bookmarkEnd w:id="692"/>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合同当事人在专用合同条款中约定采取争议评审方式解决争议以及评审规则，并按下列约定执行： </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20.3.1 争议评审小组的确定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合同当事人可以共同选择一名或三名争议评审员，组成争议评审小组。除专用合同条款另有约定外，合同当事人应当自合同签订后28天内，或者争议发生后14天内，选定争议评审员。</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除专用合同条款另有约定外，评审员报酬由发包人和承包人各承担一半。</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20.3.2 争议评审小组的决定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作出书面决定，并说明理由。合同当事人可以在专用合同条款中对本项事项另行约定。</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20.3.3 争议评审小组决定的效力</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争议评审小组作出的书面决定经合同当事人签名确认后，对双方具有约束力，双方应遵照执行。</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任何一方当事人不接受争议评审小组决定或不履行争议评审小组决定的，双方可选择采用其他争议解决方式。</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93" w:name="_Toc351203630"/>
      <w:bookmarkStart w:id="694" w:name="_Toc532377318"/>
      <w:bookmarkStart w:id="695" w:name="_Toc296503150"/>
      <w:bookmarkStart w:id="696" w:name="_Toc337558844"/>
      <w:bookmarkStart w:id="697" w:name="_Toc296346651"/>
      <w:r>
        <w:rPr>
          <w:rFonts w:hint="eastAsia" w:ascii="宋体" w:hAnsi="宋体" w:eastAsia="宋体" w:cs="宋体"/>
          <w:b/>
          <w:color w:val="auto"/>
          <w:kern w:val="2"/>
          <w:sz w:val="28"/>
          <w:szCs w:val="28"/>
          <w:highlight w:val="none"/>
          <w:lang w:val="en-US" w:eastAsia="zh-CN" w:bidi="ar-SA"/>
        </w:rPr>
        <w:t>20.4仲裁或诉讼</w:t>
      </w:r>
      <w:bookmarkEnd w:id="693"/>
      <w:bookmarkEnd w:id="694"/>
    </w:p>
    <w:bookmarkEnd w:id="695"/>
    <w:bookmarkEnd w:id="696"/>
    <w:bookmarkEnd w:id="697"/>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因合同及合同有关事项产生的争议，合同当事人可以在专用合同条款中约定以下一种方式解决争议：</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（1）向约定的仲裁委员会申请仲裁；</w:t>
      </w:r>
    </w:p>
    <w:p>
      <w:pPr>
        <w:autoSpaceDE w:val="0"/>
        <w:autoSpaceDN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（2）向有管辖权的人民法院起诉。</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698" w:name="_Toc351203631"/>
      <w:bookmarkStart w:id="699" w:name="_Toc532377319"/>
      <w:bookmarkStart w:id="700" w:name="_Toc296503152"/>
      <w:bookmarkStart w:id="701" w:name="_Toc296346653"/>
      <w:bookmarkStart w:id="702" w:name="_Toc337558845"/>
      <w:r>
        <w:rPr>
          <w:rFonts w:hint="eastAsia" w:ascii="宋体" w:hAnsi="宋体" w:eastAsia="宋体" w:cs="宋体"/>
          <w:b/>
          <w:color w:val="auto"/>
          <w:kern w:val="2"/>
          <w:sz w:val="28"/>
          <w:szCs w:val="28"/>
          <w:highlight w:val="none"/>
          <w:lang w:val="en-US" w:eastAsia="zh-CN" w:bidi="ar-SA"/>
        </w:rPr>
        <w:t>20.5争议解决条款效力</w:t>
      </w:r>
      <w:bookmarkEnd w:id="698"/>
      <w:bookmarkEnd w:id="699"/>
    </w:p>
    <w:bookmarkEnd w:id="700"/>
    <w:bookmarkEnd w:id="701"/>
    <w:bookmarkEnd w:id="702"/>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合同有关争议解决的条款独立存在，合同的变更、解除、终止、无效或者被撤销均不影响其效力。</w:t>
      </w:r>
    </w:p>
    <w:p>
      <w:pPr>
        <w:keepNext/>
        <w:keepLines/>
        <w:snapToGrid w:val="0"/>
        <w:spacing w:before="260" w:after="260" w:line="360" w:lineRule="auto"/>
        <w:outlineLvl w:val="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br w:type="page"/>
      </w:r>
    </w:p>
    <w:p>
      <w:pPr>
        <w:pStyle w:val="5"/>
        <w:jc w:val="center"/>
        <w:rPr>
          <w:rFonts w:hint="eastAsia" w:ascii="宋体" w:hAnsi="宋体" w:eastAsia="宋体" w:cs="宋体"/>
          <w:color w:val="auto"/>
          <w:sz w:val="44"/>
          <w:szCs w:val="44"/>
          <w:highlight w:val="none"/>
        </w:rPr>
      </w:pPr>
      <w:bookmarkStart w:id="703" w:name="_Toc532375607"/>
      <w:bookmarkStart w:id="704" w:name="_Toc529388290"/>
      <w:bookmarkStart w:id="705" w:name="_Toc5630"/>
      <w:bookmarkStart w:id="706" w:name="_Toc532377320"/>
      <w:r>
        <w:rPr>
          <w:rFonts w:hint="eastAsia" w:ascii="宋体" w:hAnsi="宋体" w:eastAsia="宋体" w:cs="宋体"/>
          <w:color w:val="auto"/>
          <w:sz w:val="44"/>
          <w:szCs w:val="44"/>
          <w:highlight w:val="none"/>
        </w:rPr>
        <w:t>第三部分 专用合同条款</w:t>
      </w:r>
      <w:bookmarkEnd w:id="703"/>
      <w:bookmarkEnd w:id="704"/>
      <w:bookmarkEnd w:id="705"/>
      <w:bookmarkEnd w:id="706"/>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lang w:val="en-US" w:eastAsia="zh-CN"/>
        </w:rPr>
      </w:pPr>
      <w:bookmarkStart w:id="707" w:name="_Toc351203633"/>
      <w:bookmarkStart w:id="708" w:name="_Toc532375608"/>
      <w:bookmarkStart w:id="709" w:name="_Toc532377321"/>
      <w:bookmarkStart w:id="710" w:name="_Hlk528927191"/>
      <w:r>
        <w:rPr>
          <w:rFonts w:hint="eastAsia" w:ascii="宋体" w:hAnsi="宋体" w:eastAsia="宋体" w:cs="宋体"/>
          <w:color w:val="auto"/>
          <w:kern w:val="2"/>
          <w:sz w:val="28"/>
          <w:szCs w:val="28"/>
          <w:highlight w:val="none"/>
          <w:lang w:val="en-US" w:eastAsia="zh-CN"/>
        </w:rPr>
        <w:t>1</w:t>
      </w:r>
      <w:bookmarkStart w:id="711" w:name="_Toc296891196"/>
      <w:bookmarkStart w:id="712" w:name="_Toc297048342"/>
      <w:bookmarkStart w:id="713" w:name="_Toc296944495"/>
      <w:bookmarkStart w:id="714" w:name="_Toc292559866"/>
      <w:bookmarkStart w:id="715" w:name="_Toc296503156"/>
      <w:bookmarkStart w:id="716" w:name="_Toc296347155"/>
      <w:bookmarkStart w:id="717" w:name="_Toc296346657"/>
      <w:bookmarkStart w:id="718" w:name="_Toc292559361"/>
      <w:bookmarkStart w:id="719" w:name="_Toc296890984"/>
      <w:bookmarkStart w:id="720" w:name="_Toc297120456"/>
      <w:r>
        <w:rPr>
          <w:rFonts w:hint="eastAsia" w:ascii="宋体" w:hAnsi="宋体" w:eastAsia="宋体" w:cs="宋体"/>
          <w:color w:val="auto"/>
          <w:kern w:val="2"/>
          <w:sz w:val="28"/>
          <w:szCs w:val="28"/>
          <w:highlight w:val="none"/>
          <w:lang w:val="en-US" w:eastAsia="zh-CN"/>
        </w:rPr>
        <w:t>. 一般约定</w:t>
      </w:r>
      <w:bookmarkEnd w:id="707"/>
      <w:bookmarkEnd w:id="708"/>
      <w:bookmarkEnd w:id="709"/>
    </w:p>
    <w:bookmarkEnd w:id="711"/>
    <w:bookmarkEnd w:id="712"/>
    <w:bookmarkEnd w:id="713"/>
    <w:bookmarkEnd w:id="714"/>
    <w:bookmarkEnd w:id="715"/>
    <w:bookmarkEnd w:id="716"/>
    <w:bookmarkEnd w:id="717"/>
    <w:bookmarkEnd w:id="718"/>
    <w:bookmarkEnd w:id="719"/>
    <w:bookmarkEnd w:id="720"/>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1" w:name="_Toc532377322"/>
      <w:r>
        <w:rPr>
          <w:rFonts w:hint="eastAsia" w:ascii="宋体" w:hAnsi="宋体" w:eastAsia="宋体" w:cs="宋体"/>
          <w:b/>
          <w:color w:val="auto"/>
          <w:kern w:val="2"/>
          <w:sz w:val="28"/>
          <w:szCs w:val="28"/>
          <w:highlight w:val="none"/>
          <w:lang w:val="en-US" w:eastAsia="zh-CN" w:bidi="ar-SA"/>
        </w:rPr>
        <w:t>1.1词语定义与解释</w:t>
      </w:r>
      <w:bookmarkEnd w:id="721"/>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 合同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1.1.1.6技术标准和要求：</w:t>
      </w:r>
      <w:r>
        <w:rPr>
          <w:rFonts w:hint="eastAsia" w:ascii="宋体" w:hAnsi="宋体" w:eastAsia="宋体" w:cs="宋体"/>
          <w:color w:val="auto"/>
          <w:kern w:val="0"/>
          <w:szCs w:val="21"/>
          <w:highlight w:val="none"/>
          <w:u w:val="single"/>
        </w:rPr>
        <w:t>本目中的技术标准和要求是指技术规范，即合同所约定的技术标准和要求，是合同文件的组成部分。与通用合同条款中“技术标准和要求”一词具有相同含义，包括合同双方当事人约定对其所作的修改或补充</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1.1.1.8 已标价工程量清单：</w:t>
      </w:r>
      <w:r>
        <w:rPr>
          <w:rFonts w:hint="eastAsia" w:ascii="宋体" w:hAnsi="宋体" w:eastAsia="宋体" w:cs="宋体"/>
          <w:color w:val="auto"/>
          <w:kern w:val="0"/>
          <w:szCs w:val="21"/>
          <w:highlight w:val="none"/>
          <w:u w:val="single"/>
        </w:rPr>
        <w:t>指构成合同的由承包人按照发包人规定的格式和要求填写并标明价格、经算术性错误修订及其他错误修订（如有）且承包人已确认的工程量清单</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1.1.1.10 其他合同文件包括：</w:t>
      </w:r>
      <w:r>
        <w:rPr>
          <w:rFonts w:hint="eastAsia" w:ascii="宋体" w:hAnsi="宋体" w:eastAsia="宋体" w:cs="宋体"/>
          <w:color w:val="auto"/>
          <w:szCs w:val="21"/>
          <w:highlight w:val="none"/>
          <w:u w:val="single"/>
        </w:rPr>
        <w:t>按照合同协议书</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第六条</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约定执行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本项补充1.1.1.11～1.1.1.16目：</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1.1.1.11 </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u w:val="single"/>
        </w:rPr>
        <w:t>指本工程的</w:t>
      </w:r>
      <w:r>
        <w:rPr>
          <w:rFonts w:hint="eastAsia" w:ascii="宋体" w:hAnsi="宋体" w:cs="宋体"/>
          <w:color w:val="auto"/>
          <w:kern w:val="0"/>
          <w:szCs w:val="21"/>
          <w:highlight w:val="none"/>
          <w:u w:val="single"/>
          <w:lang w:eastAsia="zh-CN"/>
        </w:rPr>
        <w:t>磋商文件</w:t>
      </w:r>
      <w:r>
        <w:rPr>
          <w:rFonts w:hint="eastAsia" w:ascii="宋体" w:hAnsi="宋体" w:eastAsia="宋体" w:cs="宋体"/>
          <w:color w:val="auto"/>
          <w:kern w:val="0"/>
          <w:szCs w:val="21"/>
          <w:highlight w:val="none"/>
          <w:u w:val="single"/>
        </w:rPr>
        <w:t>、图纸、其他技术资料及</w:t>
      </w:r>
      <w:r>
        <w:rPr>
          <w:rFonts w:hint="eastAsia" w:ascii="宋体" w:hAnsi="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发出的对</w:t>
      </w:r>
      <w:r>
        <w:rPr>
          <w:rFonts w:hint="eastAsia" w:ascii="宋体" w:hAnsi="宋体" w:cs="宋体"/>
          <w:color w:val="auto"/>
          <w:kern w:val="0"/>
          <w:szCs w:val="21"/>
          <w:highlight w:val="none"/>
          <w:u w:val="single"/>
          <w:lang w:eastAsia="zh-CN"/>
        </w:rPr>
        <w:t>磋商文件</w:t>
      </w:r>
      <w:r>
        <w:rPr>
          <w:rFonts w:hint="eastAsia" w:ascii="宋体" w:hAnsi="宋体" w:eastAsia="宋体" w:cs="宋体"/>
          <w:color w:val="auto"/>
          <w:kern w:val="0"/>
          <w:szCs w:val="21"/>
          <w:highlight w:val="none"/>
          <w:u w:val="single"/>
        </w:rPr>
        <w:t>所作的澄清、修改等资料</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1.1.1.12 工作：</w:t>
      </w:r>
      <w:r>
        <w:rPr>
          <w:rFonts w:hint="eastAsia" w:ascii="宋体" w:hAnsi="宋体" w:eastAsia="宋体" w:cs="宋体"/>
          <w:color w:val="auto"/>
          <w:kern w:val="0"/>
          <w:szCs w:val="21"/>
          <w:highlight w:val="none"/>
          <w:u w:val="single"/>
        </w:rPr>
        <w:t>指根据合同条款规定，或根据合同合理推及的，为本工程（包括永久工程和临时工程）施工与维护所需要的管理、劳务、材料、施工设备和其他物品的提供</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1.1.1.13 重大设计变更：按照规定需要重新报建设行政主管部门批准的设计变更。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1.1.1.14 公章：专指法定单位名称章。</w:t>
      </w:r>
    </w:p>
    <w:bookmarkEnd w:id="710"/>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1.1.1.15 到岗：指承包人按照到岗履职承诺安排满足办理施工许可手续相关要求的项目主要管理人员实际到施工现场就职履约的行为。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1.1.1.16 项目法人：指具有民事权利能力和民事行为能力，依法独立享有民事权利和承担民事义务，以建设项目为目的，从事项目管理的机构、单位或组织。</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 合同当事人及其他相关方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1.1.2.4 监理人：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1.1.2.5 设计人：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资质类别和等级：</w:t>
      </w:r>
      <w:r>
        <w:rPr>
          <w:rFonts w:hint="eastAsia" w:ascii="宋体" w:hAnsi="宋体" w:eastAsia="宋体" w:cs="宋体"/>
          <w:color w:val="auto"/>
          <w:szCs w:val="21"/>
          <w:highlight w:val="none"/>
          <w:u w:val="single"/>
        </w:rPr>
        <w:t></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 工程和设备</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1.1.3.7 作为施工现场组成部分的其他场所包括：</w:t>
      </w:r>
      <w:r>
        <w:rPr>
          <w:rFonts w:hint="eastAsia" w:ascii="宋体" w:hAnsi="宋体" w:eastAsia="宋体" w:cs="宋体"/>
          <w:color w:val="auto"/>
          <w:kern w:val="0"/>
          <w:szCs w:val="21"/>
          <w:highlight w:val="none"/>
          <w:u w:val="single"/>
        </w:rPr>
        <w:t>永久占地、临时占地以及为修建临时工程而租用、占用的土地</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1.1.3.9 永久占地包括：</w:t>
      </w:r>
      <w:r>
        <w:rPr>
          <w:rFonts w:hint="eastAsia" w:ascii="宋体" w:hAnsi="宋体" w:eastAsia="宋体" w:cs="宋体"/>
          <w:color w:val="auto"/>
          <w:kern w:val="0"/>
          <w:szCs w:val="21"/>
          <w:highlight w:val="none"/>
          <w:u w:val="single"/>
        </w:rPr>
        <w:t>为实施合同工程而需要的一切永久占用的土地，即合同工程</w:t>
      </w:r>
      <w:r>
        <w:rPr>
          <w:rFonts w:hint="eastAsia" w:ascii="宋体" w:hAnsi="宋体" w:eastAsia="宋体" w:cs="宋体"/>
          <w:color w:val="auto"/>
          <w:szCs w:val="21"/>
          <w:highlight w:val="none"/>
          <w:u w:val="single"/>
        </w:rPr>
        <w:t>用地红线范围内的土地</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1.1.3.10 临时占地包括：</w:t>
      </w:r>
      <w:r>
        <w:rPr>
          <w:rFonts w:hint="eastAsia" w:ascii="宋体" w:hAnsi="宋体" w:eastAsia="宋体" w:cs="宋体"/>
          <w:color w:val="auto"/>
          <w:szCs w:val="21"/>
          <w:highlight w:val="none"/>
          <w:u w:val="single"/>
        </w:rPr>
        <w:t>为实施合同工程而需要</w:t>
      </w:r>
      <w:r>
        <w:rPr>
          <w:rFonts w:hint="eastAsia" w:ascii="宋体" w:hAnsi="宋体" w:eastAsia="宋体" w:cs="宋体"/>
          <w:color w:val="auto"/>
          <w:kern w:val="0"/>
          <w:szCs w:val="21"/>
          <w:highlight w:val="none"/>
          <w:u w:val="single"/>
        </w:rPr>
        <w:t>的一切</w:t>
      </w:r>
      <w:r>
        <w:rPr>
          <w:rFonts w:hint="eastAsia" w:ascii="宋体" w:hAnsi="宋体" w:eastAsia="宋体" w:cs="宋体"/>
          <w:color w:val="auto"/>
          <w:szCs w:val="21"/>
          <w:highlight w:val="none"/>
          <w:u w:val="single"/>
        </w:rPr>
        <w:t>临时占用的土地，包括施工所用的临时便道等的临时出入道，以及生产（办公）、生活等临时设施用地</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 其他</w:t>
      </w:r>
    </w:p>
    <w:p>
      <w:pPr>
        <w:spacing w:line="360" w:lineRule="auto"/>
        <w:ind w:firstLine="560" w:firstLineChars="200"/>
        <w:jc w:val="left"/>
        <w:rPr>
          <w:rFonts w:hint="eastAsia" w:ascii="宋体" w:hAnsi="宋体" w:eastAsia="宋体" w:cs="宋体"/>
          <w:color w:val="auto"/>
          <w:szCs w:val="21"/>
          <w:highlight w:val="none"/>
        </w:rPr>
      </w:pPr>
      <w:bookmarkStart w:id="722" w:name="_Hlk528927262"/>
      <w:r>
        <w:rPr>
          <w:rFonts w:hint="eastAsia" w:ascii="宋体" w:hAnsi="宋体" w:eastAsia="宋体" w:cs="宋体"/>
          <w:color w:val="auto"/>
          <w:szCs w:val="21"/>
          <w:highlight w:val="none"/>
        </w:rPr>
        <w:t>本项补充1.1.6.2～1.1.6.3目：</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1.1.6.2 转包、违法分包及挂靠：指符合《住房和城乡建设部关于印发建筑工程施工发包与承包违法行为认定查处管理办法的通知》（建市规〔2019〕1号）规定认定条件的</w:t>
      </w:r>
      <w:r>
        <w:rPr>
          <w:rFonts w:hint="eastAsia" w:ascii="宋体" w:hAnsi="宋体" w:eastAsia="宋体" w:cs="宋体"/>
          <w:color w:val="auto"/>
          <w:kern w:val="0"/>
          <w:szCs w:val="21"/>
          <w:highlight w:val="none"/>
        </w:rPr>
        <w:t>违法行为</w:t>
      </w:r>
      <w:r>
        <w:rPr>
          <w:rFonts w:hint="eastAsia" w:ascii="宋体" w:hAnsi="宋体" w:eastAsia="宋体" w:cs="宋体"/>
          <w:color w:val="auto"/>
          <w:szCs w:val="21"/>
          <w:highlight w:val="none"/>
        </w:rPr>
        <w:t>。</w:t>
      </w:r>
    </w:p>
    <w:bookmarkEnd w:id="722"/>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1.1.6.3 危险性较大的分部分项工程（以下简称“危大工程”）：指住房和城乡建设部令第37号《危险性较大的分部分项工程安全管理规定》规定的房屋建筑和市政基础设施工程在施工过程中，容易导致人员群死群伤或者造成重大经济损失的分部分项工程。危大工程及超过一定规模的危大工程范围以国务院住房城乡建设主管部门制定及重庆市住房和城乡建设委员会补充的范围为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3" w:name="_Toc532377323"/>
      <w:r>
        <w:rPr>
          <w:rFonts w:hint="eastAsia" w:ascii="宋体" w:hAnsi="宋体" w:eastAsia="宋体" w:cs="宋体"/>
          <w:b/>
          <w:color w:val="auto"/>
          <w:kern w:val="2"/>
          <w:sz w:val="28"/>
          <w:szCs w:val="28"/>
          <w:highlight w:val="none"/>
          <w:lang w:val="en-US" w:eastAsia="zh-CN" w:bidi="ar-SA"/>
        </w:rPr>
        <w:t>1.4 标准和规范</w:t>
      </w:r>
      <w:bookmarkEnd w:id="723"/>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1.4.1 适用于工程的标准规范包括：</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（1）施工图所涉及的技术标准、规范、规程、图集等；</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（2）国家、行业或重庆市与本工程有关的标准，以及相应的规范、规程等，当这些标准、规范、规程不一致时，以标准、规范、规程要求最高的为准。</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1.4.2 发包人提供国外标准、规范的名称：</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发包人提供国外标准、规范的份数：</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发包人提供国外标准、规范的名称：</w:t>
      </w:r>
      <w:r>
        <w:rPr>
          <w:rFonts w:hint="eastAsia" w:ascii="宋体" w:hAnsi="宋体" w:eastAsia="宋体" w:cs="宋体"/>
          <w:color w:val="auto"/>
          <w:kern w:val="0"/>
          <w:szCs w:val="21"/>
          <w:highlight w:val="none"/>
          <w:u w:val="single"/>
        </w:rPr>
        <w:t xml:space="preserve"> /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1.4.3 发包人对工程的技术标准和功能要求的特殊要求：</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4" w:name="_Toc532377324"/>
      <w:r>
        <w:rPr>
          <w:rFonts w:hint="eastAsia" w:ascii="宋体" w:hAnsi="宋体" w:eastAsia="宋体" w:cs="宋体"/>
          <w:b/>
          <w:color w:val="auto"/>
          <w:kern w:val="2"/>
          <w:sz w:val="28"/>
          <w:szCs w:val="28"/>
          <w:highlight w:val="none"/>
          <w:lang w:val="en-US" w:eastAsia="zh-CN" w:bidi="ar-SA"/>
        </w:rPr>
        <w:t>1.5 合同文件的优先顺序</w:t>
      </w:r>
      <w:bookmarkEnd w:id="724"/>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合同文件组成及优先顺序为：</w:t>
      </w:r>
      <w:r>
        <w:rPr>
          <w:rFonts w:hint="eastAsia" w:ascii="宋体" w:hAnsi="宋体" w:eastAsia="宋体" w:cs="宋体"/>
          <w:color w:val="auto"/>
          <w:szCs w:val="21"/>
          <w:highlight w:val="none"/>
          <w:u w:val="single"/>
        </w:rPr>
        <w:t>按照合同协议书</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第六条</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约定执行</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5" w:name="_Toc532377325"/>
      <w:r>
        <w:rPr>
          <w:rFonts w:hint="eastAsia" w:ascii="宋体" w:hAnsi="宋体" w:eastAsia="宋体" w:cs="宋体"/>
          <w:b/>
          <w:color w:val="auto"/>
          <w:kern w:val="2"/>
          <w:sz w:val="28"/>
          <w:szCs w:val="28"/>
          <w:highlight w:val="none"/>
          <w:lang w:val="en-US" w:eastAsia="zh-CN" w:bidi="ar-SA"/>
        </w:rPr>
        <w:t>1.6 图纸和承包人文件</w:t>
      </w:r>
      <w:bookmarkEnd w:id="72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 图纸的提供和交底</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发包人向承包人提供图纸的期限：</w:t>
      </w:r>
      <w:r>
        <w:rPr>
          <w:rFonts w:hint="eastAsia" w:ascii="宋体" w:hAnsi="宋体" w:eastAsia="宋体" w:cs="宋体"/>
          <w:color w:val="auto"/>
          <w:szCs w:val="21"/>
          <w:highlight w:val="none"/>
          <w:u w:val="single"/>
        </w:rPr>
        <w:t>通用合同条款第7.3.2款</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开工通知</w:t>
      </w:r>
      <w:r>
        <w:rPr>
          <w:rFonts w:hint="eastAsia" w:ascii="宋体" w:hAnsi="宋体" w:eastAsia="宋体" w:cs="宋体"/>
          <w:bCs/>
          <w:color w:val="auto"/>
          <w:szCs w:val="21"/>
          <w:highlight w:val="none"/>
          <w:u w:val="single"/>
        </w:rPr>
        <w:t>〕</w:t>
      </w:r>
      <w:r>
        <w:rPr>
          <w:rFonts w:hint="eastAsia" w:ascii="宋体" w:hAnsi="宋体" w:eastAsia="宋体" w:cs="宋体"/>
          <w:color w:val="auto"/>
          <w:szCs w:val="21"/>
          <w:highlight w:val="none"/>
          <w:u w:val="single"/>
        </w:rPr>
        <w:t>载明的开工日期前14天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发包人向承包人提供图纸的数量：</w:t>
      </w:r>
      <w:r>
        <w:rPr>
          <w:rFonts w:hint="eastAsia" w:ascii="宋体" w:hAnsi="宋体" w:eastAsia="宋体" w:cs="宋体"/>
          <w:color w:val="auto"/>
          <w:szCs w:val="21"/>
          <w:highlight w:val="none"/>
          <w:u w:val="single"/>
        </w:rPr>
        <w:t xml:space="preserve">  套</w:t>
      </w:r>
      <w:r>
        <w:rPr>
          <w:rFonts w:hint="eastAsia" w:ascii="宋体" w:hAnsi="宋体" w:eastAsia="宋体" w:cs="宋体"/>
          <w:color w:val="auto"/>
          <w:szCs w:val="21"/>
          <w:highlight w:val="none"/>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发包人向承包人提供图纸的内容：</w:t>
      </w:r>
      <w:r>
        <w:rPr>
          <w:rFonts w:hint="eastAsia" w:ascii="宋体" w:hAnsi="宋体" w:eastAsia="宋体" w:cs="宋体"/>
          <w:color w:val="auto"/>
          <w:szCs w:val="21"/>
          <w:highlight w:val="none"/>
          <w:u w:val="single"/>
        </w:rPr>
        <w:t>工程承包范围内工程的施工图设计文件</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发包人组织承包人、监理人和设计人进行图纸会审和设计交底的时间：</w:t>
      </w:r>
      <w:r>
        <w:rPr>
          <w:rFonts w:hint="eastAsia" w:ascii="宋体" w:hAnsi="宋体" w:eastAsia="宋体" w:cs="宋体"/>
          <w:color w:val="auto"/>
          <w:szCs w:val="21"/>
          <w:highlight w:val="none"/>
          <w:u w:val="single"/>
        </w:rPr>
        <w:t>提供施工图后7天内</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承包人可以书面方式通过监理人向发包人申请进行紧急的设计交底，发包人认为确有必要且条件许可时，应尽快组织实施承包人申请的设计交底。</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图纸的错误</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收到发包人提供的图纸后，承包人应对收到的图纸进行仔细核查，并在开始施工前，将发现的图纸存在的差错、遗漏或缺陷及时通知监理人。监理人接到该通知后，应附相关意见并立即报送发包人，发包人应在收到监理人报送的通知后作出决定。</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承包人不得利用图纸的差错、遗漏或缺陷，从中获得不正当的利益。</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1.6.4 承包人文件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需要由承包人提供的书面文件，包括：</w:t>
      </w:r>
      <w:r>
        <w:rPr>
          <w:rFonts w:hint="eastAsia" w:ascii="宋体" w:hAnsi="宋体" w:eastAsia="宋体" w:cs="宋体"/>
          <w:color w:val="auto"/>
          <w:szCs w:val="21"/>
          <w:highlight w:val="none"/>
          <w:u w:val="single"/>
        </w:rPr>
        <w:t>施工组织设计、专项施工方案、危险性较大分部分项工程施工方案（如有）、安全应急方案、进度计划、报表及计划、竣工资料及施工过程中因工程变更需要报送的施工方案、施工过程中涉及工程价款变更的相关资料、完整的竣工结算资料等</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承包人提供文件的期限、数量：</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图纸会审及设计交底后7天内，向监理人、发包人提交经优化完善的施工组织设计和工程总体进度计划及当年年度施工进度计划。进度计划安排必须符合发包人对本工程总体进度计划的安排。专项施工方案应在专项施工7日前通过审查（含专家论证）。施工组织设计和专项施工方案经监理人审批同意后执行。承包人应接受监理人、发包人对其提交的施工组织设计和专项施工方案中不合理的工期安排及技术措施、方案的修改意见，并修改完善后重新报批，直至获得批准</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每月</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日前报送月工程进度完成报表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（3）合同另有约定的，按照其约定。</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承包人提供的文件的形式：□采用电子招标的，</w:t>
      </w:r>
      <w:r>
        <w:rPr>
          <w:rFonts w:hint="eastAsia" w:ascii="宋体" w:hAnsi="宋体" w:cs="宋体"/>
          <w:color w:val="auto"/>
          <w:szCs w:val="21"/>
          <w:highlight w:val="none"/>
          <w:lang w:eastAsia="zh-CN"/>
        </w:rPr>
        <w:t>响应文件</w:t>
      </w:r>
      <w:r>
        <w:rPr>
          <w:rFonts w:hint="eastAsia" w:ascii="宋体" w:hAnsi="宋体" w:eastAsia="宋体" w:cs="宋体"/>
          <w:color w:val="auto"/>
          <w:szCs w:val="21"/>
          <w:highlight w:val="none"/>
        </w:rPr>
        <w:t>以电子文档为准，其他文件以书面文件为准；</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采用纸质招标的，当书面文件与电子文档不一致的，以书面文件为准。监理人审批承包人文件的期限：</w:t>
      </w:r>
      <w:r>
        <w:rPr>
          <w:rFonts w:hint="eastAsia" w:ascii="宋体" w:hAnsi="宋体" w:eastAsia="宋体" w:cs="宋体"/>
          <w:color w:val="auto"/>
          <w:szCs w:val="21"/>
          <w:highlight w:val="none"/>
          <w:u w:val="single"/>
        </w:rPr>
        <w:t>收到施工组织设计和工程总体进度计划及当年年度施工进度计划后7天内；合同另有约定的，从其约定</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承包人提供的文件的费用：</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发包人审批承包人文件的期限：</w:t>
      </w:r>
      <w:r>
        <w:rPr>
          <w:rFonts w:hint="eastAsia" w:ascii="宋体" w:hAnsi="宋体" w:eastAsia="宋体" w:cs="宋体"/>
          <w:color w:val="auto"/>
          <w:szCs w:val="21"/>
          <w:highlight w:val="none"/>
          <w:u w:val="single"/>
        </w:rPr>
        <w:t>收到后14天内；合同另有约定的，从其约定</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监理人、发包人的修改意见和审批，不免除或减轻承包人对该工作、工程、材料、工程设备等应承担的责任和义务</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6" w:name="_Toc532377326"/>
      <w:r>
        <w:rPr>
          <w:rFonts w:hint="eastAsia" w:ascii="宋体" w:hAnsi="宋体" w:eastAsia="宋体" w:cs="宋体"/>
          <w:b/>
          <w:color w:val="auto"/>
          <w:kern w:val="2"/>
          <w:sz w:val="28"/>
          <w:szCs w:val="28"/>
          <w:highlight w:val="none"/>
          <w:lang w:val="en-US" w:eastAsia="zh-CN" w:bidi="ar-SA"/>
        </w:rPr>
        <w:t>1.7 联络</w:t>
      </w:r>
      <w:bookmarkEnd w:id="726"/>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发包人和承包人应当在</w:t>
      </w:r>
      <w:r>
        <w:rPr>
          <w:rFonts w:hint="eastAsia" w:ascii="宋体" w:hAnsi="宋体" w:eastAsia="宋体" w:cs="宋体"/>
          <w:color w:val="auto"/>
          <w:szCs w:val="21"/>
          <w:highlight w:val="none"/>
          <w:u w:val="single"/>
        </w:rPr>
        <w:t xml:space="preserve"> 1 </w:t>
      </w:r>
      <w:r>
        <w:rPr>
          <w:rFonts w:hint="eastAsia" w:ascii="宋体" w:hAnsi="宋体" w:eastAsia="宋体" w:cs="宋体"/>
          <w:color w:val="auto"/>
          <w:kern w:val="0"/>
          <w:szCs w:val="21"/>
          <w:highlight w:val="none"/>
        </w:rPr>
        <w:t>天内将与合同有关的通知、批准、证明、证书、指示、指令、要求、请求、同意、意见、确定和决定等书面函件送达对方当事人，并办理书面签收手续。</w:t>
      </w:r>
    </w:p>
    <w:p>
      <w:pPr>
        <w:tabs>
          <w:tab w:val="left" w:pos="7513"/>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 发包人接收文件地点：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发包人指定的接收人：</w:t>
      </w:r>
      <w:bookmarkStart w:id="727" w:name="_Hlk528493983"/>
      <w:bookmarkEnd w:id="727"/>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tabs>
          <w:tab w:val="left" w:pos="7513"/>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承包人接收文件地点：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承包人指定的接收人：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tabs>
          <w:tab w:val="left" w:pos="7371"/>
        </w:tabs>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监理人接收文件地点：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监理人指定的接收人：</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8" w:name="_Toc532377327"/>
      <w:r>
        <w:rPr>
          <w:rFonts w:hint="eastAsia" w:ascii="宋体" w:hAnsi="宋体" w:eastAsia="宋体" w:cs="宋体"/>
          <w:b/>
          <w:color w:val="auto"/>
          <w:kern w:val="2"/>
          <w:sz w:val="28"/>
          <w:szCs w:val="28"/>
          <w:highlight w:val="none"/>
          <w:lang w:val="en-US" w:eastAsia="zh-CN" w:bidi="ar-SA"/>
        </w:rPr>
        <w:t>1.8 严禁贿赂</w:t>
      </w:r>
      <w:bookmarkEnd w:id="728"/>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本款补充以下内容：</w:t>
      </w:r>
    </w:p>
    <w:p>
      <w:pPr>
        <w:spacing w:line="360" w:lineRule="auto"/>
        <w:ind w:firstLine="56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在合同执行过程中，合同当事人应严格履行附件</w:t>
      </w:r>
      <w:r>
        <w:rPr>
          <w:rFonts w:hint="eastAsia" w:ascii="宋体" w:hAnsi="宋体" w:cs="宋体"/>
          <w:color w:val="auto"/>
          <w:kern w:val="0"/>
          <w:szCs w:val="21"/>
          <w:highlight w:val="none"/>
          <w:lang w:val="en-US" w:eastAsia="zh-CN"/>
        </w:rPr>
        <w:t>6</w:t>
      </w:r>
      <w:r>
        <w:rPr>
          <w:rFonts w:hint="eastAsia" w:ascii="宋体" w:hAnsi="宋体" w:eastAsia="宋体" w:cs="宋体"/>
          <w:color w:val="auto"/>
          <w:kern w:val="0"/>
          <w:szCs w:val="21"/>
          <w:highlight w:val="none"/>
        </w:rPr>
        <w:t>《廉洁从业协议》。</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29" w:name="_Toc532377328"/>
      <w:r>
        <w:rPr>
          <w:rFonts w:hint="eastAsia" w:ascii="宋体" w:hAnsi="宋体" w:eastAsia="宋体" w:cs="宋体"/>
          <w:b/>
          <w:color w:val="auto"/>
          <w:kern w:val="2"/>
          <w:sz w:val="28"/>
          <w:szCs w:val="28"/>
          <w:highlight w:val="none"/>
          <w:lang w:val="en-US" w:eastAsia="zh-CN" w:bidi="ar-SA"/>
        </w:rPr>
        <w:t>1.10 交通运输</w:t>
      </w:r>
      <w:bookmarkEnd w:id="729"/>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730" w:name="_Toc303539100"/>
      <w:bookmarkStart w:id="731" w:name="_Toc300934943"/>
      <w:bookmarkStart w:id="732" w:name="_Toc304295521"/>
      <w:bookmarkStart w:id="733" w:name="_Toc318581155"/>
      <w:bookmarkStart w:id="734" w:name="_Toc312677986"/>
      <w:r>
        <w:rPr>
          <w:rFonts w:hint="eastAsia" w:ascii="宋体" w:hAnsi="宋体" w:eastAsia="宋体" w:cs="宋体"/>
          <w:color w:val="auto"/>
          <w:szCs w:val="21"/>
          <w:highlight w:val="none"/>
        </w:rPr>
        <w:t>.10.1 出入现场的权利</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关于出入现场的权利的约定：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730"/>
    <w:bookmarkEnd w:id="731"/>
    <w:bookmarkEnd w:id="732"/>
    <w:bookmarkEnd w:id="733"/>
    <w:bookmarkEnd w:id="734"/>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1.10.2 场外交通</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承包人应遵守有关交通法规，执行有关道路限速、限行、禁止超载的规定，并配合交通管理部门的监督和检查。场外交通以施工场地移交时的现状为准。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bookmarkStart w:id="735" w:name="_Toc304295522"/>
      <w:bookmarkStart w:id="736" w:name="_Toc300934944"/>
      <w:bookmarkStart w:id="737" w:name="_Toc312677987"/>
      <w:bookmarkStart w:id="738" w:name="_Toc318581156"/>
      <w:bookmarkStart w:id="739" w:name="_Toc303539101"/>
      <w:r>
        <w:rPr>
          <w:rFonts w:hint="eastAsia" w:ascii="宋体" w:hAnsi="宋体" w:eastAsia="宋体" w:cs="宋体"/>
          <w:color w:val="auto"/>
          <w:szCs w:val="21"/>
          <w:highlight w:val="none"/>
        </w:rPr>
        <w:t>.10.3 场内交通</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kern w:val="0"/>
          <w:szCs w:val="21"/>
          <w:highlight w:val="none"/>
        </w:rPr>
        <w:t>关于场外交通和场内交通的边界的约定：</w:t>
      </w:r>
      <w:r>
        <w:rPr>
          <w:rFonts w:hint="eastAsia" w:ascii="宋体" w:hAnsi="宋体" w:eastAsia="宋体" w:cs="宋体"/>
          <w:color w:val="auto"/>
          <w:szCs w:val="21"/>
          <w:highlight w:val="none"/>
          <w:u w:val="single"/>
        </w:rPr>
        <w:t>以合同工程用地红线为界，用地红线外为场外交通，用地红线范围内为场内交通（场外道路穿越场内的除外）</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关于发包人向承包人免费提供满足工程施工需要的场内道路和交通设施的约定：</w:t>
      </w:r>
      <w:r>
        <w:rPr>
          <w:rFonts w:hint="eastAsia" w:ascii="宋体" w:hAnsi="宋体" w:eastAsia="宋体" w:cs="宋体"/>
          <w:color w:val="auto"/>
          <w:kern w:val="0"/>
          <w:szCs w:val="21"/>
          <w:highlight w:val="none"/>
          <w:u w:val="single"/>
        </w:rPr>
        <w:t>以施工场地移交时的现状为准</w:t>
      </w:r>
      <w:r>
        <w:rPr>
          <w:rFonts w:hint="eastAsia" w:ascii="宋体" w:hAnsi="宋体" w:eastAsia="宋体" w:cs="宋体"/>
          <w:color w:val="auto"/>
          <w:szCs w:val="21"/>
          <w:highlight w:val="none"/>
        </w:rPr>
        <w:t>。</w:t>
      </w:r>
    </w:p>
    <w:bookmarkEnd w:id="735"/>
    <w:bookmarkEnd w:id="736"/>
    <w:bookmarkEnd w:id="737"/>
    <w:bookmarkEnd w:id="738"/>
    <w:bookmarkEnd w:id="739"/>
    <w:p>
      <w:pPr>
        <w:spacing w:line="360" w:lineRule="auto"/>
        <w:ind w:firstLine="560" w:firstLineChars="200"/>
        <w:jc w:val="left"/>
        <w:rPr>
          <w:rFonts w:hint="eastAsia" w:ascii="宋体" w:hAnsi="宋体" w:eastAsia="宋体" w:cs="宋体"/>
          <w:color w:val="auto"/>
          <w:szCs w:val="21"/>
          <w:highlight w:val="none"/>
        </w:rPr>
      </w:pPr>
      <w:bookmarkStart w:id="740" w:name="_Toc318581157"/>
      <w:r>
        <w:rPr>
          <w:rFonts w:hint="eastAsia" w:ascii="宋体" w:hAnsi="宋体" w:eastAsia="宋体" w:cs="宋体"/>
          <w:color w:val="auto"/>
          <w:szCs w:val="21"/>
          <w:highlight w:val="none"/>
        </w:rPr>
        <w:t>1.10.4 超大件和超重件的运输</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运输超大件或超重件所需的道路和桥梁临时加固改造费用和其他有关费用由</w:t>
      </w:r>
      <w:r>
        <w:rPr>
          <w:rFonts w:hint="eastAsia" w:ascii="宋体" w:hAnsi="宋体" w:eastAsia="宋体" w:cs="宋体"/>
          <w:color w:val="auto"/>
          <w:kern w:val="0"/>
          <w:szCs w:val="21"/>
          <w:highlight w:val="none"/>
          <w:u w:val="single"/>
        </w:rPr>
        <w:t>承包人</w:t>
      </w:r>
      <w:r>
        <w:rPr>
          <w:rFonts w:hint="eastAsia" w:ascii="宋体" w:hAnsi="宋体" w:eastAsia="宋体" w:cs="宋体"/>
          <w:color w:val="auto"/>
          <w:szCs w:val="21"/>
          <w:highlight w:val="none"/>
        </w:rPr>
        <w:t>承担。</w:t>
      </w:r>
    </w:p>
    <w:bookmarkEnd w:id="740"/>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41" w:name="_Toc532377329"/>
      <w:r>
        <w:rPr>
          <w:rFonts w:hint="eastAsia" w:ascii="宋体" w:hAnsi="宋体" w:eastAsia="宋体" w:cs="宋体"/>
          <w:b/>
          <w:color w:val="auto"/>
          <w:kern w:val="2"/>
          <w:sz w:val="28"/>
          <w:szCs w:val="28"/>
          <w:highlight w:val="none"/>
          <w:lang w:val="en-US" w:eastAsia="zh-CN" w:bidi="ar-SA"/>
        </w:rPr>
        <w:t>1.11 知识产权</w:t>
      </w:r>
      <w:bookmarkEnd w:id="74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Cs w:val="21"/>
          <w:highlight w:val="none"/>
          <w:u w:val="single"/>
        </w:rPr>
        <w:t>属于发包人</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关于发包人提供的上述文件的使用限制的要求：</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1.11.4 承包人在施工过程中所采用的专利、专有技术、技术秘密的使用费的承担方式：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kern w:val="0"/>
          <w:szCs w:val="21"/>
          <w:highlight w:val="none"/>
          <w:u w:val="single"/>
        </w:rPr>
        <w:t>承包人</w:t>
      </w:r>
      <w:r>
        <w:rPr>
          <w:rFonts w:hint="eastAsia" w:ascii="宋体" w:hAnsi="宋体" w:eastAsia="宋体" w:cs="宋体"/>
          <w:color w:val="auto"/>
          <w:kern w:val="0"/>
          <w:szCs w:val="21"/>
          <w:highlight w:val="none"/>
          <w:u w:val="single"/>
          <w:lang w:val="en-US" w:eastAsia="zh-CN"/>
        </w:rPr>
        <w:t>自行</w:t>
      </w:r>
      <w:r>
        <w:rPr>
          <w:rFonts w:hint="eastAsia" w:ascii="宋体" w:hAnsi="宋体" w:eastAsia="宋体" w:cs="宋体"/>
          <w:color w:val="auto"/>
          <w:szCs w:val="21"/>
          <w:highlight w:val="none"/>
          <w:u w:val="single"/>
        </w:rPr>
        <w:t>承担</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42" w:name="_Toc532377330"/>
      <w:r>
        <w:rPr>
          <w:rFonts w:hint="eastAsia" w:ascii="宋体" w:hAnsi="宋体" w:eastAsia="宋体" w:cs="宋体"/>
          <w:b/>
          <w:color w:val="auto"/>
          <w:kern w:val="2"/>
          <w:sz w:val="28"/>
          <w:szCs w:val="28"/>
          <w:highlight w:val="none"/>
          <w:lang w:val="en-US" w:eastAsia="zh-CN" w:bidi="ar-SA"/>
        </w:rPr>
        <w:t>1.13工程量清单错误的修正</w:t>
      </w:r>
      <w:bookmarkEnd w:id="742"/>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出现工程量清单错误时，责任和权利划分：</w:t>
      </w:r>
      <w:r>
        <w:rPr>
          <w:rFonts w:hint="eastAsia" w:ascii="宋体" w:hAnsi="宋体" w:eastAsia="宋体" w:cs="宋体"/>
          <w:color w:val="auto"/>
          <w:szCs w:val="21"/>
          <w:highlight w:val="none"/>
          <w:u w:val="single"/>
        </w:rPr>
        <w:t xml:space="preserve"> 按</w:t>
      </w:r>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 xml:space="preserve">执行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出现工程量清单错误时，是否调整合同价格：</w:t>
      </w:r>
      <w:r>
        <w:rPr>
          <w:rFonts w:hint="eastAsia" w:ascii="宋体" w:hAnsi="宋体" w:eastAsia="宋体" w:cs="宋体"/>
          <w:color w:val="auto"/>
          <w:szCs w:val="21"/>
          <w:highlight w:val="none"/>
          <w:u w:val="single"/>
        </w:rPr>
        <w:t xml:space="preserve">  按</w:t>
      </w:r>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 xml:space="preserve">执行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允许调整合同价格的工程量偏差范围：</w:t>
      </w:r>
      <w:r>
        <w:rPr>
          <w:rFonts w:hint="eastAsia" w:ascii="宋体" w:hAnsi="宋体" w:eastAsia="宋体" w:cs="宋体"/>
          <w:color w:val="auto"/>
          <w:szCs w:val="21"/>
          <w:highlight w:val="none"/>
          <w:u w:val="single"/>
        </w:rPr>
        <w:t xml:space="preserve">  按</w:t>
      </w:r>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 xml:space="preserve">执行      </w:t>
      </w:r>
      <w:r>
        <w:rPr>
          <w:rFonts w:hint="eastAsia" w:ascii="宋体" w:hAnsi="宋体" w:eastAsia="宋体" w:cs="宋体"/>
          <w:color w:val="auto"/>
          <w:szCs w:val="21"/>
          <w:highlight w:val="none"/>
        </w:rPr>
        <w:t>。</w:t>
      </w:r>
    </w:p>
    <w:p>
      <w:pPr>
        <w:pStyle w:val="6"/>
        <w:keepNext/>
        <w:keepLines/>
        <w:spacing w:before="120" w:after="120" w:line="360" w:lineRule="auto"/>
        <w:ind w:firstLine="562" w:firstLineChars="200"/>
        <w:jc w:val="both"/>
        <w:rPr>
          <w:rFonts w:hint="eastAsia" w:ascii="宋体" w:hAnsi="宋体" w:eastAsia="宋体" w:cs="宋体"/>
          <w:color w:val="auto"/>
          <w:kern w:val="2"/>
          <w:sz w:val="28"/>
          <w:szCs w:val="28"/>
          <w:highlight w:val="none"/>
          <w:lang w:val="en-US" w:eastAsia="zh-CN"/>
        </w:rPr>
      </w:pPr>
      <w:bookmarkStart w:id="743" w:name="_Toc532375609"/>
      <w:bookmarkStart w:id="744" w:name="_Toc351203634"/>
      <w:bookmarkStart w:id="745" w:name="_Toc532377331"/>
      <w:r>
        <w:rPr>
          <w:rFonts w:hint="eastAsia" w:ascii="宋体" w:hAnsi="宋体" w:eastAsia="宋体" w:cs="宋体"/>
          <w:color w:val="auto"/>
          <w:kern w:val="2"/>
          <w:sz w:val="28"/>
          <w:szCs w:val="28"/>
          <w:highlight w:val="none"/>
          <w:lang w:val="en-US" w:eastAsia="zh-CN"/>
        </w:rPr>
        <w:t>2</w:t>
      </w:r>
      <w:bookmarkStart w:id="746" w:name="_Toc292559362"/>
      <w:bookmarkStart w:id="747" w:name="_Toc297048343"/>
      <w:bookmarkStart w:id="748" w:name="_Toc296944496"/>
      <w:bookmarkStart w:id="749" w:name="_Toc296890985"/>
      <w:bookmarkStart w:id="750" w:name="_Toc296503157"/>
      <w:bookmarkStart w:id="751" w:name="_Toc297120457"/>
      <w:bookmarkStart w:id="752" w:name="_Toc296347156"/>
      <w:bookmarkStart w:id="753" w:name="_Toc292559867"/>
      <w:bookmarkStart w:id="754" w:name="_Toc296346658"/>
      <w:bookmarkStart w:id="755" w:name="_Toc296891197"/>
      <w:r>
        <w:rPr>
          <w:rFonts w:hint="eastAsia" w:ascii="宋体" w:hAnsi="宋体" w:eastAsia="宋体" w:cs="宋体"/>
          <w:color w:val="auto"/>
          <w:kern w:val="2"/>
          <w:sz w:val="28"/>
          <w:szCs w:val="28"/>
          <w:highlight w:val="none"/>
          <w:lang w:val="en-US" w:eastAsia="zh-CN"/>
        </w:rPr>
        <w:t>. 发包人</w:t>
      </w:r>
      <w:bookmarkEnd w:id="743"/>
      <w:bookmarkEnd w:id="744"/>
      <w:bookmarkEnd w:id="745"/>
    </w:p>
    <w:bookmarkEnd w:id="746"/>
    <w:bookmarkEnd w:id="747"/>
    <w:bookmarkEnd w:id="748"/>
    <w:bookmarkEnd w:id="749"/>
    <w:bookmarkEnd w:id="750"/>
    <w:bookmarkEnd w:id="751"/>
    <w:bookmarkEnd w:id="752"/>
    <w:bookmarkEnd w:id="753"/>
    <w:bookmarkEnd w:id="754"/>
    <w:bookmarkEnd w:id="755"/>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2.2.1 发包人代表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发包人代表：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邮    编：</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发包人对发包人代表的授权范围如下：</w:t>
      </w:r>
      <w:r>
        <w:rPr>
          <w:rFonts w:hint="eastAsia" w:ascii="宋体" w:hAnsi="宋体" w:eastAsia="宋体" w:cs="宋体"/>
          <w:color w:val="auto"/>
          <w:szCs w:val="21"/>
          <w:highlight w:val="none"/>
          <w:u w:val="single"/>
        </w:rPr>
        <w:t>代表发包人对项目建设进行协调、管控、审查，确保安全、质量、环保、进度、成本可控，及时处理项目相关问题，向承包人、监理人等下达各类指令。由发包人授权的，以授权书载明的授权范围为准</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56" w:name="_Toc532377332"/>
      <w:r>
        <w:rPr>
          <w:rFonts w:hint="eastAsia" w:ascii="宋体" w:hAnsi="宋体" w:eastAsia="宋体" w:cs="宋体"/>
          <w:b/>
          <w:color w:val="auto"/>
          <w:kern w:val="2"/>
          <w:sz w:val="28"/>
          <w:szCs w:val="28"/>
          <w:highlight w:val="none"/>
          <w:lang w:val="en-US" w:eastAsia="zh-CN" w:bidi="ar-SA"/>
        </w:rPr>
        <w:t>2.4 施工现场、施工条件和基础资料的提供</w:t>
      </w:r>
      <w:bookmarkEnd w:id="756"/>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 提供施工现场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2.4.1.1 提供场地：</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施工场地的提供采用以下第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1</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（1）一次提供全部施工场地：发包人于</w:t>
      </w:r>
      <w:r>
        <w:rPr>
          <w:rFonts w:hint="eastAsia" w:ascii="宋体" w:hAnsi="宋体" w:eastAsia="宋体" w:cs="宋体"/>
          <w:color w:val="auto"/>
          <w:szCs w:val="21"/>
          <w:highlight w:val="none"/>
          <w:u w:val="single"/>
        </w:rPr>
        <w:t>开工</w:t>
      </w:r>
      <w:r>
        <w:rPr>
          <w:rFonts w:hint="eastAsia" w:ascii="宋体" w:hAnsi="宋体" w:eastAsia="宋体" w:cs="宋体"/>
          <w:color w:val="auto"/>
          <w:szCs w:val="21"/>
          <w:highlight w:val="none"/>
        </w:rPr>
        <w:t>前向承包人提供合同工程用地红线范围内的施工场地。</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（2）分次提供全部施工场地：</w:t>
      </w:r>
      <w:r>
        <w:rPr>
          <w:rFonts w:hint="eastAsia" w:ascii="宋体" w:hAnsi="宋体" w:eastAsia="宋体" w:cs="宋体"/>
          <w:color w:val="auto"/>
          <w:szCs w:val="21"/>
          <w:highlight w:val="none"/>
          <w:u w:val="single"/>
        </w:rPr>
        <w:t>发包人按约定的时间分次向承包人提供合同工程用地红线范围内的施工场地</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承包人编制的施工组织计划已充分考虑了施工场地提供的因素</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施工场地未能按约定提供的，承包人应结合施工场地实际交地情况，优化施工组织计划。施工场地未能按约定提供，影响项目关键线路的，承包人可提交索赔申请，并经监理人、发包人审批后可按约定顺延项目工期，否则工期不予顺延</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 提供施工条件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关于发包人应负责提供施工所需要的条件：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57" w:name="_Toc532377333"/>
      <w:r>
        <w:rPr>
          <w:rFonts w:hint="eastAsia" w:ascii="宋体" w:hAnsi="宋体" w:eastAsia="宋体" w:cs="宋体"/>
          <w:b/>
          <w:color w:val="auto"/>
          <w:kern w:val="2"/>
          <w:sz w:val="28"/>
          <w:szCs w:val="28"/>
          <w:highlight w:val="none"/>
          <w:lang w:val="en-US" w:eastAsia="zh-CN" w:bidi="ar-SA"/>
        </w:rPr>
        <w:t>2.5 资金来源证明及支付担保</w:t>
      </w:r>
      <w:bookmarkEnd w:id="757"/>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发包人提供资金来源证明的期限要求：</w:t>
      </w:r>
      <w:r>
        <w:rPr>
          <w:rFonts w:hint="eastAsia" w:ascii="宋体" w:hAnsi="宋体" w:eastAsia="宋体" w:cs="宋体"/>
          <w:color w:val="auto"/>
          <w:szCs w:val="21"/>
          <w:highlight w:val="none"/>
          <w:u w:val="single"/>
        </w:rPr>
        <w:t>不采用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发包人是否提供支付担保：</w:t>
      </w:r>
      <w:r>
        <w:rPr>
          <w:rFonts w:hint="eastAsia" w:ascii="宋体" w:hAnsi="宋体" w:eastAsia="宋体" w:cs="宋体"/>
          <w:color w:val="auto"/>
          <w:szCs w:val="21"/>
          <w:highlight w:val="none"/>
          <w:u w:val="single"/>
          <w:lang w:val="en-US" w:eastAsia="zh-CN"/>
        </w:rPr>
        <w:t xml:space="preserve"> 不提供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支付担保的形式：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支付担保的金额：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支付担保的时间：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支付担保的期限：</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支付担保的退还时间：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758" w:name="_Toc351203635"/>
      <w:bookmarkStart w:id="759" w:name="_Toc532375610"/>
      <w:bookmarkStart w:id="760" w:name="_Toc532377334"/>
      <w:r>
        <w:rPr>
          <w:rFonts w:hint="eastAsia" w:ascii="宋体" w:hAnsi="宋体" w:eastAsia="宋体" w:cs="宋体"/>
          <w:b/>
          <w:color w:val="auto"/>
          <w:kern w:val="2"/>
          <w:sz w:val="28"/>
          <w:szCs w:val="28"/>
          <w:highlight w:val="none"/>
          <w:lang w:val="en-US" w:eastAsia="zh-CN" w:bidi="ar-SA"/>
        </w:rPr>
        <w:t>3</w:t>
      </w:r>
      <w:bookmarkStart w:id="761" w:name="_Toc296347157"/>
      <w:bookmarkStart w:id="762" w:name="_Toc296503158"/>
      <w:bookmarkStart w:id="763" w:name="_Toc296944497"/>
      <w:bookmarkStart w:id="764" w:name="_Toc297048344"/>
      <w:bookmarkStart w:id="765" w:name="_Toc292559363"/>
      <w:bookmarkStart w:id="766" w:name="_Toc296346659"/>
      <w:bookmarkStart w:id="767" w:name="_Toc296891198"/>
      <w:bookmarkStart w:id="768" w:name="_Toc296890986"/>
      <w:bookmarkStart w:id="769" w:name="_Toc297120458"/>
      <w:bookmarkStart w:id="770" w:name="_Toc292559868"/>
      <w:r>
        <w:rPr>
          <w:rFonts w:hint="eastAsia" w:ascii="宋体" w:hAnsi="宋体" w:eastAsia="宋体" w:cs="宋体"/>
          <w:b/>
          <w:color w:val="auto"/>
          <w:kern w:val="2"/>
          <w:sz w:val="28"/>
          <w:szCs w:val="28"/>
          <w:highlight w:val="none"/>
          <w:lang w:val="en-US" w:eastAsia="zh-CN" w:bidi="ar-SA"/>
        </w:rPr>
        <w:t>. 承包人</w:t>
      </w:r>
      <w:bookmarkEnd w:id="758"/>
      <w:bookmarkEnd w:id="759"/>
      <w:bookmarkEnd w:id="760"/>
    </w:p>
    <w:bookmarkEnd w:id="761"/>
    <w:bookmarkEnd w:id="762"/>
    <w:bookmarkEnd w:id="763"/>
    <w:bookmarkEnd w:id="764"/>
    <w:bookmarkEnd w:id="765"/>
    <w:bookmarkEnd w:id="766"/>
    <w:bookmarkEnd w:id="767"/>
    <w:bookmarkEnd w:id="768"/>
    <w:bookmarkEnd w:id="769"/>
    <w:bookmarkEnd w:id="770"/>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71" w:name="_Toc532377335"/>
      <w:r>
        <w:rPr>
          <w:rFonts w:hint="eastAsia" w:ascii="宋体" w:hAnsi="宋体" w:eastAsia="宋体" w:cs="宋体"/>
          <w:b/>
          <w:color w:val="auto"/>
          <w:kern w:val="2"/>
          <w:sz w:val="28"/>
          <w:szCs w:val="28"/>
          <w:highlight w:val="none"/>
          <w:lang w:val="en-US" w:eastAsia="zh-CN" w:bidi="ar-SA"/>
        </w:rPr>
        <w:t>3.1 承包人的一般义务</w:t>
      </w:r>
      <w:bookmarkEnd w:id="77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本款细化为3.1.1～3.1.10项：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3.1.1办理法律规定和合同约定应由承包人办理的许可和批准，并将办理结果书面报送发包人留存；协助发包人办理施工所需的工程质量监督、安全监督、施工许可证等相关证件及手续。</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按法律规定和合同约定完成工程，包括满足合同所必需的或合同隐含的以及由承包人义务而产生的任何工程，还应包括合同根据相关法律法规、技术规范等对工程的稳定性、完整性或安全、可靠、有效运行所必需的所有工程，并在保修期内承担保修义务。</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3.1.3按法律规定和合同约定采取施工安全和环境保护措施，办理工伤保险，确保工程及人员、材料、设备和设施的安全。施工期间，承包人应避免因施工危及红线范围外的邻近道路、建筑安全；应注意做好对周边建（构）筑物、绿化、设施设备的保护，做好围挡、监测以及安全防护，采取有效的防尘及降低噪声的措施，减小施工噪音及污水等对周边环境的影响包括对居民生活、工作、生产和经营等的影响；对不实施拆迁的建、构筑物应采取保护措施，并保证既有道路的正常通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3.1.4按合同约定的工作内容和施工进度要求，编制施工组织设计和施工措施计划，并对所有施工作业和施工方法的完备性和安全可靠性负责。施工组织设计中的措施保障水平应满足工程按合同进度实施的需要，且不得低于投标时施工组织设计的措施保障水平。</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3.1.6按照第6.3款〔环境保护〕约定负责施工场地及其周边环境与生态的保护工作。</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3.1.7按照第6.1款〔安全文明施工〕约定采取施工安全措施，确保工程及其人员、材料、设备和设施的安全，防止因工程施工造成的人身伤害和财产损失。</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3.1.8将发包人按合同约定支付的各项价款专用于合同工程，且应及时支付其雇用人员工资，并及时向分包人支付合同价款。</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3.1.9承包人提交的竣工资料的内容：</w:t>
      </w:r>
      <w:r>
        <w:rPr>
          <w:rFonts w:hint="eastAsia" w:ascii="宋体" w:hAnsi="宋体" w:eastAsia="宋体" w:cs="宋体"/>
          <w:color w:val="auto"/>
          <w:szCs w:val="21"/>
          <w:highlight w:val="none"/>
          <w:u w:val="single"/>
        </w:rPr>
        <w:t>工程施工技术资料、工程质量保证资料、工程检验评定资料、竣工图及其他应交资料，应符合《建设工程文件归档整理规范》（GB/T50328-2014）和重庆市有关文件规定</w:t>
      </w:r>
      <w:r>
        <w:rPr>
          <w:rFonts w:hint="eastAsia" w:ascii="宋体" w:hAnsi="宋体" w:eastAsia="宋体" w:cs="宋体"/>
          <w:color w:val="auto"/>
          <w:szCs w:val="21"/>
          <w:highlight w:val="none"/>
        </w:rPr>
        <w:t>。</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承包人需要提交的竣工资料套数：完整竣工资料一式</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套（含电子文档）。</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承包人提交的竣工资料的费用承担：</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承包人提交的竣工资料移交时间：</w:t>
      </w:r>
      <w:r>
        <w:rPr>
          <w:rFonts w:hint="eastAsia" w:ascii="宋体" w:hAnsi="宋体" w:eastAsia="宋体" w:cs="宋体"/>
          <w:color w:val="auto"/>
          <w:szCs w:val="21"/>
          <w:highlight w:val="none"/>
          <w:u w:val="single"/>
        </w:rPr>
        <w:t>工程竣工验收合格后  个月内移交给发包人</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承包人提交的竣工资料形式要求：</w:t>
      </w:r>
      <w:r>
        <w:rPr>
          <w:rFonts w:hint="eastAsia" w:ascii="宋体" w:hAnsi="宋体" w:eastAsia="宋体" w:cs="宋体"/>
          <w:color w:val="auto"/>
          <w:szCs w:val="21"/>
          <w:highlight w:val="none"/>
          <w:u w:val="single"/>
        </w:rPr>
        <w:t>完整的书面文件及电子文档</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3.1.10承包人应履行的其他义务：</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3.1.10.1在开始施工之前，承包人应核查、复测本工程的各种基准标志。承包人应及时将上述基准标志中存在的错误、不完整或其他缺陷通知发包人，以便发包人核实后重新确认。</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3.1.10.2承包人应负责合同工程范围内测量控制网的测量设定和管理工作，为控制施工造成测量控制网误差累加，每月承包人复测一次测量控制网，并将修正数据及时通知发包人。经监理人批准，其他相关承包人可免费使用施工控制网。</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3.1.10.3承包人应在开始施工之前对本工程进行排查，补充完善遗漏的危大工程重点部位及环节。危大工程施工前，承包人应对危大工程编制专项施工方案，对于超过一定规模的危大工程，承包人还应组织召开专家论证会对专项施工方案进行论证，通过后方可实施。</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3.1.10.4承包人应服从发包人要求的管理模式、工作方式和工作要求，同时接受监理人、</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的管理和全程监督，配合项目结、决算的办理。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3.1.10.5</w:t>
      </w:r>
      <w:r>
        <w:rPr>
          <w:rFonts w:hint="eastAsia" w:ascii="宋体" w:hAnsi="宋体" w:eastAsia="宋体" w:cs="宋体"/>
          <w:color w:val="auto"/>
          <w:szCs w:val="21"/>
          <w:highlight w:val="none"/>
          <w:u w:val="single"/>
        </w:rPr>
        <w:t>承包人应为本工程开立专用账户，接受发包人的监管</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3.1.10.6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72" w:name="_Toc532377336"/>
      <w:r>
        <w:rPr>
          <w:rFonts w:hint="eastAsia" w:ascii="宋体" w:hAnsi="宋体" w:eastAsia="宋体" w:cs="宋体"/>
          <w:b/>
          <w:color w:val="auto"/>
          <w:kern w:val="2"/>
          <w:sz w:val="28"/>
          <w:szCs w:val="28"/>
          <w:highlight w:val="none"/>
          <w:lang w:val="en-US" w:eastAsia="zh-CN" w:bidi="ar-SA"/>
        </w:rPr>
        <w:t>3.2 项目经理</w:t>
      </w:r>
      <w:bookmarkEnd w:id="772"/>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 xml:space="preserve">3.2.1 </w:t>
      </w:r>
      <w:r>
        <w:rPr>
          <w:rFonts w:hint="eastAsia" w:ascii="宋体" w:hAnsi="宋体" w:eastAsia="宋体" w:cs="宋体"/>
          <w:color w:val="auto"/>
          <w:szCs w:val="21"/>
          <w:highlight w:val="none"/>
        </w:rPr>
        <w:t>项目经理：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建造师执业资格等级：</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建造师注册证书号：</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建造师执业印章号：</w:t>
      </w:r>
      <w:r>
        <w:rPr>
          <w:rFonts w:hint="eastAsia" w:ascii="宋体" w:hAnsi="宋体" w:eastAsia="宋体" w:cs="宋体"/>
          <w:color w:val="auto"/>
          <w:szCs w:val="21"/>
          <w:highlight w:val="none"/>
          <w:u w:val="single"/>
        </w:rPr>
        <w:t>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安全生产考核合格证书号：</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承包人对项目经理的授权范围如下：</w:t>
      </w:r>
      <w:r>
        <w:rPr>
          <w:rFonts w:hint="eastAsia" w:ascii="宋体" w:hAnsi="宋体" w:eastAsia="宋体" w:cs="宋体"/>
          <w:color w:val="auto"/>
          <w:szCs w:val="21"/>
          <w:highlight w:val="none"/>
          <w:u w:val="single"/>
        </w:rPr>
        <w:t>严格按设计图纸、现行国家施工规范及验收规范组织施工，保证工程质量、进度、安全；及时向监理人、发包人报告现场情况（以承包人书面授权范围为准）</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关于项目经理每月在施工现场的时间要求：</w:t>
      </w:r>
      <w:r>
        <w:rPr>
          <w:rFonts w:hint="eastAsia" w:ascii="宋体" w:hAnsi="宋体" w:eastAsia="宋体" w:cs="宋体"/>
          <w:color w:val="auto"/>
          <w:szCs w:val="21"/>
          <w:highlight w:val="none"/>
          <w:u w:val="single"/>
        </w:rPr>
        <w:t>不少于22天，由监理人负责项目经理的考勤</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承包人应在合同签订后7天内提交与项目经理签订的劳动合同及为项目经理缴纳社会保险的证明，承包人未在限期内提交的，项目经理无权履行职责，发包人有权要求更换项目经理</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 技术负责人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身份证号：</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     业：</w:t>
      </w:r>
      <w:r>
        <w:rPr>
          <w:rFonts w:hint="eastAsia" w:ascii="宋体" w:hAnsi="宋体" w:eastAsia="宋体" w:cs="宋体"/>
          <w:color w:val="auto"/>
          <w:szCs w:val="21"/>
          <w:highlight w:val="none"/>
          <w:u w:val="single"/>
        </w:rPr>
        <w:t xml:space="preserve">      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证书名称及号码：</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pStyle w:val="23"/>
        <w:spacing w:after="0"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kern w:val="2"/>
          <w:sz w:val="28"/>
          <w:szCs w:val="21"/>
          <w:highlight w:val="none"/>
          <w:lang w:val="en-US" w:eastAsia="zh-CN" w:bidi="ar-SA"/>
        </w:rPr>
        <w:t>联系方式</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关于技</w:t>
      </w:r>
      <w:r>
        <w:rPr>
          <w:rFonts w:hint="eastAsia" w:ascii="宋体" w:hAnsi="宋体" w:eastAsia="宋体" w:cs="宋体"/>
          <w:color w:val="auto"/>
          <w:szCs w:val="21"/>
          <w:highlight w:val="none"/>
        </w:rPr>
        <w:t>术负责人每月在施工现场的时间要求：</w:t>
      </w:r>
      <w:r>
        <w:rPr>
          <w:rFonts w:hint="eastAsia" w:ascii="宋体" w:hAnsi="宋体" w:eastAsia="宋体" w:cs="宋体"/>
          <w:color w:val="auto"/>
          <w:szCs w:val="21"/>
          <w:highlight w:val="none"/>
          <w:u w:val="single"/>
        </w:rPr>
        <w:t>不少于22天，由监理人负责技术负责人的考勤</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承包人应在合同签订后7天内提交与技术负责人签订的劳动合同及为技术负责人缴纳社会保险的证明，承包人未在限期内提交的，技术负责人无权履行职责，发包人有权要求更换技术负责人</w:t>
      </w:r>
      <w:r>
        <w:rPr>
          <w:rFonts w:hint="eastAsia" w:ascii="宋体" w:hAnsi="宋体" w:eastAsia="宋体" w:cs="宋体"/>
          <w:color w:val="auto"/>
          <w:szCs w:val="21"/>
          <w:highlight w:val="none"/>
        </w:rPr>
        <w:t>。</w:t>
      </w:r>
      <w:bookmarkStart w:id="773" w:name="_Hlk528927599"/>
    </w:p>
    <w:bookmarkEnd w:id="773"/>
    <w:p>
      <w:pPr>
        <w:spacing w:line="360" w:lineRule="auto"/>
        <w:ind w:firstLine="560" w:firstLineChars="200"/>
        <w:jc w:val="left"/>
        <w:rPr>
          <w:rFonts w:hint="eastAsia" w:ascii="宋体" w:hAnsi="宋体" w:eastAsia="宋体" w:cs="宋体"/>
          <w:color w:val="auto"/>
          <w:szCs w:val="21"/>
          <w:highlight w:val="none"/>
        </w:rPr>
      </w:pPr>
      <w:bookmarkStart w:id="774" w:name="_Hlk528927718"/>
      <w:r>
        <w:rPr>
          <w:rFonts w:hint="eastAsia" w:ascii="宋体" w:hAnsi="宋体" w:eastAsia="宋体" w:cs="宋体"/>
          <w:color w:val="auto"/>
          <w:szCs w:val="21"/>
          <w:highlight w:val="none"/>
        </w:rPr>
        <w:t>3.2.3 发包人有权书面通知承包人更换其认为不称职/不履职的项目经理和（或）技术负责人，通知中应当载明要求更换的理由。承包人应在接到更换通知后7天内向发包人提出书面的改进报告。发包人收到改进报告后仍要求更换的，承包人应在接到第二次更换通知的14天内进行更换，并将新任命的项目经理和（或）技术负责人的注册执业资格、职称证书、管理经验等资料书面报送发包人审核批准。继任项目经理和（或）技术负责人继续履行合同约定的职责。</w:t>
      </w:r>
      <w:bookmarkEnd w:id="774"/>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若项目经理和技术负责人出现下列情形需更换的，承包人按通用条款第3.2.3项的规定向发包人发出通知，经发包人领导班子集体决策同意后予以批准，并将变更信息推送给行业主管部门：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1、死亡；</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2、非承包人原因导致工期延长，而致使项目经理和技术负责人达到法定退休年龄且确需退休；</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3、按《职工非因工伤残或因病丧失劳动能力程度鉴定标准（试行）》规定鉴定为完全丧失劳动能力和大部分丧失劳动能力；</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4、非承包人原因导致中标3个月不能开工；</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5、被公安或者司法机关限制人身自由；</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6、被取消职称或者执业资格，不满足项目管理要求；</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7、非承包人原因导致确需变更的其它情形。</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本款补充3.2.6项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3.2.6 国有资金投资项目其他主要人员变更参照《重庆市政府投资项目合同变更管理暂行办法》的规定。</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75" w:name="_Toc532377337"/>
      <w:r>
        <w:rPr>
          <w:rFonts w:hint="eastAsia" w:ascii="宋体" w:hAnsi="宋体" w:eastAsia="宋体" w:cs="宋体"/>
          <w:b/>
          <w:color w:val="auto"/>
          <w:kern w:val="2"/>
          <w:sz w:val="28"/>
          <w:szCs w:val="28"/>
          <w:highlight w:val="none"/>
          <w:lang w:val="en-US" w:eastAsia="zh-CN" w:bidi="ar-SA"/>
        </w:rPr>
        <w:t>3.3 承包人人员</w:t>
      </w:r>
      <w:bookmarkEnd w:id="77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3.3.1 承包人应按建设行政主管部门现行规定配备现场施工从业人员，具体要求如下：</w:t>
      </w:r>
      <w:r>
        <w:rPr>
          <w:rFonts w:hint="eastAsia" w:ascii="宋体" w:hAnsi="宋体" w:eastAsia="宋体" w:cs="宋体"/>
          <w:color w:val="auto"/>
          <w:szCs w:val="21"/>
          <w:highlight w:val="none"/>
          <w:u w:val="single"/>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3.3.2承包人派驻到施工现场的主要施工管理人员在施工过程中如有变动，承包人应及时向监理人提交施工现场人员变动情况的报告。承包人更换主要施工管理人员时，应提前7天书面通知监理人，并征得发包人书面同意。通知中应当载明继任人员的职称、执业资格、项目管理经验等资料。更换后的施工管理人员应当是承包人的正式员工，且在职称、执业资格、项目管理经验等方面不低于原施工管理人员。</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3.3.3 发包人有权书面通知承包人更换其认为不称职的主要施工管理人员，通知中应当载明要求更换的理由。承包人应在接到更换通知后7天内向发包人提出书面的改进报告。发包人收到改进报告后仍要求更换的，承包人应在接到第二次更换通知的7天内进行更换，并将新委派的主要施工管理人员的注册执业资格、职称证书、管理经验等资料书面报送发包人审核批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3.3.4 承包人主要施工管理人员离开施工现场，指定的临时人员需满足：</w:t>
      </w:r>
      <w:r>
        <w:rPr>
          <w:rFonts w:hint="eastAsia" w:ascii="宋体" w:hAnsi="宋体" w:eastAsia="宋体" w:cs="宋体"/>
          <w:color w:val="auto"/>
          <w:szCs w:val="21"/>
          <w:highlight w:val="none"/>
          <w:u w:val="single"/>
        </w:rPr>
        <w:t>《重庆市房屋建筑与市政基础设施工程现场施工从业人员配备标准》（DBJ50-157-2013）的相应要求</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776" w:name="_Toc532377338"/>
      <w:r>
        <w:rPr>
          <w:rFonts w:hint="eastAsia" w:ascii="宋体" w:hAnsi="宋体" w:eastAsia="宋体" w:cs="宋体"/>
          <w:b/>
          <w:color w:val="auto"/>
          <w:kern w:val="2"/>
          <w:sz w:val="28"/>
          <w:szCs w:val="28"/>
          <w:highlight w:val="none"/>
          <w:lang w:val="en-US" w:eastAsia="zh-CN" w:bidi="ar-SA"/>
        </w:rPr>
        <w:t>3</w:t>
      </w:r>
      <w:bookmarkStart w:id="777" w:name="_Toc312677988"/>
      <w:bookmarkStart w:id="778" w:name="_Toc296347158"/>
      <w:bookmarkStart w:id="779" w:name="_Toc292559869"/>
      <w:bookmarkStart w:id="780" w:name="_Toc296346660"/>
      <w:bookmarkStart w:id="781" w:name="_Toc292559364"/>
      <w:bookmarkStart w:id="782" w:name="_Toc297216151"/>
      <w:bookmarkStart w:id="783" w:name="_Toc296944498"/>
      <w:bookmarkStart w:id="784" w:name="_Toc296890987"/>
      <w:bookmarkStart w:id="785" w:name="_Toc297048345"/>
      <w:bookmarkStart w:id="786" w:name="_Toc300934945"/>
      <w:bookmarkStart w:id="787" w:name="_Toc304295523"/>
      <w:bookmarkStart w:id="788" w:name="_Toc297123492"/>
      <w:bookmarkStart w:id="789" w:name="_Toc297120459"/>
      <w:bookmarkStart w:id="790" w:name="_Toc296891199"/>
      <w:bookmarkStart w:id="791" w:name="_Toc296503159"/>
      <w:bookmarkStart w:id="792" w:name="_Toc303539102"/>
      <w:r>
        <w:rPr>
          <w:rFonts w:hint="eastAsia" w:ascii="宋体" w:hAnsi="宋体" w:eastAsia="宋体" w:cs="宋体"/>
          <w:b/>
          <w:color w:val="auto"/>
          <w:kern w:val="2"/>
          <w:sz w:val="28"/>
          <w:szCs w:val="28"/>
          <w:highlight w:val="none"/>
          <w:lang w:val="en-US" w:eastAsia="zh-CN" w:bidi="ar-SA"/>
        </w:rPr>
        <w:t>.5 分包</w:t>
      </w:r>
      <w:bookmarkEnd w:id="776"/>
    </w:p>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793" w:name="_Toc296890988"/>
      <w:bookmarkStart w:id="794" w:name="_Toc297123493"/>
      <w:bookmarkStart w:id="795" w:name="_Toc296346661"/>
      <w:bookmarkStart w:id="796" w:name="_Toc312677989"/>
      <w:bookmarkStart w:id="797" w:name="_Toc296503160"/>
      <w:bookmarkStart w:id="798" w:name="_Toc297120460"/>
      <w:bookmarkStart w:id="799" w:name="_Toc296944499"/>
      <w:bookmarkStart w:id="800" w:name="_Toc292559870"/>
      <w:bookmarkStart w:id="801" w:name="_Toc292559365"/>
      <w:bookmarkStart w:id="802" w:name="_Toc297216152"/>
      <w:bookmarkStart w:id="803" w:name="_Toc296347159"/>
      <w:bookmarkStart w:id="804" w:name="_Toc304295524"/>
      <w:bookmarkStart w:id="805" w:name="_Toc300934946"/>
      <w:bookmarkStart w:id="806" w:name="_Toc303539103"/>
      <w:bookmarkStart w:id="807" w:name="_Toc296891200"/>
      <w:bookmarkStart w:id="808" w:name="_Toc318581158"/>
      <w:bookmarkStart w:id="809" w:name="_Toc297048346"/>
      <w:r>
        <w:rPr>
          <w:rFonts w:hint="eastAsia" w:ascii="宋体" w:hAnsi="宋体" w:eastAsia="宋体" w:cs="宋体"/>
          <w:color w:val="auto"/>
          <w:szCs w:val="21"/>
          <w:highlight w:val="none"/>
        </w:rPr>
        <w:t>.5.1 分包的一般约定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禁止分包的工程包括：主体结构、关键性工作等国家法律、法规禁止分包的工程。</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主体结构、关键性工作的范围：国家法律、法规、规范、标准等所约束的范围。如房建工程主体结构指混凝土工程、砌体工程、钢结构工程（具体有基础、梁、板、柱、砼墙、楼梯工程等）</w:t>
      </w:r>
      <w:bookmarkStart w:id="810" w:name="_Toc296944500"/>
      <w:bookmarkStart w:id="811" w:name="_Toc297216153"/>
      <w:bookmarkStart w:id="812" w:name="_Toc296890989"/>
      <w:bookmarkStart w:id="813" w:name="_Toc303539104"/>
      <w:bookmarkStart w:id="814" w:name="_Toc296346662"/>
      <w:bookmarkStart w:id="815" w:name="_Toc300934947"/>
      <w:bookmarkStart w:id="816" w:name="_Toc297123494"/>
      <w:bookmarkStart w:id="817" w:name="_Toc297048347"/>
      <w:bookmarkStart w:id="818" w:name="_Toc296891201"/>
      <w:bookmarkStart w:id="819" w:name="_Toc304295525"/>
      <w:bookmarkStart w:id="820" w:name="_Toc296503161"/>
      <w:bookmarkStart w:id="821" w:name="_Toc297120461"/>
      <w:bookmarkStart w:id="822" w:name="_Toc296347160"/>
      <w:r>
        <w:rPr>
          <w:rFonts w:hint="eastAsia" w:ascii="宋体" w:hAnsi="宋体" w:eastAsia="宋体" w:cs="宋体"/>
          <w:color w:val="auto"/>
          <w:szCs w:val="21"/>
          <w:highlight w:val="none"/>
        </w:rPr>
        <w:t>；关键性工作指梁、板、柱等部位。</w:t>
      </w:r>
    </w:p>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实行项目经理、技术负责人、安全负责人实名制管理，发包人有权核查承包人管理人员的资格证件、工程价款往来银行账户、施工单位的材料构配件、设备的发票等资料，配合相关行政主管部门加大对转包、违法分包行为的查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bookmarkStart w:id="823" w:name="_Toc318581159"/>
      <w:bookmarkStart w:id="824" w:name="_Toc312677990"/>
      <w:r>
        <w:rPr>
          <w:rFonts w:hint="eastAsia" w:ascii="宋体" w:hAnsi="宋体" w:eastAsia="宋体" w:cs="宋体"/>
          <w:color w:val="auto"/>
          <w:szCs w:val="21"/>
          <w:highlight w:val="none"/>
        </w:rPr>
        <w:t>.5.2分包的确定</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允许分包的专业工程包括：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分包合同价款</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关于分包合同价款支付的约定：</w:t>
      </w:r>
      <w:bookmarkEnd w:id="823"/>
      <w:bookmarkEnd w:id="824"/>
      <w:r>
        <w:rPr>
          <w:rFonts w:hint="eastAsia" w:ascii="宋体" w:hAnsi="宋体" w:eastAsia="宋体" w:cs="宋体"/>
          <w:color w:val="auto"/>
          <w:szCs w:val="21"/>
          <w:highlight w:val="none"/>
          <w:u w:val="single"/>
        </w:rPr>
        <w:t>分包合同价款由承包人与分包人结算，未经承包人同意，发包人不得向分包人支付分包工程价款；生效法律文书要求发包人向分包人支付分包合同价款的，发包人有权从应付承包人工程款中扣除该部分款项</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本款补充3.5.6项：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3.5.6严禁违法分包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经查实，承包人的履约担保不予退还，发包人有权终止合同；同时发包人有权向相关行政监管部门举报，根据《住房和城乡建设部关于印发建筑工程施工发包与承包违法行为认定查处管理办法的通知》（建市规〔2019〕1号）相关规定条执行。</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25" w:name="_Toc532377339"/>
      <w:r>
        <w:rPr>
          <w:rFonts w:hint="eastAsia" w:ascii="宋体" w:hAnsi="宋体" w:eastAsia="宋体" w:cs="宋体"/>
          <w:b/>
          <w:color w:val="auto"/>
          <w:kern w:val="2"/>
          <w:sz w:val="28"/>
          <w:szCs w:val="28"/>
          <w:highlight w:val="none"/>
          <w:lang w:val="en-US" w:eastAsia="zh-CN" w:bidi="ar-SA"/>
        </w:rPr>
        <w:t>3.7 履约担保</w:t>
      </w:r>
      <w:bookmarkEnd w:id="82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3.7.1承包人是否提供履约担保：</w:t>
      </w:r>
      <w:r>
        <w:rPr>
          <w:rFonts w:hint="eastAsia" w:ascii="宋体" w:hAnsi="宋体" w:eastAsia="宋体" w:cs="宋体"/>
          <w:color w:val="auto"/>
          <w:szCs w:val="21"/>
          <w:highlight w:val="none"/>
          <w:u w:val="single"/>
        </w:rPr>
        <w:t>提供</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3.7.2承包人提供履约担保的形式、金额及期限：</w:t>
      </w:r>
    </w:p>
    <w:p>
      <w:pPr>
        <w:spacing w:line="360" w:lineRule="auto"/>
        <w:ind w:firstLine="560" w:firstLineChars="200"/>
        <w:jc w:val="left"/>
        <w:rPr>
          <w:rFonts w:hint="eastAsia" w:ascii="宋体" w:hAnsi="宋体" w:eastAsia="宋体" w:cs="宋体"/>
          <w:color w:val="auto"/>
          <w:szCs w:val="21"/>
          <w:highlight w:val="none"/>
          <w:lang w:val="zh-CN" w:eastAsia="zh-CN"/>
        </w:rPr>
      </w:pPr>
      <w:bookmarkStart w:id="826" w:name="_Toc532377340"/>
      <w:bookmarkStart w:id="827" w:name="_Toc532375611"/>
      <w:bookmarkStart w:id="828" w:name="_Toc351203636"/>
      <w:r>
        <w:rPr>
          <w:rFonts w:hint="eastAsia" w:ascii="宋体" w:hAnsi="宋体" w:eastAsia="宋体" w:cs="宋体"/>
          <w:color w:val="auto"/>
          <w:szCs w:val="21"/>
          <w:highlight w:val="none"/>
        </w:rPr>
        <w:t>3.7.2</w:t>
      </w:r>
      <w:r>
        <w:rPr>
          <w:rFonts w:hint="eastAsia" w:ascii="宋体" w:hAnsi="宋体" w:cs="宋体"/>
          <w:color w:val="auto"/>
          <w:szCs w:val="21"/>
          <w:highlight w:val="none"/>
          <w:lang w:val="en-US" w:eastAsia="zh-CN"/>
        </w:rPr>
        <w:t>.1</w:t>
      </w:r>
      <w:r>
        <w:rPr>
          <w:rFonts w:hint="eastAsia" w:ascii="宋体" w:hAnsi="宋体" w:eastAsia="宋体" w:cs="宋体"/>
          <w:color w:val="auto"/>
          <w:szCs w:val="21"/>
          <w:highlight w:val="none"/>
          <w:lang w:val="zh-CN" w:eastAsia="zh-CN"/>
        </w:rPr>
        <w:t>履约担保的形式：履约保证金。</w:t>
      </w:r>
    </w:p>
    <w:p>
      <w:pPr>
        <w:spacing w:line="360" w:lineRule="auto"/>
        <w:ind w:firstLine="560" w:firstLineChars="2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3.7.2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zh-CN" w:eastAsia="zh-CN"/>
        </w:rPr>
        <w:t>履约保证金金额：签约合同价格的10</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lang w:val="zh-CN" w:eastAsia="zh-CN"/>
        </w:rPr>
        <w:t>%。</w:t>
      </w:r>
    </w:p>
    <w:p>
      <w:pPr>
        <w:spacing w:line="360" w:lineRule="auto"/>
        <w:ind w:firstLine="560" w:firstLineChars="2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3.7.2</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zh-CN" w:eastAsia="zh-CN"/>
        </w:rPr>
        <w:t>履约保证金的缴纳方式：以支票、汇票、本票或者金融机构、担保机构出具的见索即付保函等非现金形式提交。</w:t>
      </w:r>
    </w:p>
    <w:p>
      <w:pPr>
        <w:spacing w:line="360" w:lineRule="auto"/>
        <w:ind w:firstLine="560" w:firstLineChars="2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3.7.2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val="zh-CN" w:eastAsia="zh-CN"/>
        </w:rPr>
        <w:t>履约保证金的递交时间：自成交通知书发出之日起10个工作日内书面合同签订前递交至采购人指定账户。</w:t>
      </w:r>
    </w:p>
    <w:p>
      <w:pPr>
        <w:spacing w:line="360" w:lineRule="auto"/>
        <w:ind w:firstLine="560" w:firstLineChars="200"/>
        <w:jc w:val="left"/>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rPr>
        <w:t>3.7.2</w:t>
      </w:r>
      <w:r>
        <w:rPr>
          <w:rFonts w:hint="eastAsia" w:ascii="宋体" w:hAnsi="宋体" w:cs="宋体"/>
          <w:color w:val="auto"/>
          <w:szCs w:val="21"/>
          <w:highlight w:val="none"/>
          <w:lang w:val="en-US" w:eastAsia="zh-CN"/>
        </w:rPr>
        <w:t>.5</w:t>
      </w:r>
      <w:r>
        <w:rPr>
          <w:rFonts w:hint="eastAsia" w:ascii="宋体" w:hAnsi="宋体" w:eastAsia="宋体" w:cs="宋体"/>
          <w:color w:val="auto"/>
          <w:szCs w:val="21"/>
          <w:highlight w:val="none"/>
          <w:lang w:val="zh-CN" w:eastAsia="zh-CN"/>
        </w:rPr>
        <w:t>履约保证金返还：竣工验收合格后一次性无息退还。（履约保证金不计息） 。</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4</w:t>
      </w:r>
      <w:bookmarkStart w:id="829" w:name="_Toc296890990"/>
      <w:bookmarkStart w:id="830" w:name="_Toc267251413"/>
      <w:bookmarkStart w:id="831" w:name="_Toc296503162"/>
      <w:bookmarkStart w:id="832" w:name="_Toc296944501"/>
      <w:bookmarkStart w:id="833" w:name="_Toc297120462"/>
      <w:bookmarkStart w:id="834" w:name="_Toc292559871"/>
      <w:bookmarkStart w:id="835" w:name="_Toc292559366"/>
      <w:bookmarkStart w:id="836" w:name="_Toc296347161"/>
      <w:bookmarkStart w:id="837" w:name="_Toc296891202"/>
      <w:bookmarkStart w:id="838" w:name="_Toc297048348"/>
      <w:bookmarkStart w:id="839" w:name="_Toc296346663"/>
      <w:r>
        <w:rPr>
          <w:rFonts w:hint="eastAsia" w:ascii="宋体" w:hAnsi="宋体" w:eastAsia="宋体" w:cs="宋体"/>
          <w:b/>
          <w:color w:val="auto"/>
          <w:kern w:val="2"/>
          <w:sz w:val="28"/>
          <w:szCs w:val="28"/>
          <w:highlight w:val="none"/>
          <w:lang w:val="en-US" w:eastAsia="zh-CN" w:bidi="ar-SA"/>
        </w:rPr>
        <w:t>. 监</w:t>
      </w:r>
      <w:bookmarkEnd w:id="829"/>
      <w:bookmarkEnd w:id="830"/>
      <w:bookmarkEnd w:id="831"/>
      <w:bookmarkEnd w:id="832"/>
      <w:bookmarkEnd w:id="833"/>
      <w:bookmarkEnd w:id="834"/>
      <w:bookmarkEnd w:id="835"/>
      <w:bookmarkEnd w:id="836"/>
      <w:bookmarkEnd w:id="837"/>
      <w:bookmarkEnd w:id="838"/>
      <w:bookmarkEnd w:id="839"/>
      <w:r>
        <w:rPr>
          <w:rFonts w:hint="eastAsia" w:ascii="宋体" w:hAnsi="宋体" w:eastAsia="宋体" w:cs="宋体"/>
          <w:b/>
          <w:color w:val="auto"/>
          <w:kern w:val="2"/>
          <w:sz w:val="28"/>
          <w:szCs w:val="28"/>
          <w:highlight w:val="none"/>
          <w:lang w:val="en-US" w:eastAsia="zh-CN" w:bidi="ar-SA"/>
        </w:rPr>
        <w:t>理人</w:t>
      </w:r>
      <w:bookmarkEnd w:id="826"/>
      <w:bookmarkEnd w:id="827"/>
      <w:bookmarkEnd w:id="828"/>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40" w:name="_Toc532377341"/>
      <w:r>
        <w:rPr>
          <w:rFonts w:hint="eastAsia" w:ascii="宋体" w:hAnsi="宋体" w:eastAsia="宋体" w:cs="宋体"/>
          <w:b/>
          <w:color w:val="auto"/>
          <w:kern w:val="2"/>
          <w:sz w:val="28"/>
          <w:szCs w:val="28"/>
          <w:highlight w:val="none"/>
          <w:lang w:val="en-US" w:eastAsia="zh-CN" w:bidi="ar-SA"/>
        </w:rPr>
        <w:t>4.1 监理人的一般规定</w:t>
      </w:r>
      <w:bookmarkEnd w:id="840"/>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关于监理人的监理内容：</w:t>
      </w:r>
      <w:r>
        <w:rPr>
          <w:rFonts w:hint="eastAsia" w:ascii="宋体" w:hAnsi="宋体" w:eastAsia="宋体" w:cs="宋体"/>
          <w:color w:val="auto"/>
          <w:szCs w:val="21"/>
          <w:highlight w:val="none"/>
          <w:u w:val="single"/>
        </w:rPr>
        <w:t>见发包人与监理人就本工程签订的监理合同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关于监理人的监理权限：</w:t>
      </w:r>
      <w:r>
        <w:rPr>
          <w:rFonts w:hint="eastAsia" w:ascii="宋体" w:hAnsi="宋体" w:eastAsia="宋体" w:cs="宋体"/>
          <w:color w:val="auto"/>
          <w:szCs w:val="21"/>
          <w:highlight w:val="none"/>
          <w:u w:val="single"/>
        </w:rPr>
        <w:t>见发包人与监理人就本工程签订的监理合同；任何涉及费用确定和（或）工期调整，或者设计变更，或者变更估价，或者涉及经济责任的事项，监理工程师在发出指令或通知前，须征得发包人书面同意</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关于监理人在施工现场的办公场所、生活场所的提供和费用承担的约定：</w:t>
      </w:r>
      <w:r>
        <w:rPr>
          <w:rFonts w:hint="eastAsia" w:ascii="宋体" w:hAnsi="宋体" w:eastAsia="宋体" w:cs="宋体"/>
          <w:color w:val="auto"/>
          <w:szCs w:val="21"/>
          <w:highlight w:val="none"/>
          <w:u w:val="single"/>
        </w:rPr>
        <w:t>见发包人与监理人就本工程签订的监理合同</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41" w:name="_Toc532377342"/>
      <w:r>
        <w:rPr>
          <w:rFonts w:hint="eastAsia" w:ascii="宋体" w:hAnsi="宋体" w:eastAsia="宋体" w:cs="宋体"/>
          <w:b/>
          <w:color w:val="auto"/>
          <w:kern w:val="2"/>
          <w:sz w:val="28"/>
          <w:szCs w:val="28"/>
          <w:highlight w:val="none"/>
          <w:lang w:val="en-US" w:eastAsia="zh-CN" w:bidi="ar-SA"/>
        </w:rPr>
        <w:t>4.2 监理人员</w:t>
      </w:r>
      <w:bookmarkEnd w:id="84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总监理工程师：</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    名：</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    务：</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监理工程师执业资格证书号：</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联系方式：</w:t>
      </w: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关于监理人的其他约定：</w:t>
      </w:r>
      <w:r>
        <w:rPr>
          <w:rFonts w:hint="eastAsia" w:ascii="宋体" w:hAnsi="宋体" w:eastAsia="宋体" w:cs="宋体"/>
          <w:color w:val="auto"/>
          <w:szCs w:val="21"/>
          <w:highlight w:val="none"/>
          <w:u w:val="single"/>
        </w:rPr>
        <w:t>见发包人与监理人就本工程签订的监理合同</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42" w:name="_Toc532377343"/>
      <w:r>
        <w:rPr>
          <w:rFonts w:hint="eastAsia" w:ascii="宋体" w:hAnsi="宋体" w:eastAsia="宋体" w:cs="宋体"/>
          <w:b/>
          <w:color w:val="auto"/>
          <w:kern w:val="2"/>
          <w:sz w:val="28"/>
          <w:szCs w:val="28"/>
          <w:highlight w:val="none"/>
          <w:lang w:val="en-US" w:eastAsia="zh-CN" w:bidi="ar-SA"/>
        </w:rPr>
        <w:t>4.4 商定或确定</w:t>
      </w:r>
      <w:bookmarkEnd w:id="842"/>
    </w:p>
    <w:p>
      <w:pPr>
        <w:spacing w:line="360" w:lineRule="auto"/>
        <w:ind w:firstLine="560" w:firstLineChars="200"/>
        <w:jc w:val="left"/>
        <w:rPr>
          <w:rFonts w:hint="eastAsia" w:ascii="宋体" w:hAnsi="宋体" w:eastAsia="宋体" w:cs="宋体"/>
          <w:color w:val="auto"/>
          <w:szCs w:val="21"/>
          <w:highlight w:val="none"/>
        </w:rPr>
      </w:pPr>
      <w:bookmarkStart w:id="843" w:name="_Toc267251418"/>
      <w:r>
        <w:rPr>
          <w:rFonts w:hint="eastAsia" w:ascii="宋体" w:hAnsi="宋体" w:eastAsia="宋体" w:cs="宋体"/>
          <w:color w:val="auto"/>
          <w:szCs w:val="21"/>
          <w:highlight w:val="none"/>
        </w:rPr>
        <w:t>在发包人和承包人不能通过协商达成一致意见时，发包人授权监理人对以下事项进行确定：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                   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844" w:name="_Toc532377344"/>
      <w:bookmarkStart w:id="845" w:name="_Toc351203637"/>
      <w:bookmarkStart w:id="846" w:name="_Toc532375612"/>
      <w:r>
        <w:rPr>
          <w:rFonts w:hint="eastAsia" w:ascii="宋体" w:hAnsi="宋体" w:eastAsia="宋体" w:cs="宋体"/>
          <w:b/>
          <w:color w:val="auto"/>
          <w:kern w:val="2"/>
          <w:sz w:val="28"/>
          <w:szCs w:val="28"/>
          <w:highlight w:val="none"/>
          <w:lang w:val="en-US" w:eastAsia="zh-CN" w:bidi="ar-SA"/>
        </w:rPr>
        <w:t>5</w:t>
      </w:r>
      <w:bookmarkEnd w:id="843"/>
      <w:bookmarkStart w:id="847" w:name="_Toc296346664"/>
      <w:bookmarkStart w:id="848" w:name="_Toc292559872"/>
      <w:bookmarkStart w:id="849" w:name="_Toc296890991"/>
      <w:bookmarkStart w:id="850" w:name="_Toc296944502"/>
      <w:bookmarkStart w:id="851" w:name="_Toc297120463"/>
      <w:bookmarkStart w:id="852" w:name="_Toc296891203"/>
      <w:bookmarkStart w:id="853" w:name="_Toc296503163"/>
      <w:bookmarkStart w:id="854" w:name="_Toc296347162"/>
      <w:bookmarkStart w:id="855" w:name="_Toc297048349"/>
      <w:bookmarkStart w:id="856" w:name="_Toc292559367"/>
      <w:r>
        <w:rPr>
          <w:rFonts w:hint="eastAsia" w:ascii="宋体" w:hAnsi="宋体" w:eastAsia="宋体" w:cs="宋体"/>
          <w:b/>
          <w:color w:val="auto"/>
          <w:kern w:val="2"/>
          <w:sz w:val="28"/>
          <w:szCs w:val="28"/>
          <w:highlight w:val="none"/>
          <w:lang w:val="en-US" w:eastAsia="zh-CN" w:bidi="ar-SA"/>
        </w:rPr>
        <w:t>. 工程质量</w:t>
      </w:r>
      <w:bookmarkEnd w:id="844"/>
      <w:bookmarkEnd w:id="845"/>
      <w:bookmarkEnd w:id="846"/>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57" w:name="_Toc532377345"/>
      <w:r>
        <w:rPr>
          <w:rFonts w:hint="eastAsia" w:ascii="宋体" w:hAnsi="宋体" w:eastAsia="宋体" w:cs="宋体"/>
          <w:b/>
          <w:color w:val="auto"/>
          <w:kern w:val="2"/>
          <w:sz w:val="28"/>
          <w:szCs w:val="28"/>
          <w:highlight w:val="none"/>
          <w:lang w:val="en-US" w:eastAsia="zh-CN" w:bidi="ar-SA"/>
        </w:rPr>
        <w:t>5.1 质量要求</w:t>
      </w:r>
      <w:bookmarkEnd w:id="857"/>
      <w:bookmarkStart w:id="858" w:name="_Hlk528909888"/>
      <w:bookmarkStart w:id="859" w:name="_Toc300934949"/>
      <w:bookmarkStart w:id="860" w:name="_Toc297123496"/>
      <w:bookmarkStart w:id="861" w:name="_Toc297216155"/>
      <w:bookmarkStart w:id="862" w:name="_Toc304295527"/>
      <w:bookmarkStart w:id="863" w:name="_Toc312677997"/>
      <w:bookmarkStart w:id="864" w:name="_Toc303539106"/>
      <w:bookmarkStart w:id="865" w:name="_Toc318581164"/>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工程质量符合强制性质量标准，</w:t>
      </w:r>
      <w:r>
        <w:rPr>
          <w:rFonts w:hint="eastAsia" w:ascii="宋体" w:hAnsi="宋体" w:eastAsia="宋体" w:cs="宋体"/>
          <w:color w:val="auto"/>
          <w:szCs w:val="21"/>
          <w:highlight w:val="none"/>
          <w:u w:val="single"/>
        </w:rPr>
        <w:t>符合国家和重庆市现行有关施工质量验收规范要求，并达到合格标准</w:t>
      </w:r>
      <w:r>
        <w:rPr>
          <w:rFonts w:hint="eastAsia" w:ascii="宋体" w:hAnsi="宋体" w:eastAsia="宋体" w:cs="宋体"/>
          <w:color w:val="auto"/>
          <w:szCs w:val="21"/>
          <w:highlight w:val="none"/>
        </w:rPr>
        <w:t>。</w:t>
      </w:r>
    </w:p>
    <w:bookmarkEnd w:id="858"/>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66" w:name="_Toc532377346"/>
      <w:r>
        <w:rPr>
          <w:rFonts w:hint="eastAsia" w:ascii="宋体" w:hAnsi="宋体" w:eastAsia="宋体" w:cs="宋体"/>
          <w:b/>
          <w:color w:val="auto"/>
          <w:kern w:val="2"/>
          <w:sz w:val="28"/>
          <w:szCs w:val="28"/>
          <w:highlight w:val="none"/>
          <w:lang w:val="en-US" w:eastAsia="zh-CN" w:bidi="ar-SA"/>
        </w:rPr>
        <w:t>5.2 质量保证措施</w:t>
      </w:r>
      <w:bookmarkEnd w:id="866"/>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本款补充5.2.4项：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5.2.4 在工程建设中，参建各方应严格执行以下规定（包括但不限于）：</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《建筑工程施工质量验收统一标准》（GB50300-2013）</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《住房城乡建设部关于印发工程质量安全提升行动方案的通知》（建质〔2017〕57号）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《房屋建筑和市政基础设施工程竣工验收规定》（建质〔2013〕171号）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《建设部关于贯彻执行建筑工程勘察设计及施工质量验收规范若干问题的通知》（建标〔2002〕212号）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《重庆市住房和城乡建设委员会关于印发&lt;重庆市房屋建筑和市政基础设施工程质量常见问题防治要点（2019年版）&gt;的通知》（渝建〔2019〕198号）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《关于印发&lt;重庆市房屋建筑和市政基础设施工程预拌商品砂浆应用推进工作方案&gt;的通知》（渝建〔2018〕375号）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Cs w:val="21"/>
          <w:highlight w:val="none"/>
          <w:u w:val="single"/>
        </w:rPr>
        <w:t>《重庆市城乡建设委员会关于印发2018年房屋建筑和市政基础设施工程质量要点的通知》（渝建〔2018〕94号）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u w:val="single"/>
        </w:rPr>
        <w:t>《重庆市城乡建设委员会关于进一步推广应用预拌商品砂浆的通知》（渝建〔2016〕318号）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u w:val="single"/>
        </w:rPr>
        <w:t>《重庆市建设委员会关于发布&lt;建筑工程施工质量验收规范用表（建筑节能分部工程）&gt;和&lt;建设工程技术用表（建筑节能工程）&gt;的通知》（渝建发〔2008〕76号）</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u w:val="single"/>
        </w:rPr>
        <w:t>国家和本市现行有关建设工程质量验收标准、规范和要求</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（11）</w:t>
      </w:r>
      <w:r>
        <w:rPr>
          <w:rFonts w:hint="eastAsia" w:ascii="宋体" w:hAnsi="宋体" w:eastAsia="宋体" w:cs="宋体"/>
          <w:b w:val="0"/>
          <w:color w:val="auto"/>
          <w:kern w:val="2"/>
          <w:sz w:val="28"/>
          <w:szCs w:val="21"/>
          <w:highlight w:val="none"/>
          <w:u w:val="single"/>
          <w:lang w:val="en-US" w:eastAsia="zh-CN" w:bidi="ar-SA"/>
        </w:rPr>
        <w:t xml:space="preserve">    </w:t>
      </w:r>
      <w:r>
        <w:rPr>
          <w:rFonts w:hint="eastAsia" w:ascii="宋体" w:hAnsi="宋体" w:cs="宋体"/>
          <w:b w:val="0"/>
          <w:color w:val="auto"/>
          <w:kern w:val="2"/>
          <w:sz w:val="28"/>
          <w:szCs w:val="21"/>
          <w:highlight w:val="none"/>
          <w:u w:val="single"/>
          <w:lang w:val="en-US" w:eastAsia="zh-CN" w:bidi="ar-SA"/>
        </w:rPr>
        <w:t>/</w:t>
      </w:r>
      <w:r>
        <w:rPr>
          <w:rFonts w:hint="eastAsia" w:ascii="宋体" w:hAnsi="宋体" w:eastAsia="宋体" w:cs="宋体"/>
          <w:b w:val="0"/>
          <w:color w:val="auto"/>
          <w:kern w:val="2"/>
          <w:sz w:val="28"/>
          <w:szCs w:val="21"/>
          <w:highlight w:val="none"/>
          <w:u w:val="single"/>
          <w:lang w:val="en-US" w:eastAsia="zh-CN" w:bidi="ar-SA"/>
        </w:rPr>
        <w:t xml:space="preserve">    </w:t>
      </w:r>
      <w:r>
        <w:rPr>
          <w:rFonts w:hint="eastAsia" w:ascii="宋体" w:hAnsi="宋体" w:eastAsia="宋体" w:cs="宋体"/>
          <w:b w:val="0"/>
          <w:color w:val="auto"/>
          <w:kern w:val="2"/>
          <w:sz w:val="28"/>
          <w:szCs w:val="21"/>
          <w:highlight w:val="none"/>
          <w:lang w:val="en-US" w:eastAsia="zh-CN" w:bidi="ar-SA"/>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b w:val="0"/>
          <w:color w:val="auto"/>
          <w:kern w:val="2"/>
          <w:sz w:val="28"/>
          <w:szCs w:val="21"/>
          <w:highlight w:val="none"/>
          <w:lang w:val="en-US" w:eastAsia="zh-CN" w:bidi="ar-SA"/>
        </w:rPr>
        <w:t>承包人、监理人和发包</w:t>
      </w:r>
      <w:r>
        <w:rPr>
          <w:rFonts w:hint="eastAsia" w:ascii="宋体" w:hAnsi="宋体" w:eastAsia="宋体" w:cs="宋体"/>
          <w:color w:val="auto"/>
          <w:szCs w:val="21"/>
          <w:highlight w:val="none"/>
        </w:rPr>
        <w:t>人在工程建设中，应严格执行国家及重庆市现行标准，如上述标准及规范要求有出入则以较严格者为准。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67" w:name="_Toc351203536"/>
      <w:bookmarkStart w:id="868" w:name="_Toc532377347"/>
      <w:bookmarkStart w:id="869" w:name="_Hlk528927873"/>
      <w:r>
        <w:rPr>
          <w:rFonts w:hint="eastAsia" w:ascii="宋体" w:hAnsi="宋体" w:eastAsia="宋体" w:cs="宋体"/>
          <w:b/>
          <w:color w:val="auto"/>
          <w:kern w:val="2"/>
          <w:sz w:val="28"/>
          <w:szCs w:val="28"/>
          <w:highlight w:val="none"/>
          <w:lang w:val="en-US" w:eastAsia="zh-CN" w:bidi="ar-SA"/>
        </w:rPr>
        <w:t>5.3隐蔽工程检查</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5.3.2检查程序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工程隐蔽部位经承包人自检确认具备覆盖条件的，承包人应在共同检查前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48</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小时书面通知监理人检查，通知中应载明隐蔽检查的内容、时间和地点，并应附有自检记录和必要的检查资料。</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5</w:t>
      </w:r>
      <w:bookmarkStart w:id="870" w:name="_Toc337558762"/>
      <w:r>
        <w:rPr>
          <w:rFonts w:hint="eastAsia" w:ascii="宋体" w:hAnsi="宋体" w:eastAsia="宋体" w:cs="宋体"/>
          <w:b/>
          <w:color w:val="auto"/>
          <w:kern w:val="2"/>
          <w:sz w:val="28"/>
          <w:szCs w:val="28"/>
          <w:highlight w:val="none"/>
          <w:lang w:val="en-US" w:eastAsia="zh-CN" w:bidi="ar-SA"/>
        </w:rPr>
        <w:t>.4 不合格工程的处理</w:t>
      </w:r>
      <w:bookmarkEnd w:id="867"/>
      <w:bookmarkEnd w:id="868"/>
    </w:p>
    <w:bookmarkEnd w:id="870"/>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本款补充5.4.3项：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5.4.3 承包人在收到监理人发出的《不合格分项报告》或监理通知单后，必须在监理人规定时间内按要求完成整改，未能在限定时间内完成整改的，须承担相应违约责任。</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本条补充5.6款：</w:t>
      </w:r>
    </w:p>
    <w:bookmarkEnd w:id="869"/>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71" w:name="_Toc532377348"/>
      <w:r>
        <w:rPr>
          <w:rFonts w:hint="eastAsia" w:ascii="宋体" w:hAnsi="宋体" w:eastAsia="宋体" w:cs="宋体"/>
          <w:b/>
          <w:color w:val="auto"/>
          <w:kern w:val="2"/>
          <w:sz w:val="28"/>
          <w:szCs w:val="28"/>
          <w:highlight w:val="none"/>
          <w:lang w:val="en-US" w:eastAsia="zh-CN" w:bidi="ar-SA"/>
        </w:rPr>
        <w:t>5.6 质量事故的处理</w:t>
      </w:r>
      <w:bookmarkEnd w:id="87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5.6.1 合同履行过程中，发生工程质量事故的调查处理按照国家及重庆市现行规定处理。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5.6.2 发包人在对工程质量、安全和环境保护、水土保持等建设全过程管理中发现有技术、质量和其他问题的，可通过监理人责令承包人返工或整改；对存在的隐患，有权责令承包人予以解决，承包人按照合同中其他条款约定承担违约责任。</w:t>
      </w:r>
    </w:p>
    <w:bookmarkEnd w:id="847"/>
    <w:bookmarkEnd w:id="848"/>
    <w:bookmarkEnd w:id="849"/>
    <w:bookmarkEnd w:id="850"/>
    <w:bookmarkEnd w:id="851"/>
    <w:bookmarkEnd w:id="852"/>
    <w:bookmarkEnd w:id="853"/>
    <w:bookmarkEnd w:id="854"/>
    <w:bookmarkEnd w:id="855"/>
    <w:bookmarkEnd w:id="856"/>
    <w:bookmarkEnd w:id="859"/>
    <w:bookmarkEnd w:id="860"/>
    <w:bookmarkEnd w:id="861"/>
    <w:bookmarkEnd w:id="862"/>
    <w:bookmarkEnd w:id="863"/>
    <w:bookmarkEnd w:id="864"/>
    <w:bookmarkEnd w:id="865"/>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872" w:name="_Toc532375613"/>
      <w:bookmarkStart w:id="873" w:name="_Toc351203638"/>
      <w:bookmarkStart w:id="874" w:name="_Toc532377349"/>
      <w:bookmarkStart w:id="875" w:name="_Toc296503173"/>
      <w:bookmarkStart w:id="876" w:name="_Toc296347172"/>
      <w:bookmarkStart w:id="877" w:name="_Toc267251427"/>
      <w:bookmarkStart w:id="878" w:name="_Toc351203642"/>
      <w:bookmarkStart w:id="879" w:name="_Toc292559883"/>
      <w:bookmarkStart w:id="880" w:name="_Toc296346674"/>
      <w:bookmarkStart w:id="881" w:name="_Toc296891213"/>
      <w:bookmarkStart w:id="882" w:name="_Toc296944512"/>
      <w:bookmarkStart w:id="883" w:name="_Toc267251428"/>
      <w:bookmarkStart w:id="884" w:name="_Toc297048359"/>
      <w:bookmarkStart w:id="885" w:name="_Toc297120473"/>
      <w:bookmarkStart w:id="886" w:name="_Toc296891001"/>
      <w:bookmarkStart w:id="887" w:name="_Toc292559378"/>
      <w:r>
        <w:rPr>
          <w:rFonts w:hint="eastAsia" w:ascii="宋体" w:hAnsi="宋体" w:eastAsia="宋体" w:cs="宋体"/>
          <w:b/>
          <w:color w:val="auto"/>
          <w:kern w:val="2"/>
          <w:sz w:val="28"/>
          <w:szCs w:val="28"/>
          <w:highlight w:val="none"/>
          <w:lang w:val="en-US" w:eastAsia="zh-CN" w:bidi="ar-SA"/>
        </w:rPr>
        <w:t>6. 安全文明施工与环境保护</w:t>
      </w:r>
      <w:bookmarkEnd w:id="872"/>
      <w:bookmarkEnd w:id="873"/>
      <w:bookmarkEnd w:id="874"/>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88" w:name="_Toc532375614"/>
      <w:bookmarkStart w:id="889" w:name="_Toc532377350"/>
      <w:r>
        <w:rPr>
          <w:rFonts w:hint="eastAsia" w:ascii="宋体" w:hAnsi="宋体" w:eastAsia="宋体" w:cs="宋体"/>
          <w:b/>
          <w:color w:val="auto"/>
          <w:kern w:val="2"/>
          <w:sz w:val="28"/>
          <w:szCs w:val="28"/>
          <w:highlight w:val="none"/>
          <w:lang w:val="en-US" w:eastAsia="zh-CN" w:bidi="ar-SA"/>
        </w:rPr>
        <w:t>6.1 安全文明施工</w:t>
      </w:r>
      <w:bookmarkEnd w:id="888"/>
      <w:bookmarkEnd w:id="889"/>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承包人必须认真贯彻执行国家安全生产法律、法规、规章和强制性安全标准，按照重庆市现行的质量、安全文明施工有关规定和发包人安全管理的有关规定，建立完善的质量、安全、文明施工管理制度。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的施工要做到节能、环保，如果通过采用新材料、新设备、新工艺、新技术的手段来提高工程质量或节省工期，则必须保证新材料、新设备、新工艺、新技术是成熟的并获得相关部门正式批准的，同时使用前承包人必须组织专家论证，并得到发包人、监理人的批准。</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6.1.1 项目安全生产的达标目标及相应事项的约定：</w:t>
      </w:r>
      <w:r>
        <w:rPr>
          <w:rFonts w:hint="eastAsia" w:ascii="宋体" w:hAnsi="宋体" w:eastAsia="宋体" w:cs="宋体"/>
          <w:color w:val="auto"/>
          <w:szCs w:val="21"/>
          <w:highlight w:val="none"/>
          <w:u w:val="single"/>
        </w:rPr>
        <w:t>达到《建筑施工安全检查标准》（JGJ59-2011）的要求</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（1）按现行安全文明施工费计取及使用管理的政策文件规定及发包人制订的安全管理制度执行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（2）承包人的原因造成事故，由此产生的法律责任和事故责任及费用由承包人全部承担</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（3）承包人向发包人做出安全承诺，并签订《安全生产目标责任书》和《安全承诺书》</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（4）承包人在施工过程中，必须严格执行安全生产法的相关规定，制定切实可靠的安全技术措施</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（5）接受发包人安全监督和管理，在施工中违反安全管理规定和操作规程、违章作业的，承担违约责任</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6.1.4 关于治安保卫的特别约定：</w:t>
      </w:r>
      <w:r>
        <w:rPr>
          <w:rFonts w:hint="eastAsia" w:ascii="宋体" w:hAnsi="宋体" w:eastAsia="宋体" w:cs="宋体"/>
          <w:color w:val="auto"/>
          <w:szCs w:val="21"/>
          <w:highlight w:val="none"/>
          <w:u w:val="single"/>
        </w:rPr>
        <w:t>承包人负责组建施工现场治安管理机构或联防组织；承包人负责编制施工场地治安管理计划和突发治安事件紧急预案</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关于编制施工场地治安管理计划的约定：</w:t>
      </w:r>
      <w:r>
        <w:rPr>
          <w:rFonts w:hint="eastAsia" w:ascii="宋体" w:hAnsi="宋体" w:eastAsia="宋体" w:cs="宋体"/>
          <w:color w:val="auto"/>
          <w:szCs w:val="21"/>
          <w:highlight w:val="none"/>
          <w:u w:val="single"/>
        </w:rPr>
        <w:t>由承包人负责</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6.1.5 文明施工</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合同当事人对文明施工的要求：</w:t>
      </w:r>
      <w:r>
        <w:rPr>
          <w:rFonts w:hint="eastAsia" w:ascii="宋体" w:hAnsi="宋体" w:eastAsia="宋体" w:cs="宋体"/>
          <w:color w:val="auto"/>
          <w:szCs w:val="21"/>
          <w:highlight w:val="none"/>
          <w:u w:val="single"/>
        </w:rPr>
        <w:t>承包人应按照《房屋建筑和市政基础设施工程施工扬尘控制工作方案》（渝建发〔2009〕13号）、《重庆市建设委员会关于印发&lt;重庆市房屋建筑和市政基础设施工程现场文明施工标准&gt;的通知》（渝建发〔2008〕169号）等相关规定履行好施工扬尘控制、文明施工等责任</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承包人应按规定设置施工现场围挡，承包人采用的围挡主体形式应从重庆市城乡建委发布的标准图集（DJBT-062、DJBT-063）中选用，做好施工围挡，围挡应整齐美观，承包人按相关要求做好日常维护和保洁，围挡高度满足规范要求，相关费用已包含在签约合同价中</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6.1.6 关于安全文明施工费支付比例和支付期限的约定：</w:t>
      </w:r>
      <w:r>
        <w:rPr>
          <w:rFonts w:hint="eastAsia" w:ascii="宋体" w:hAnsi="宋体" w:eastAsia="宋体" w:cs="宋体"/>
          <w:color w:val="auto"/>
          <w:szCs w:val="21"/>
          <w:highlight w:val="none"/>
          <w:u w:val="single"/>
        </w:rPr>
        <w:t>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安全文明施工费的要求与内容、提取支付方法以及违反约定造成损失的赔偿等条款，按照现行规范要求执行，做到专款专用</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90" w:name="_Toc532377351"/>
      <w:bookmarkStart w:id="891" w:name="_Toc532375615"/>
      <w:r>
        <w:rPr>
          <w:rFonts w:hint="eastAsia" w:ascii="宋体" w:hAnsi="宋体" w:eastAsia="宋体" w:cs="宋体"/>
          <w:b/>
          <w:color w:val="auto"/>
          <w:kern w:val="2"/>
          <w:sz w:val="28"/>
          <w:szCs w:val="28"/>
          <w:highlight w:val="none"/>
          <w:lang w:val="en-US" w:eastAsia="zh-CN" w:bidi="ar-SA"/>
        </w:rPr>
        <w:t>6.3 环境保护</w:t>
      </w:r>
      <w:bookmarkEnd w:id="890"/>
      <w:bookmarkEnd w:id="891"/>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本款补充6.3.1～6.3.8项：</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6.3.1 承包人应严格按照项目环境影响评价文件批准书结合发包人报送的环境影响报告书的</w:t>
      </w:r>
      <w:r>
        <w:rPr>
          <w:rFonts w:hint="eastAsia" w:ascii="宋体" w:hAnsi="宋体" w:eastAsia="宋体" w:cs="宋体"/>
          <w:color w:val="auto"/>
          <w:szCs w:val="21"/>
          <w:highlight w:val="none"/>
          <w:lang w:val="en-US" w:eastAsia="zh-CN"/>
        </w:rPr>
        <w:t>要求</w:t>
      </w:r>
      <w:r>
        <w:rPr>
          <w:rFonts w:hint="eastAsia" w:ascii="宋体" w:hAnsi="宋体" w:eastAsia="宋体" w:cs="宋体"/>
          <w:color w:val="auto"/>
          <w:szCs w:val="21"/>
          <w:highlight w:val="none"/>
        </w:rPr>
        <w:t>进行环境保护的相关工作。如行政主管部门有新标准，则按最新标准执行，执行新标准增加的费用由发包人承担。</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6.3.2 承包人应做好对周边环境的调查工作，认真编制施工组织设计，严格按照施工方案组织施工，涉及交通、绿化、市政、环保、生态、公共安全等的施工方案应达到相关标准要求并在施工前得到相关行政主管部门和单位的同意，否则不得施工，因施工原因引起的一切投诉及处罚由承包人自行负责。</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6.3.3 承包人应加强生态环境保护工作。施工期间，采取边坡防护，挡渣坝、排水沟、沉淀池、表土剥离和绿化恢复等水土保持措施减少水土流失量，绿化恢复宜采用适于当地生长的植物。</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6.3.4 承包人应认真落实水污染防治措施。施工期间，加强机械设备维护，减少跑冒滴漏等现象；做好含油废水处理措施；施工场地生活污水经生化处理后达到《污水综合排放标准》（GB8978-1996）一级标准后排放。</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6.3.5 承包人应重视大气污染物污染防治措施。施工期间，严格执行市政府“蓝天行动”方案等有关规定，通过洒水防尘，严格控制施工场地扬尘和运输扬尘污染。</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6.3.6 承包人应落实固体废物污染防治措施。施工期间，项目产生的弃方不可合理利用的，应运往指定的弃渣场内堆存；建筑垃圾运至指定的建筑垃圾消纳场处置；生活垃圾由当地环卫部门统一处置。</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6.3.7 承包人应认真落实噪声污染防治措施。施工期间，优选低噪声设备，合理安排施工时间，严格控制夜间施工，昼、夜施工场界需满足《建筑施工场界环境噪声排放标准》（GB12523-2011）。</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6.3.8 承包人自行负责办理有关施工场地交通、环卫和施工噪音管理等手续，并应按要求结合自身实际和重庆市相关规定，考虑不低于以上标准的此类工作。</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6.3.9 </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892" w:name="_Toc532375616"/>
      <w:bookmarkStart w:id="893" w:name="_Toc532377352"/>
      <w:bookmarkStart w:id="894" w:name="_Toc351203639"/>
      <w:r>
        <w:rPr>
          <w:rFonts w:hint="eastAsia" w:ascii="宋体" w:hAnsi="宋体" w:eastAsia="宋体" w:cs="宋体"/>
          <w:b/>
          <w:color w:val="auto"/>
          <w:kern w:val="2"/>
          <w:sz w:val="28"/>
          <w:szCs w:val="28"/>
          <w:highlight w:val="none"/>
          <w:lang w:val="en-US" w:eastAsia="zh-CN" w:bidi="ar-SA"/>
        </w:rPr>
        <w:t>7. 工期和进度</w:t>
      </w:r>
      <w:bookmarkEnd w:id="892"/>
      <w:bookmarkEnd w:id="893"/>
      <w:bookmarkEnd w:id="894"/>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95" w:name="_Toc532377353"/>
      <w:bookmarkStart w:id="896" w:name="_Toc532375617"/>
      <w:r>
        <w:rPr>
          <w:rFonts w:hint="eastAsia" w:ascii="宋体" w:hAnsi="宋体" w:eastAsia="宋体" w:cs="宋体"/>
          <w:b/>
          <w:color w:val="auto"/>
          <w:kern w:val="2"/>
          <w:sz w:val="28"/>
          <w:szCs w:val="28"/>
          <w:highlight w:val="none"/>
          <w:lang w:val="en-US" w:eastAsia="zh-CN" w:bidi="ar-SA"/>
        </w:rPr>
        <w:t>7.1 施工组织设计</w:t>
      </w:r>
      <w:bookmarkEnd w:id="895"/>
      <w:bookmarkEnd w:id="896"/>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7.1.1 合同当事人约定的施工组织设计应包括的其他内容：</w:t>
      </w:r>
      <w:r>
        <w:rPr>
          <w:rFonts w:hint="eastAsia" w:ascii="宋体" w:hAnsi="宋体" w:eastAsia="宋体" w:cs="宋体"/>
          <w:color w:val="auto"/>
          <w:szCs w:val="21"/>
          <w:highlight w:val="none"/>
          <w:u w:val="single"/>
        </w:rPr>
        <w:t>应采用文字并结合图表形式说明施工方法；拟投入工程的主要施工设备情况、拟配备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按发包人要求提供</w:t>
      </w:r>
      <w:r>
        <w:rPr>
          <w:rFonts w:hint="eastAsia" w:ascii="宋体" w:hAnsi="宋体" w:eastAsia="宋体" w:cs="宋体"/>
          <w:color w:val="auto"/>
          <w:szCs w:val="21"/>
          <w:highlight w:val="none"/>
        </w:rPr>
        <w:t>。</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7.1.2 施工组织设计的提交和修改</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承包人提交详细施工组织设计的期限的约定：</w:t>
      </w:r>
      <w:r>
        <w:rPr>
          <w:rFonts w:hint="eastAsia" w:ascii="宋体" w:hAnsi="宋体" w:eastAsia="宋体" w:cs="宋体"/>
          <w:color w:val="auto"/>
          <w:szCs w:val="21"/>
          <w:highlight w:val="none"/>
          <w:u w:val="single"/>
        </w:rPr>
        <w:t>合同签订后</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天内，但最迟不得晚于开工通知载明的开工日期前7天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发包人和监理人在收到详细的施工组织设计后确认或提出修改意见的期限：</w:t>
      </w:r>
      <w:r>
        <w:rPr>
          <w:rFonts w:hint="eastAsia" w:ascii="宋体" w:hAnsi="宋体" w:eastAsia="宋体" w:cs="宋体"/>
          <w:color w:val="auto"/>
          <w:szCs w:val="21"/>
          <w:highlight w:val="none"/>
          <w:u w:val="single"/>
        </w:rPr>
        <w:t>收到施工组织设计后  天内</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97" w:name="_Toc532375618"/>
      <w:bookmarkStart w:id="898" w:name="_Toc532377354"/>
      <w:r>
        <w:rPr>
          <w:rFonts w:hint="eastAsia" w:ascii="宋体" w:hAnsi="宋体" w:eastAsia="宋体" w:cs="宋体"/>
          <w:b/>
          <w:color w:val="auto"/>
          <w:kern w:val="2"/>
          <w:sz w:val="28"/>
          <w:szCs w:val="28"/>
          <w:highlight w:val="none"/>
          <w:lang w:val="en-US" w:eastAsia="zh-CN" w:bidi="ar-SA"/>
        </w:rPr>
        <w:t>7.2 施工进度计划</w:t>
      </w:r>
      <w:bookmarkEnd w:id="897"/>
      <w:bookmarkEnd w:id="898"/>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7.2.2 施工进度计划的修订</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发包人和监理人在收到修订的施工进度计划后确认或提出修改意见的期限：</w:t>
      </w:r>
      <w:r>
        <w:rPr>
          <w:rFonts w:hint="eastAsia" w:ascii="宋体" w:hAnsi="宋体" w:eastAsia="宋体" w:cs="宋体"/>
          <w:color w:val="auto"/>
          <w:szCs w:val="21"/>
          <w:highlight w:val="none"/>
          <w:u w:val="single"/>
        </w:rPr>
        <w:t>收到修订的施工进度计划后  天内</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899" w:name="_Toc532377355"/>
      <w:bookmarkStart w:id="900" w:name="_Toc532375619"/>
      <w:bookmarkStart w:id="901" w:name="_Toc297216173"/>
      <w:bookmarkStart w:id="902" w:name="_Toc304295541"/>
      <w:bookmarkStart w:id="903" w:name="_Toc300934966"/>
      <w:bookmarkStart w:id="904" w:name="_Toc297123514"/>
      <w:bookmarkStart w:id="905" w:name="_Toc312677479"/>
      <w:bookmarkStart w:id="906" w:name="_Toc303539123"/>
      <w:bookmarkStart w:id="907" w:name="_Toc312678005"/>
      <w:r>
        <w:rPr>
          <w:rFonts w:hint="eastAsia" w:ascii="宋体" w:hAnsi="宋体" w:eastAsia="宋体" w:cs="宋体"/>
          <w:b/>
          <w:color w:val="auto"/>
          <w:kern w:val="2"/>
          <w:sz w:val="28"/>
          <w:szCs w:val="28"/>
          <w:highlight w:val="none"/>
          <w:lang w:val="en-US" w:eastAsia="zh-CN" w:bidi="ar-SA"/>
        </w:rPr>
        <w:t>7.3 开工</w:t>
      </w:r>
      <w:bookmarkEnd w:id="899"/>
      <w:bookmarkEnd w:id="900"/>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7.3.1 开工准备</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关于承包人提交工程开工报审表的期限：</w:t>
      </w:r>
      <w:r>
        <w:rPr>
          <w:rFonts w:hint="eastAsia" w:ascii="宋体" w:hAnsi="宋体" w:eastAsia="宋体" w:cs="宋体"/>
          <w:color w:val="auto"/>
          <w:szCs w:val="21"/>
          <w:highlight w:val="none"/>
          <w:u w:val="single"/>
        </w:rPr>
        <w:t>不晚于开工前  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关于发包人应完成的其他开工准备工作及期限：</w:t>
      </w:r>
      <w:r>
        <w:rPr>
          <w:rFonts w:hint="eastAsia" w:ascii="宋体" w:hAnsi="宋体" w:eastAsia="宋体" w:cs="宋体"/>
          <w:color w:val="auto"/>
          <w:szCs w:val="21"/>
          <w:highlight w:val="none"/>
          <w:u w:val="single"/>
        </w:rPr>
        <w:t>不晚于开工前  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关于承包人应完成的其他开工准备工作及期限：</w:t>
      </w:r>
      <w:r>
        <w:rPr>
          <w:rFonts w:hint="eastAsia" w:ascii="宋体" w:hAnsi="宋体" w:eastAsia="宋体" w:cs="宋体"/>
          <w:color w:val="auto"/>
          <w:szCs w:val="21"/>
          <w:highlight w:val="none"/>
          <w:u w:val="single"/>
        </w:rPr>
        <w:t>不晚于开工前  天</w:t>
      </w:r>
      <w:r>
        <w:rPr>
          <w:rFonts w:hint="eastAsia" w:ascii="宋体" w:hAnsi="宋体" w:eastAsia="宋体" w:cs="宋体"/>
          <w:color w:val="auto"/>
          <w:szCs w:val="21"/>
          <w:highlight w:val="none"/>
        </w:rPr>
        <w:t>。</w:t>
      </w:r>
    </w:p>
    <w:bookmarkEnd w:id="901"/>
    <w:bookmarkEnd w:id="902"/>
    <w:bookmarkEnd w:id="903"/>
    <w:bookmarkEnd w:id="904"/>
    <w:bookmarkEnd w:id="905"/>
    <w:bookmarkEnd w:id="906"/>
    <w:bookmarkEnd w:id="90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08" w:name="_Toc532375620"/>
      <w:bookmarkStart w:id="909" w:name="_Toc532377356"/>
      <w:r>
        <w:rPr>
          <w:rFonts w:hint="eastAsia" w:ascii="宋体" w:hAnsi="宋体" w:eastAsia="宋体" w:cs="宋体"/>
          <w:b/>
          <w:color w:val="auto"/>
          <w:kern w:val="2"/>
          <w:sz w:val="28"/>
          <w:szCs w:val="28"/>
          <w:highlight w:val="none"/>
          <w:lang w:val="en-US" w:eastAsia="zh-CN" w:bidi="ar-SA"/>
        </w:rPr>
        <w:t>7.4 测量放线</w:t>
      </w:r>
      <w:bookmarkEnd w:id="908"/>
      <w:bookmarkEnd w:id="909"/>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7.4.1 发包人通过监理人向承包人提供测量基准点、基准线和水准点及其书面资料的期限：</w:t>
      </w:r>
      <w:r>
        <w:rPr>
          <w:rFonts w:hint="eastAsia" w:ascii="宋体" w:hAnsi="宋体" w:eastAsia="宋体" w:cs="宋体"/>
          <w:color w:val="auto"/>
          <w:szCs w:val="21"/>
          <w:highlight w:val="none"/>
          <w:u w:val="single"/>
        </w:rPr>
        <w:t>不晚于开工前  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承包人报监理人审批施工控制网资料的期限：</w:t>
      </w:r>
      <w:r>
        <w:rPr>
          <w:rFonts w:hint="eastAsia" w:ascii="宋体" w:hAnsi="宋体" w:eastAsia="宋体" w:cs="宋体"/>
          <w:color w:val="auto"/>
          <w:szCs w:val="21"/>
          <w:highlight w:val="none"/>
          <w:u w:val="single"/>
        </w:rPr>
        <w:t>发出开工通知后  天。承包人发现发包人提供的测量基准点、基准线和水准点及其书面资料存在错误或疏漏的，应及时通知监理人并报告发包人，承包人应会同监理人、发包人核实，发包人就如何处理和是否继续施工作出决定，并通过监理人通知承包人</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10" w:name="_Toc532375621"/>
      <w:bookmarkStart w:id="911" w:name="_Toc532377357"/>
      <w:r>
        <w:rPr>
          <w:rFonts w:hint="eastAsia" w:ascii="宋体" w:hAnsi="宋体" w:eastAsia="宋体" w:cs="宋体"/>
          <w:b/>
          <w:color w:val="auto"/>
          <w:kern w:val="2"/>
          <w:sz w:val="28"/>
          <w:szCs w:val="28"/>
          <w:highlight w:val="none"/>
          <w:lang w:val="en-US" w:eastAsia="zh-CN" w:bidi="ar-SA"/>
        </w:rPr>
        <w:t>7</w:t>
      </w:r>
      <w:bookmarkStart w:id="912" w:name="_Toc297216175"/>
      <w:bookmarkStart w:id="913" w:name="_Toc312677484"/>
      <w:bookmarkStart w:id="914" w:name="_Toc297123516"/>
      <w:bookmarkStart w:id="915" w:name="_Toc300934968"/>
      <w:bookmarkStart w:id="916" w:name="_Toc312678010"/>
      <w:bookmarkStart w:id="917" w:name="_Toc303539125"/>
      <w:bookmarkStart w:id="918" w:name="_Toc304295546"/>
      <w:r>
        <w:rPr>
          <w:rFonts w:hint="eastAsia" w:ascii="宋体" w:hAnsi="宋体" w:eastAsia="宋体" w:cs="宋体"/>
          <w:b/>
          <w:color w:val="auto"/>
          <w:kern w:val="2"/>
          <w:sz w:val="28"/>
          <w:szCs w:val="28"/>
          <w:highlight w:val="none"/>
          <w:lang w:val="en-US" w:eastAsia="zh-CN" w:bidi="ar-SA"/>
        </w:rPr>
        <w:t>.5 工期延误</w:t>
      </w:r>
      <w:bookmarkEnd w:id="910"/>
      <w:bookmarkEnd w:id="911"/>
    </w:p>
    <w:bookmarkEnd w:id="912"/>
    <w:bookmarkEnd w:id="913"/>
    <w:bookmarkEnd w:id="914"/>
    <w:bookmarkEnd w:id="915"/>
    <w:bookmarkEnd w:id="916"/>
    <w:bookmarkEnd w:id="917"/>
    <w:bookmarkEnd w:id="918"/>
    <w:p>
      <w:pPr>
        <w:spacing w:line="360" w:lineRule="auto"/>
        <w:ind w:firstLine="560" w:firstLineChars="200"/>
        <w:jc w:val="left"/>
        <w:rPr>
          <w:rFonts w:hint="eastAsia" w:ascii="宋体" w:hAnsi="宋体" w:eastAsia="宋体" w:cs="宋体"/>
          <w:color w:val="auto"/>
          <w:szCs w:val="21"/>
          <w:highlight w:val="none"/>
        </w:rPr>
      </w:pPr>
      <w:bookmarkStart w:id="919" w:name="_Hlk528927940"/>
      <w:r>
        <w:rPr>
          <w:rFonts w:hint="eastAsia" w:ascii="宋体" w:hAnsi="宋体" w:eastAsia="宋体" w:cs="宋体"/>
          <w:color w:val="auto"/>
          <w:szCs w:val="21"/>
          <w:highlight w:val="none"/>
        </w:rPr>
        <w:t>7.5.1 因发包人原因导致工期延误：</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在合同履行过程中，除通用条款约定外，因下列情况导致工期延误和（或）费用增加的，由发包人承担由此延误的工期和（或）增加的费用：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（1）发包人未能按合同约定提供施工场地，且该未提供开工条件直接影响项目关键线路的；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（2）发包人提供的测量基准点、基准线和水准点及其书面资料存在错误或疏漏，且该错误或疏漏直接影响项目关键线路的；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（3）监理人未按合同约定发出指示、批准等文件，且未按该合同约定发出指示、批准直接影响项目关键线路的；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（4）变更未及时审批，直接影响项目关键线路的；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（5）实施变更直接影响项目关键线路的；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（6）因发包人原因导致工程暂停施工、停建、缓建的；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（7）因征地拆迁、当地群众阻工等情形的；</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u w:val="single"/>
        </w:rPr>
        <w:t>合同约定的其他情形</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因发包人原因未按计划开工日期开工的，发包人应按实际开工日期顺延竣工日期。因发包人原因导致工期延误需要修订施工进度计划的，按照第7.2.2项〔施工进度计划的修订〕执行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7.5.2 因承包人原因导致工期延误</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因承包人原因造成工期延误，逾期竣工按16.2.2（6）目执行。</w:t>
      </w:r>
    </w:p>
    <w:bookmarkEnd w:id="919"/>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20" w:name="_Toc532375622"/>
      <w:bookmarkStart w:id="921" w:name="_Toc532377358"/>
      <w:bookmarkStart w:id="922" w:name="_Hlk528927997"/>
      <w:r>
        <w:rPr>
          <w:rFonts w:hint="eastAsia" w:ascii="宋体" w:hAnsi="宋体" w:eastAsia="宋体" w:cs="宋体"/>
          <w:b/>
          <w:color w:val="auto"/>
          <w:kern w:val="2"/>
          <w:sz w:val="28"/>
          <w:szCs w:val="28"/>
          <w:highlight w:val="none"/>
          <w:lang w:val="en-US" w:eastAsia="zh-CN" w:bidi="ar-SA"/>
        </w:rPr>
        <w:t>7</w:t>
      </w:r>
      <w:bookmarkStart w:id="923" w:name="_Toc297123519"/>
      <w:bookmarkStart w:id="924" w:name="_Toc303539128"/>
      <w:bookmarkStart w:id="925" w:name="_Toc304295549"/>
      <w:bookmarkStart w:id="926" w:name="_Toc312678015"/>
      <w:bookmarkStart w:id="927" w:name="_Toc297216178"/>
      <w:bookmarkStart w:id="928" w:name="_Toc300934971"/>
      <w:r>
        <w:rPr>
          <w:rFonts w:hint="eastAsia" w:ascii="宋体" w:hAnsi="宋体" w:eastAsia="宋体" w:cs="宋体"/>
          <w:b/>
          <w:color w:val="auto"/>
          <w:kern w:val="2"/>
          <w:sz w:val="28"/>
          <w:szCs w:val="28"/>
          <w:highlight w:val="none"/>
          <w:lang w:val="en-US" w:eastAsia="zh-CN" w:bidi="ar-SA"/>
        </w:rPr>
        <w:t>.6 不</w:t>
      </w:r>
      <w:bookmarkEnd w:id="923"/>
      <w:bookmarkEnd w:id="924"/>
      <w:bookmarkEnd w:id="925"/>
      <w:bookmarkEnd w:id="926"/>
      <w:bookmarkEnd w:id="927"/>
      <w:bookmarkEnd w:id="928"/>
      <w:r>
        <w:rPr>
          <w:rFonts w:hint="eastAsia" w:ascii="宋体" w:hAnsi="宋体" w:eastAsia="宋体" w:cs="宋体"/>
          <w:b/>
          <w:color w:val="auto"/>
          <w:kern w:val="2"/>
          <w:sz w:val="28"/>
          <w:szCs w:val="28"/>
          <w:highlight w:val="none"/>
          <w:lang w:val="en-US" w:eastAsia="zh-CN" w:bidi="ar-SA"/>
        </w:rPr>
        <w:t>利物质条件</w:t>
      </w:r>
      <w:bookmarkEnd w:id="920"/>
      <w:bookmarkEnd w:id="921"/>
    </w:p>
    <w:bookmarkEnd w:id="922"/>
    <w:p>
      <w:pPr>
        <w:spacing w:line="360" w:lineRule="auto"/>
        <w:ind w:firstLine="560" w:firstLineChars="200"/>
        <w:jc w:val="left"/>
        <w:rPr>
          <w:rFonts w:hint="eastAsia" w:ascii="宋体" w:hAnsi="宋体" w:eastAsia="宋体" w:cs="宋体"/>
          <w:bCs/>
          <w:color w:val="auto"/>
          <w:szCs w:val="21"/>
          <w:highlight w:val="none"/>
        </w:rPr>
      </w:pPr>
      <w:bookmarkStart w:id="929" w:name="_Toc312678016"/>
      <w:bookmarkStart w:id="930" w:name="_Toc304295550"/>
      <w:bookmarkStart w:id="931" w:name="_Toc318581172"/>
      <w:bookmarkStart w:id="932" w:name="_Toc303539129"/>
      <w:bookmarkStart w:id="933" w:name="_Toc297123520"/>
      <w:bookmarkStart w:id="934" w:name="_Toc297216179"/>
      <w:bookmarkStart w:id="935" w:name="_Toc300934972"/>
      <w:r>
        <w:rPr>
          <w:rFonts w:hint="eastAsia" w:ascii="宋体" w:hAnsi="宋体" w:eastAsia="宋体" w:cs="宋体"/>
          <w:color w:val="auto"/>
          <w:szCs w:val="21"/>
          <w:highlight w:val="none"/>
        </w:rPr>
        <w:t>不利物质条件的其他情形和有关约定：</w:t>
      </w:r>
      <w:bookmarkStart w:id="936" w:name="_Hlk528910274"/>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929"/>
    <w:bookmarkEnd w:id="930"/>
    <w:bookmarkEnd w:id="931"/>
    <w:bookmarkEnd w:id="932"/>
    <w:bookmarkEnd w:id="933"/>
    <w:bookmarkEnd w:id="934"/>
    <w:bookmarkEnd w:id="935"/>
    <w:bookmarkEnd w:id="936"/>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37" w:name="_Toc532375623"/>
      <w:bookmarkStart w:id="938" w:name="_Toc532377359"/>
      <w:r>
        <w:rPr>
          <w:rFonts w:hint="eastAsia" w:ascii="宋体" w:hAnsi="宋体" w:eastAsia="宋体" w:cs="宋体"/>
          <w:b/>
          <w:color w:val="auto"/>
          <w:kern w:val="2"/>
          <w:sz w:val="28"/>
          <w:szCs w:val="28"/>
          <w:highlight w:val="none"/>
          <w:lang w:val="en-US" w:eastAsia="zh-CN" w:bidi="ar-SA"/>
        </w:rPr>
        <w:t>7</w:t>
      </w:r>
      <w:bookmarkStart w:id="939" w:name="_Toc300934973"/>
      <w:bookmarkStart w:id="940" w:name="_Toc304295551"/>
      <w:bookmarkStart w:id="941" w:name="_Toc297216180"/>
      <w:bookmarkStart w:id="942" w:name="_Toc303539130"/>
      <w:bookmarkStart w:id="943" w:name="_Toc312678017"/>
      <w:bookmarkStart w:id="944" w:name="_Toc297123521"/>
      <w:r>
        <w:rPr>
          <w:rFonts w:hint="eastAsia" w:ascii="宋体" w:hAnsi="宋体" w:eastAsia="宋体" w:cs="宋体"/>
          <w:b/>
          <w:color w:val="auto"/>
          <w:kern w:val="2"/>
          <w:sz w:val="28"/>
          <w:szCs w:val="28"/>
          <w:highlight w:val="none"/>
          <w:lang w:val="en-US" w:eastAsia="zh-CN" w:bidi="ar-SA"/>
        </w:rPr>
        <w:t>.7异常恶劣的气候条件</w:t>
      </w:r>
      <w:bookmarkEnd w:id="937"/>
      <w:bookmarkEnd w:id="938"/>
    </w:p>
    <w:bookmarkEnd w:id="939"/>
    <w:bookmarkEnd w:id="940"/>
    <w:bookmarkEnd w:id="941"/>
    <w:bookmarkEnd w:id="942"/>
    <w:bookmarkEnd w:id="943"/>
    <w:bookmarkEnd w:id="944"/>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发包人和承包人同意以下情形视为异常恶劣的气候条件：</w:t>
      </w:r>
      <w:r>
        <w:rPr>
          <w:rFonts w:hint="eastAsia" w:ascii="宋体" w:hAnsi="宋体" w:eastAsia="宋体" w:cs="宋体"/>
          <w:color w:val="auto"/>
          <w:szCs w:val="21"/>
          <w:highlight w:val="none"/>
          <w:u w:val="single"/>
        </w:rPr>
        <w:t xml:space="preserve">    （异常气候是指项目所在地50年以上一遇的罕见气候现象）</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45" w:name="_Toc532375624"/>
      <w:bookmarkStart w:id="946" w:name="_Toc532377360"/>
      <w:r>
        <w:rPr>
          <w:rFonts w:hint="eastAsia" w:ascii="宋体" w:hAnsi="宋体" w:eastAsia="宋体" w:cs="宋体"/>
          <w:b/>
          <w:color w:val="auto"/>
          <w:kern w:val="2"/>
          <w:sz w:val="28"/>
          <w:szCs w:val="28"/>
          <w:highlight w:val="none"/>
          <w:lang w:val="en-US" w:eastAsia="zh-CN" w:bidi="ar-SA"/>
        </w:rPr>
        <w:t>7.9 提前竣工</w:t>
      </w:r>
      <w:bookmarkEnd w:id="945"/>
      <w:bookmarkEnd w:id="946"/>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7.9.1项细化为：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项目需要提前竣工或项目工期按照第7.5款〔工期延误〕约定顺延后需要提前竣工的，发包人应通过监理人向承包人下达提前竣工指示。承包人同意提前竣工的，应向发包人和监理人提交提前竣工方案，提前竣工方案经监理人和发包人审批后生效。由此增加的费用按照第10.4.1项〔变更估价原则〕约定执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（2）发包人不得随意要求承包人提前竣工，承包人也不得随意提出提前竣工的建议。如遇特殊情况，确需将工期提前的，发包人和承包人必须采取有效措施，确保工程质量。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（3）如果承包人提前竣工，发包人支付奖金的计算方法在合同条款中约定，时间自竣工验收证书中写明的实际竣工日期起至预定的竣工日期止，按天计算。但奖金最高限额不超过项目7.9.2项的限额。</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 提前竣工的奖励：</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947" w:name="_Toc532375625"/>
      <w:bookmarkStart w:id="948" w:name="_Toc351203640"/>
      <w:bookmarkStart w:id="949" w:name="_Toc532377361"/>
      <w:r>
        <w:rPr>
          <w:rFonts w:hint="eastAsia" w:ascii="宋体" w:hAnsi="宋体" w:eastAsia="宋体" w:cs="宋体"/>
          <w:b/>
          <w:color w:val="auto"/>
          <w:kern w:val="2"/>
          <w:sz w:val="28"/>
          <w:szCs w:val="28"/>
          <w:highlight w:val="none"/>
          <w:lang w:val="en-US" w:eastAsia="zh-CN" w:bidi="ar-SA"/>
        </w:rPr>
        <w:t>8. 材料与设备</w:t>
      </w:r>
      <w:bookmarkEnd w:id="947"/>
      <w:bookmarkEnd w:id="948"/>
      <w:bookmarkEnd w:id="949"/>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50" w:name="_Toc532375626"/>
      <w:bookmarkStart w:id="951" w:name="_Toc532377362"/>
      <w:r>
        <w:rPr>
          <w:rFonts w:hint="eastAsia" w:ascii="宋体" w:hAnsi="宋体" w:eastAsia="宋体" w:cs="宋体"/>
          <w:b/>
          <w:color w:val="auto"/>
          <w:kern w:val="2"/>
          <w:sz w:val="28"/>
          <w:szCs w:val="28"/>
          <w:highlight w:val="none"/>
          <w:lang w:val="en-US" w:eastAsia="zh-CN" w:bidi="ar-SA"/>
        </w:rPr>
        <w:t>8.1发包人供应材料与工程设备</w:t>
      </w:r>
      <w:bookmarkEnd w:id="950"/>
      <w:bookmarkEnd w:id="95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材料的名称、规格、数量和价格：</w:t>
      </w:r>
      <w:r>
        <w:rPr>
          <w:rFonts w:hint="eastAsia" w:ascii="宋体" w:hAnsi="宋体" w:eastAsia="宋体" w:cs="宋体"/>
          <w:color w:val="auto"/>
          <w:szCs w:val="21"/>
          <w:highlight w:val="none"/>
          <w:u w:val="single"/>
        </w:rPr>
        <w:t>发包人应提供甲供材料的明细表，结算时按经监理人、承包人共同确认的供应数量乘以招标时甲供材料暂定价格，在支付工程款时扣除</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发包人按约定的内容提供材料设备并对提供的材料设备质量负责，承包人按施工规范和检测规范对一切进场材料进行质量检验，承包人有权退回检验不合格的材料；承包人对投入使用的材料质量负责</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52" w:name="_Toc532375627"/>
      <w:bookmarkStart w:id="953" w:name="_Toc351203554"/>
      <w:bookmarkStart w:id="954" w:name="_Toc532377363"/>
      <w:r>
        <w:rPr>
          <w:rFonts w:hint="eastAsia" w:ascii="宋体" w:hAnsi="宋体" w:eastAsia="宋体" w:cs="宋体"/>
          <w:b/>
          <w:color w:val="auto"/>
          <w:kern w:val="2"/>
          <w:sz w:val="28"/>
          <w:szCs w:val="28"/>
          <w:highlight w:val="none"/>
          <w:lang w:val="en-US" w:eastAsia="zh-CN" w:bidi="ar-SA"/>
        </w:rPr>
        <w:t>8</w:t>
      </w:r>
      <w:bookmarkStart w:id="955" w:name="_Toc296346561"/>
      <w:bookmarkStart w:id="956" w:name="_Toc296503060"/>
      <w:bookmarkStart w:id="957" w:name="_Toc337558778"/>
      <w:r>
        <w:rPr>
          <w:rFonts w:hint="eastAsia" w:ascii="宋体" w:hAnsi="宋体" w:eastAsia="宋体" w:cs="宋体"/>
          <w:b/>
          <w:color w:val="auto"/>
          <w:kern w:val="2"/>
          <w:sz w:val="28"/>
          <w:szCs w:val="28"/>
          <w:highlight w:val="none"/>
          <w:lang w:val="en-US" w:eastAsia="zh-CN" w:bidi="ar-SA"/>
        </w:rPr>
        <w:t>.2 承包人采购材料与工程设备</w:t>
      </w:r>
      <w:bookmarkEnd w:id="952"/>
      <w:bookmarkEnd w:id="953"/>
      <w:bookmarkEnd w:id="954"/>
    </w:p>
    <w:bookmarkEnd w:id="955"/>
    <w:bookmarkEnd w:id="956"/>
    <w:bookmarkEnd w:id="957"/>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8.2.1承包人负责采购、运输和保管的材料、工程设备：</w:t>
      </w:r>
      <w:r>
        <w:rPr>
          <w:rFonts w:hint="eastAsia" w:ascii="宋体" w:hAnsi="宋体" w:eastAsia="宋体" w:cs="宋体"/>
          <w:color w:val="auto"/>
          <w:szCs w:val="21"/>
          <w:highlight w:val="none"/>
          <w:u w:val="single"/>
        </w:rPr>
        <w:t>由承包人自行采购。承包人采购材料设备必须经监理人和发包人批准，结算时由监理人和发包人按</w:t>
      </w:r>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规定审核的数量和合同约定价格计算</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8.2.2承包人报送监理人审批的时间：</w:t>
      </w:r>
      <w:r>
        <w:rPr>
          <w:rFonts w:hint="eastAsia" w:ascii="宋体" w:hAnsi="宋体" w:eastAsia="宋体" w:cs="宋体"/>
          <w:color w:val="auto"/>
          <w:szCs w:val="21"/>
          <w:highlight w:val="none"/>
          <w:u w:val="single"/>
        </w:rPr>
        <w:t>按发包人及监理单位的相关规定执行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8.2.3承包人选择的生产厂家或供应商满足下列条件：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A.承包人选择的混凝土供应商应满足下列条件：</w:t>
      </w:r>
      <w:r>
        <w:rPr>
          <w:rFonts w:hint="eastAsia" w:ascii="宋体" w:hAnsi="宋体" w:eastAsia="宋体" w:cs="宋体"/>
          <w:color w:val="auto"/>
          <w:szCs w:val="21"/>
          <w:highlight w:val="none"/>
          <w:u w:val="single"/>
        </w:rPr>
        <w:t xml:space="preserve">  满足设计要求及相关技术标准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B.承包人选择的钢材供应商应满足下列条件：</w:t>
      </w:r>
      <w:r>
        <w:rPr>
          <w:rFonts w:hint="eastAsia" w:ascii="宋体" w:hAnsi="宋体" w:eastAsia="宋体" w:cs="宋体"/>
          <w:color w:val="auto"/>
          <w:szCs w:val="21"/>
          <w:highlight w:val="none"/>
          <w:u w:val="single"/>
        </w:rPr>
        <w:t xml:space="preserve">    满足设计要求及相关技术标准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C.承包人选择的水泥供应商应满足下列条件：</w:t>
      </w:r>
      <w:r>
        <w:rPr>
          <w:rFonts w:hint="eastAsia" w:ascii="宋体" w:hAnsi="宋体" w:eastAsia="宋体" w:cs="宋体"/>
          <w:color w:val="auto"/>
          <w:szCs w:val="21"/>
          <w:highlight w:val="none"/>
          <w:u w:val="single"/>
        </w:rPr>
        <w:t xml:space="preserve">   满足设计要求及相关技术标准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D.承包人采购的材料与设计或标准要求不符时，承包人应按发包人和监理人要求的时间运出施工场地，并重新采购符合要求的产品，并承担由此发生的费用，因此延误的工期不予顺延。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E.承包人采购的材料在使用前，应按发包人和监理人的要求进行检验或试验，不合格的不得使用。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F.</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58" w:name="_Toc532375628"/>
      <w:bookmarkStart w:id="959" w:name="_Toc532377364"/>
      <w:r>
        <w:rPr>
          <w:rFonts w:hint="eastAsia" w:ascii="宋体" w:hAnsi="宋体" w:eastAsia="宋体" w:cs="宋体"/>
          <w:b/>
          <w:color w:val="auto"/>
          <w:kern w:val="2"/>
          <w:sz w:val="28"/>
          <w:szCs w:val="28"/>
          <w:highlight w:val="none"/>
          <w:lang w:val="en-US" w:eastAsia="zh-CN" w:bidi="ar-SA"/>
        </w:rPr>
        <w:t>8</w:t>
      </w:r>
      <w:bookmarkStart w:id="960" w:name="_Toc312678019"/>
      <w:bookmarkStart w:id="961" w:name="_Toc296890995"/>
      <w:bookmarkStart w:id="962" w:name="_Toc297123527"/>
      <w:bookmarkStart w:id="963" w:name="_Toc303539136"/>
      <w:bookmarkStart w:id="964" w:name="_Toc292559372"/>
      <w:bookmarkStart w:id="965" w:name="_Toc296347166"/>
      <w:bookmarkStart w:id="966" w:name="_Toc297048353"/>
      <w:bookmarkStart w:id="967" w:name="_Toc280868654"/>
      <w:bookmarkStart w:id="968" w:name="_Toc296503167"/>
      <w:bookmarkStart w:id="969" w:name="_Toc292559877"/>
      <w:bookmarkStart w:id="970" w:name="_Toc297120467"/>
      <w:bookmarkStart w:id="971" w:name="_Toc300934979"/>
      <w:bookmarkStart w:id="972" w:name="_Toc296346668"/>
      <w:bookmarkStart w:id="973" w:name="_Toc312677493"/>
      <w:bookmarkStart w:id="974" w:name="_Toc304295556"/>
      <w:bookmarkStart w:id="975" w:name="_Toc296891207"/>
      <w:bookmarkStart w:id="976" w:name="_Toc297216186"/>
      <w:bookmarkStart w:id="977" w:name="_Toc296944506"/>
      <w:bookmarkStart w:id="978" w:name="_Toc280868656"/>
      <w:bookmarkStart w:id="979" w:name="_Toc267251424"/>
      <w:bookmarkStart w:id="980" w:name="_Toc280868655"/>
      <w:r>
        <w:rPr>
          <w:rFonts w:hint="eastAsia" w:ascii="宋体" w:hAnsi="宋体" w:eastAsia="宋体" w:cs="宋体"/>
          <w:b/>
          <w:color w:val="auto"/>
          <w:kern w:val="2"/>
          <w:sz w:val="28"/>
          <w:szCs w:val="28"/>
          <w:highlight w:val="none"/>
          <w:lang w:val="en-US" w:eastAsia="zh-CN" w:bidi="ar-SA"/>
        </w:rPr>
        <w:t>.4 材料与工程设备的保管与使用</w:t>
      </w:r>
      <w:bookmarkEnd w:id="958"/>
      <w:bookmarkEnd w:id="959"/>
    </w:p>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bookmarkStart w:id="981" w:name="_Toc292559878"/>
      <w:bookmarkStart w:id="982" w:name="_Toc292559373"/>
      <w:bookmarkStart w:id="983" w:name="_Toc296347167"/>
      <w:bookmarkStart w:id="984" w:name="_Toc312678020"/>
      <w:bookmarkStart w:id="985" w:name="_Toc296346669"/>
      <w:bookmarkStart w:id="986" w:name="_Toc297048354"/>
      <w:bookmarkStart w:id="987" w:name="_Toc303539137"/>
      <w:bookmarkStart w:id="988" w:name="_Toc312677494"/>
      <w:bookmarkStart w:id="989" w:name="_Toc296503168"/>
      <w:bookmarkStart w:id="990" w:name="_Toc300934980"/>
      <w:bookmarkStart w:id="991" w:name="_Toc296890996"/>
      <w:bookmarkStart w:id="992" w:name="_Toc297123528"/>
      <w:bookmarkStart w:id="993" w:name="_Toc297120468"/>
      <w:bookmarkStart w:id="994" w:name="_Toc296944507"/>
      <w:bookmarkStart w:id="995" w:name="_Toc304295557"/>
      <w:bookmarkStart w:id="996" w:name="_Toc297216187"/>
      <w:bookmarkStart w:id="997" w:name="_Toc318581173"/>
      <w:bookmarkStart w:id="998" w:name="_Toc296891208"/>
      <w:r>
        <w:rPr>
          <w:rFonts w:hint="eastAsia" w:ascii="宋体" w:hAnsi="宋体" w:eastAsia="宋体" w:cs="宋体"/>
          <w:color w:val="auto"/>
          <w:szCs w:val="21"/>
          <w:highlight w:val="none"/>
        </w:rPr>
        <w:t>.4.1 发包人供应的材料设备的保管费用的承担：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由承包人承担</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End w:id="981"/>
      <w:bookmarkEnd w:id="982"/>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999" w:name="_Toc532377365"/>
      <w:bookmarkStart w:id="1000" w:name="_Toc532375629"/>
      <w:r>
        <w:rPr>
          <w:rFonts w:hint="eastAsia" w:ascii="宋体" w:hAnsi="宋体" w:eastAsia="宋体" w:cs="宋体"/>
          <w:b/>
          <w:color w:val="auto"/>
          <w:kern w:val="2"/>
          <w:sz w:val="28"/>
          <w:szCs w:val="28"/>
          <w:highlight w:val="none"/>
          <w:lang w:val="en-US" w:eastAsia="zh-CN" w:bidi="ar-SA"/>
        </w:rPr>
        <w:t>8.6 样品</w:t>
      </w:r>
      <w:bookmarkEnd w:id="999"/>
      <w:bookmarkEnd w:id="1000"/>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8.6.1 样品的报送与封存</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需要承包人报送样品的材料或工程设备，样品的种类、名称、规格、数量要求：</w:t>
      </w:r>
      <w:r>
        <w:rPr>
          <w:rFonts w:hint="eastAsia" w:ascii="宋体" w:hAnsi="宋体" w:eastAsia="宋体" w:cs="宋体"/>
          <w:color w:val="auto"/>
          <w:szCs w:val="21"/>
          <w:highlight w:val="none"/>
          <w:u w:val="single"/>
        </w:rPr>
        <w:t xml:space="preserve">   按发包人要求及相关规定规范执行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001" w:name="_Toc532377366"/>
      <w:bookmarkStart w:id="1002" w:name="_Toc532375630"/>
      <w:r>
        <w:rPr>
          <w:rFonts w:hint="eastAsia" w:ascii="宋体" w:hAnsi="宋体" w:eastAsia="宋体" w:cs="宋体"/>
          <w:b/>
          <w:color w:val="auto"/>
          <w:kern w:val="2"/>
          <w:sz w:val="28"/>
          <w:szCs w:val="28"/>
          <w:highlight w:val="none"/>
          <w:lang w:val="en-US" w:eastAsia="zh-CN" w:bidi="ar-SA"/>
        </w:rPr>
        <w:t>8.8 施工设备和临时设施</w:t>
      </w:r>
      <w:bookmarkEnd w:id="1001"/>
      <w:bookmarkEnd w:id="1002"/>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8.8.1 承包人提供的施工设备和临时设施</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关于修建临时设施费用承担的约定：</w:t>
      </w:r>
      <w:r>
        <w:rPr>
          <w:rFonts w:hint="eastAsia" w:ascii="宋体" w:hAnsi="宋体" w:eastAsia="宋体" w:cs="宋体"/>
          <w:color w:val="auto"/>
          <w:szCs w:val="21"/>
          <w:highlight w:val="none"/>
          <w:u w:val="single"/>
        </w:rPr>
        <w:t>由承包人承担</w:t>
      </w:r>
      <w:r>
        <w:rPr>
          <w:rFonts w:hint="eastAsia" w:ascii="宋体" w:hAnsi="宋体" w:eastAsia="宋体" w:cs="宋体"/>
          <w:color w:val="auto"/>
          <w:szCs w:val="21"/>
          <w:highlight w:val="none"/>
        </w:rPr>
        <w:t>。</w:t>
      </w:r>
    </w:p>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003" w:name="_Toc351203641"/>
      <w:bookmarkStart w:id="1004" w:name="_Toc532375631"/>
      <w:bookmarkStart w:id="1005" w:name="_Toc532377367"/>
      <w:r>
        <w:rPr>
          <w:rFonts w:hint="eastAsia" w:ascii="宋体" w:hAnsi="宋体" w:eastAsia="宋体" w:cs="宋体"/>
          <w:b/>
          <w:color w:val="auto"/>
          <w:kern w:val="2"/>
          <w:sz w:val="28"/>
          <w:szCs w:val="28"/>
          <w:highlight w:val="none"/>
          <w:lang w:val="en-US" w:eastAsia="zh-CN" w:bidi="ar-SA"/>
        </w:rPr>
        <w:t>9</w:t>
      </w:r>
      <w:bookmarkEnd w:id="978"/>
      <w:bookmarkEnd w:id="979"/>
      <w:bookmarkEnd w:id="980"/>
      <w:bookmarkStart w:id="1006" w:name="_Toc300934982"/>
      <w:bookmarkStart w:id="1007" w:name="_Toc312678021"/>
      <w:bookmarkStart w:id="1008" w:name="_Toc304295559"/>
      <w:bookmarkStart w:id="1009" w:name="_Toc297123533"/>
      <w:bookmarkStart w:id="1010" w:name="_Toc312677495"/>
      <w:bookmarkStart w:id="1011" w:name="_Toc303539139"/>
      <w:bookmarkStart w:id="1012" w:name="_Toc297216192"/>
      <w:r>
        <w:rPr>
          <w:rFonts w:hint="eastAsia" w:ascii="宋体" w:hAnsi="宋体" w:eastAsia="宋体" w:cs="宋体"/>
          <w:b/>
          <w:color w:val="auto"/>
          <w:kern w:val="2"/>
          <w:sz w:val="28"/>
          <w:szCs w:val="28"/>
          <w:highlight w:val="none"/>
          <w:lang w:val="en-US" w:eastAsia="zh-CN" w:bidi="ar-SA"/>
        </w:rPr>
        <w:t>. 试验与检验</w:t>
      </w:r>
      <w:bookmarkEnd w:id="1003"/>
      <w:bookmarkEnd w:id="1004"/>
      <w:bookmarkEnd w:id="1005"/>
    </w:p>
    <w:bookmarkEnd w:id="1006"/>
    <w:bookmarkEnd w:id="1007"/>
    <w:bookmarkEnd w:id="1008"/>
    <w:bookmarkEnd w:id="1009"/>
    <w:bookmarkEnd w:id="1010"/>
    <w:bookmarkEnd w:id="1011"/>
    <w:bookmarkEnd w:id="1012"/>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013" w:name="_Toc532375632"/>
      <w:bookmarkStart w:id="1014" w:name="_Toc532377368"/>
      <w:r>
        <w:rPr>
          <w:rFonts w:hint="eastAsia" w:ascii="宋体" w:hAnsi="宋体" w:eastAsia="宋体" w:cs="宋体"/>
          <w:b/>
          <w:color w:val="auto"/>
          <w:kern w:val="2"/>
          <w:sz w:val="28"/>
          <w:szCs w:val="28"/>
          <w:highlight w:val="none"/>
          <w:lang w:val="en-US" w:eastAsia="zh-CN" w:bidi="ar-SA"/>
        </w:rPr>
        <w:t>9</w:t>
      </w:r>
      <w:bookmarkStart w:id="1015" w:name="_Toc297216193"/>
      <w:bookmarkStart w:id="1016" w:name="_Toc303539140"/>
      <w:bookmarkStart w:id="1017" w:name="_Toc312677496"/>
      <w:bookmarkStart w:id="1018" w:name="_Toc304295560"/>
      <w:bookmarkStart w:id="1019" w:name="_Toc300934983"/>
      <w:bookmarkStart w:id="1020" w:name="_Toc312678022"/>
      <w:bookmarkStart w:id="1021" w:name="_Toc297123534"/>
      <w:r>
        <w:rPr>
          <w:rFonts w:hint="eastAsia" w:ascii="宋体" w:hAnsi="宋体" w:eastAsia="宋体" w:cs="宋体"/>
          <w:b/>
          <w:color w:val="auto"/>
          <w:kern w:val="2"/>
          <w:sz w:val="28"/>
          <w:szCs w:val="28"/>
          <w:highlight w:val="none"/>
          <w:lang w:val="en-US" w:eastAsia="zh-CN" w:bidi="ar-SA"/>
        </w:rPr>
        <w:t>.1 试验设备与试验人员</w:t>
      </w:r>
      <w:bookmarkEnd w:id="1013"/>
      <w:bookmarkEnd w:id="1014"/>
    </w:p>
    <w:bookmarkEnd w:id="1015"/>
    <w:bookmarkEnd w:id="1016"/>
    <w:bookmarkEnd w:id="1017"/>
    <w:bookmarkEnd w:id="1018"/>
    <w:bookmarkEnd w:id="1019"/>
    <w:bookmarkEnd w:id="1020"/>
    <w:bookmarkEnd w:id="1021"/>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bookmarkStart w:id="1022" w:name="_Toc312678023"/>
      <w:bookmarkStart w:id="1023" w:name="_Toc300934984"/>
      <w:bookmarkStart w:id="1024" w:name="_Toc304295561"/>
      <w:bookmarkStart w:id="1025" w:name="_Toc297216194"/>
      <w:bookmarkStart w:id="1026" w:name="_Toc297123535"/>
      <w:bookmarkStart w:id="1027" w:name="_Toc312677497"/>
      <w:bookmarkStart w:id="1028" w:name="_Toc303539141"/>
      <w:bookmarkStart w:id="1029" w:name="_Toc318581174"/>
      <w:r>
        <w:rPr>
          <w:rFonts w:hint="eastAsia" w:ascii="宋体" w:hAnsi="宋体" w:eastAsia="宋体" w:cs="宋体"/>
          <w:color w:val="auto"/>
          <w:szCs w:val="21"/>
          <w:highlight w:val="none"/>
        </w:rPr>
        <w:t>.1.2 试验设备</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施工现场需要配置的试验场所：</w:t>
      </w:r>
      <w:bookmarkEnd w:id="1022"/>
      <w:bookmarkEnd w:id="1023"/>
      <w:bookmarkEnd w:id="1024"/>
      <w:bookmarkEnd w:id="1025"/>
      <w:bookmarkEnd w:id="1026"/>
      <w:bookmarkEnd w:id="1027"/>
      <w:bookmarkEnd w:id="1028"/>
      <w:bookmarkStart w:id="1030" w:name="_Toc304295562"/>
      <w:bookmarkStart w:id="1031" w:name="_Toc297216195"/>
      <w:bookmarkStart w:id="1032" w:name="_Toc312678024"/>
      <w:bookmarkStart w:id="1033" w:name="_Toc297123536"/>
      <w:bookmarkStart w:id="1034" w:name="_Toc303539142"/>
      <w:bookmarkStart w:id="1035" w:name="_Toc312677498"/>
      <w:bookmarkStart w:id="1036" w:name="_Toc300934985"/>
      <w:r>
        <w:rPr>
          <w:rFonts w:hint="eastAsia" w:ascii="宋体" w:hAnsi="宋体" w:eastAsia="宋体" w:cs="宋体"/>
          <w:color w:val="auto"/>
          <w:szCs w:val="21"/>
          <w:highlight w:val="none"/>
          <w:u w:val="single"/>
        </w:rPr>
        <w:t>满足工程施工的需要</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施工现场需要配备的试验设备：</w:t>
      </w:r>
      <w:r>
        <w:rPr>
          <w:rFonts w:hint="eastAsia" w:ascii="宋体" w:hAnsi="宋体" w:eastAsia="宋体" w:cs="宋体"/>
          <w:color w:val="auto"/>
          <w:szCs w:val="21"/>
          <w:highlight w:val="none"/>
          <w:u w:val="single"/>
        </w:rPr>
        <w:t>满足工程施工的需要</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施工现场需要具备的其他试验条件：</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037" w:name="_Toc532377369"/>
      <w:bookmarkStart w:id="1038" w:name="_Toc532375633"/>
      <w:r>
        <w:rPr>
          <w:rFonts w:hint="eastAsia" w:ascii="宋体" w:hAnsi="宋体" w:eastAsia="宋体" w:cs="宋体"/>
          <w:b/>
          <w:color w:val="auto"/>
          <w:kern w:val="2"/>
          <w:sz w:val="28"/>
          <w:szCs w:val="28"/>
          <w:highlight w:val="none"/>
          <w:lang w:val="en-US" w:eastAsia="zh-CN" w:bidi="ar-SA"/>
        </w:rPr>
        <w:t>9.4 现场工艺试验</w:t>
      </w:r>
      <w:bookmarkEnd w:id="1037"/>
      <w:bookmarkEnd w:id="1038"/>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本款补充9.4.1～9.4.5项：</w:t>
      </w:r>
    </w:p>
    <w:bookmarkEnd w:id="1029"/>
    <w:bookmarkEnd w:id="1030"/>
    <w:bookmarkEnd w:id="1031"/>
    <w:bookmarkEnd w:id="1032"/>
    <w:bookmarkEnd w:id="1033"/>
    <w:bookmarkEnd w:id="1034"/>
    <w:bookmarkEnd w:id="1035"/>
    <w:bookmarkEnd w:id="1036"/>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9.4.1一般检验试验：</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检测管理办法》（建设部令第141号）、关于实施《建设工程质量检测管理办法》有关问题的通知（建质〔2009〕25号）、《重庆市建设工程质量检测管理规定》（渝建发〔2009〕123号）、《关于加强我市建设工程质量检测委托管理的通知》（渝建〔2015〕420号）和有关施工规范、验收标准及施工图的规定或要求，对工程材料、构件、建筑安装物、半成品、成品进行的一般质量鉴定、检测和试验，由发包人委托的第三方检测试验机构实施，所发生的鉴定、检测和试验费用由发包人承担，不包含在合同价格中。</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实施前，由发包人、承包人和第三方检测试验机构签订三方合同，第三方检测试验机构分别向承包人和发包人出具相应的检测试验报告。根据渝建〔2015〕420号文和有关施工规范、验收标准及施工图的规定或要求，所做的上述检测试验所需的试件取样、制作、送检，试件制作需要提供的材料以及检测、试验的配合工作由承包人负责完成并承担由此产生的所有相关费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9.4.2特殊检验试验：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（1）除“施工措施的检测、试验”外，包括但不限于路基弯沉值试验、路面承载力试验、桥梁荷载试验、锚固试验、桩基检测、锚杆抗拔检验、锚索预应力检测、外墙面砖抗粘接试验、室内有害物质检测、门窗 （幕墙）三性检测、石材放射性检测、石膏板阻燃检测、挡土墙抗渗试验、保温层隔热检测等（根据项目实际情况增减）设计施工规范及其他法律法规规范规定的特殊检验试验项目，根据渝建〔2015〕420号文的规定，均由发包人委托相应的第三方检测试验机构进行检测，所发生的特殊检验试验费由发包人承担，不包含在合同价格中。</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发包人委托的第三方检测试验机构检测试验的试件所需的材料、取样、送检及相关配合工作由承包人负责完成并承担由此产生的所有相关费用。</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（2）施工措施的检测、试验：因施工措施需要而做的相关检测、试验由承包人负责实施，其费用由承包人承担。</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9.4.3专项检测：</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9.4.4若因承包人取样、制样、送检及相关配合不及时而导致工程的工期和费用增加，影响的工期不予延长，增加费用由承包人承担。</w:t>
      </w:r>
    </w:p>
    <w:p>
      <w:pPr>
        <w:tabs>
          <w:tab w:val="left" w:pos="711"/>
          <w:tab w:val="left" w:pos="2580"/>
        </w:tabs>
        <w:spacing w:line="360" w:lineRule="auto"/>
        <w:ind w:firstLine="560" w:firstLineChars="200"/>
        <w:jc w:val="left"/>
        <w:textAlignment w:val="baseline"/>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9.4.5检测试验不合格的项目，其缺陷处理和复测费用由承包人承担，工期不予延长。</w:t>
      </w:r>
    </w:p>
    <w:bookmarkEnd w:id="875"/>
    <w:bookmarkEnd w:id="876"/>
    <w:bookmarkEnd w:id="877"/>
    <w:bookmarkEnd w:id="878"/>
    <w:bookmarkEnd w:id="879"/>
    <w:bookmarkEnd w:id="880"/>
    <w:bookmarkEnd w:id="881"/>
    <w:bookmarkEnd w:id="882"/>
    <w:bookmarkEnd w:id="883"/>
    <w:bookmarkEnd w:id="884"/>
    <w:bookmarkEnd w:id="885"/>
    <w:bookmarkEnd w:id="886"/>
    <w:bookmarkEnd w:id="887"/>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039" w:name="_Toc532375634"/>
      <w:bookmarkStart w:id="1040" w:name="_Toc532377370"/>
      <w:bookmarkStart w:id="1041" w:name="_Toc267251484"/>
      <w:bookmarkStart w:id="1042" w:name="_Toc267251489"/>
      <w:bookmarkStart w:id="1043" w:name="_Toc267251486"/>
      <w:bookmarkStart w:id="1044" w:name="_Toc267251490"/>
      <w:bookmarkStart w:id="1045" w:name="_Toc267251488"/>
      <w:bookmarkStart w:id="1046" w:name="_Hlk524298112"/>
      <w:bookmarkStart w:id="1047" w:name="_Toc267251485"/>
      <w:bookmarkStart w:id="1048" w:name="_Toc267251482"/>
      <w:bookmarkStart w:id="1049" w:name="_Toc267251508"/>
      <w:bookmarkStart w:id="1050" w:name="_Toc267251501"/>
      <w:bookmarkStart w:id="1051" w:name="_Toc267251502"/>
      <w:bookmarkStart w:id="1052" w:name="_Toc267251499"/>
      <w:bookmarkStart w:id="1053" w:name="_Toc267251493"/>
      <w:bookmarkStart w:id="1054" w:name="_Toc267251495"/>
      <w:bookmarkStart w:id="1055" w:name="_Toc267251498"/>
      <w:bookmarkStart w:id="1056" w:name="_Toc267251504"/>
      <w:bookmarkStart w:id="1057" w:name="_Toc267251515"/>
      <w:bookmarkStart w:id="1058" w:name="_Toc267251506"/>
      <w:bookmarkStart w:id="1059" w:name="_Toc267251494"/>
      <w:bookmarkStart w:id="1060" w:name="_Toc267251510"/>
      <w:bookmarkStart w:id="1061" w:name="_Toc267251507"/>
      <w:bookmarkStart w:id="1062" w:name="_Toc267251497"/>
      <w:bookmarkStart w:id="1063" w:name="_Toc267251511"/>
      <w:bookmarkStart w:id="1064" w:name="_Toc267251513"/>
      <w:bookmarkStart w:id="1065" w:name="_Toc267251503"/>
      <w:bookmarkStart w:id="1066" w:name="_Toc267251514"/>
      <w:bookmarkStart w:id="1067" w:name="_Toc267251509"/>
      <w:bookmarkStart w:id="1068" w:name="_Toc267251492"/>
      <w:bookmarkStart w:id="1069" w:name="_Toc267251496"/>
      <w:bookmarkStart w:id="1070" w:name="_Toc267251491"/>
      <w:r>
        <w:rPr>
          <w:rFonts w:hint="eastAsia" w:ascii="宋体" w:hAnsi="宋体" w:eastAsia="宋体" w:cs="宋体"/>
          <w:b/>
          <w:color w:val="auto"/>
          <w:kern w:val="2"/>
          <w:sz w:val="28"/>
          <w:szCs w:val="28"/>
          <w:highlight w:val="none"/>
          <w:lang w:val="en-US" w:eastAsia="zh-CN" w:bidi="ar-SA"/>
        </w:rPr>
        <w:t>1</w:t>
      </w:r>
      <w:bookmarkStart w:id="1071" w:name="_Toc296347192"/>
      <w:bookmarkStart w:id="1072" w:name="_Toc297216199"/>
      <w:bookmarkStart w:id="1073" w:name="_Toc297120493"/>
      <w:bookmarkStart w:id="1074" w:name="_Toc300934989"/>
      <w:bookmarkStart w:id="1075" w:name="_Toc303539146"/>
      <w:bookmarkStart w:id="1076" w:name="_Toc292559903"/>
      <w:bookmarkStart w:id="1077" w:name="_Toc292559398"/>
      <w:bookmarkStart w:id="1078" w:name="_Toc297048379"/>
      <w:bookmarkStart w:id="1079" w:name="_Toc296891233"/>
      <w:bookmarkStart w:id="1080" w:name="_Toc296346694"/>
      <w:bookmarkStart w:id="1081" w:name="_Toc304295566"/>
      <w:bookmarkStart w:id="1082" w:name="_Toc297123540"/>
      <w:bookmarkStart w:id="1083" w:name="_Toc296503193"/>
      <w:bookmarkStart w:id="1084" w:name="_Toc296944532"/>
      <w:bookmarkStart w:id="1085" w:name="_Toc296891021"/>
      <w:bookmarkStart w:id="1086" w:name="_Toc312677499"/>
      <w:bookmarkStart w:id="1087" w:name="_Toc312678025"/>
      <w:bookmarkStart w:id="1088" w:name="_Toc267251433"/>
      <w:bookmarkStart w:id="1089" w:name="_Toc267251435"/>
      <w:bookmarkStart w:id="1090" w:name="_Toc267251440"/>
      <w:bookmarkStart w:id="1091" w:name="_Toc267251439"/>
      <w:bookmarkStart w:id="1092" w:name="_Toc267251437"/>
      <w:bookmarkStart w:id="1093" w:name="_Toc267251441"/>
      <w:r>
        <w:rPr>
          <w:rFonts w:hint="eastAsia" w:ascii="宋体" w:hAnsi="宋体" w:eastAsia="宋体" w:cs="宋体"/>
          <w:b/>
          <w:color w:val="auto"/>
          <w:kern w:val="2"/>
          <w:sz w:val="28"/>
          <w:szCs w:val="28"/>
          <w:highlight w:val="none"/>
          <w:lang w:val="en-US" w:eastAsia="zh-CN" w:bidi="ar-SA"/>
        </w:rPr>
        <w:t>0. 变更</w:t>
      </w:r>
      <w:bookmarkEnd w:id="1039"/>
      <w:bookmarkEnd w:id="104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bookmarkEnd w:id="1086"/>
    <w:bookmarkEnd w:id="108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094" w:name="_Toc532377371"/>
      <w:bookmarkStart w:id="1095" w:name="_Toc532375635"/>
      <w:r>
        <w:rPr>
          <w:rFonts w:hint="eastAsia" w:ascii="宋体" w:hAnsi="宋体" w:eastAsia="宋体" w:cs="宋体"/>
          <w:b/>
          <w:color w:val="auto"/>
          <w:kern w:val="2"/>
          <w:sz w:val="28"/>
          <w:szCs w:val="28"/>
          <w:highlight w:val="none"/>
          <w:lang w:val="en-US" w:eastAsia="zh-CN" w:bidi="ar-SA"/>
        </w:rPr>
        <w:t>1</w:t>
      </w:r>
      <w:bookmarkStart w:id="1096" w:name="_Toc303539147"/>
      <w:bookmarkStart w:id="1097" w:name="_Toc296347193"/>
      <w:bookmarkStart w:id="1098" w:name="_Toc304295567"/>
      <w:bookmarkStart w:id="1099" w:name="_Toc297120494"/>
      <w:bookmarkStart w:id="1100" w:name="_Toc297123541"/>
      <w:bookmarkStart w:id="1101" w:name="_Toc312677500"/>
      <w:bookmarkStart w:id="1102" w:name="_Toc296944533"/>
      <w:bookmarkStart w:id="1103" w:name="_Toc297216200"/>
      <w:bookmarkStart w:id="1104" w:name="_Toc292559399"/>
      <w:bookmarkStart w:id="1105" w:name="_Toc292559904"/>
      <w:bookmarkStart w:id="1106" w:name="_Toc297048380"/>
      <w:bookmarkStart w:id="1107" w:name="_Toc300934990"/>
      <w:bookmarkStart w:id="1108" w:name="_Toc296503194"/>
      <w:bookmarkStart w:id="1109" w:name="_Toc296891022"/>
      <w:bookmarkStart w:id="1110" w:name="_Toc296346695"/>
      <w:bookmarkStart w:id="1111" w:name="_Toc296891234"/>
      <w:bookmarkStart w:id="1112" w:name="_Toc312678026"/>
      <w:r>
        <w:rPr>
          <w:rFonts w:hint="eastAsia" w:ascii="宋体" w:hAnsi="宋体" w:eastAsia="宋体" w:cs="宋体"/>
          <w:b/>
          <w:color w:val="auto"/>
          <w:kern w:val="2"/>
          <w:sz w:val="28"/>
          <w:szCs w:val="28"/>
          <w:highlight w:val="none"/>
          <w:lang w:val="en-US" w:eastAsia="zh-CN" w:bidi="ar-SA"/>
        </w:rPr>
        <w:t>0.1变更的范围</w:t>
      </w:r>
      <w:bookmarkEnd w:id="1094"/>
      <w:bookmarkEnd w:id="109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关于变更范围的约定：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（1）增加或减少合同中任何工作，或追加额外的工作；</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（2）取消合同中任何工作；</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（3）改变合同中任何工作的质量标准或其他特性；</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（4）改变工程的基线、标高、位置和尺寸；</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（5）适用于工程的标准和（或）规范变化导致需要对工程进行改变，且该改变导致工期和（或）费用变化的；</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（6）勘察设计变更；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（7）实施内容变更，包括因设计变更和非设计变更引起的实施地点、投资规模、结构型式、采购数量、服务内容等进行的调整，以及因此导致的合同价格、工期变更；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（8）项目管理人员变更；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（9）因人工、原材料等价格变化导致的合同总价变更；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（10）非实施内容变化导致的工期变更；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变更应当符合国家法律法规、强制标准和技术规范的要求，且合同变更后更加有利于工程的建设、运营、安全、节约资金、保护生态环境或者实现功能要求。发包人对项目合同变更承担主体责任。项目合同变更后，发包人应当与承包人签订补充协议。项目合同变更应当按照《重庆市政府投资项目合同变更管理暂行办法》要求进行信息公开。项目合同变更未获得通过的，发包人和承包人均不得擅自变更原合同约定事项，且不得就同一理由同一事项再提出变更。</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承包人对其提供的材料、工程设备、施工、无负荷试车、热负荷试车及图纸参数存在的缺陷，自费修正、调整和完善，不属于变更。</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113" w:name="_Toc532377372"/>
      <w:bookmarkStart w:id="1114" w:name="_Toc351203569"/>
      <w:bookmarkStart w:id="1115" w:name="_Toc532375636"/>
      <w:r>
        <w:rPr>
          <w:rFonts w:hint="eastAsia" w:ascii="宋体" w:hAnsi="宋体" w:eastAsia="宋体" w:cs="宋体"/>
          <w:b/>
          <w:color w:val="auto"/>
          <w:kern w:val="2"/>
          <w:sz w:val="28"/>
          <w:szCs w:val="28"/>
          <w:highlight w:val="none"/>
          <w:lang w:val="en-US" w:eastAsia="zh-CN" w:bidi="ar-SA"/>
        </w:rPr>
        <w:t>1</w:t>
      </w:r>
      <w:bookmarkStart w:id="1116" w:name="_Toc337558789"/>
      <w:bookmarkStart w:id="1117" w:name="_Toc296346586"/>
      <w:bookmarkStart w:id="1118" w:name="_Toc296503085"/>
      <w:r>
        <w:rPr>
          <w:rFonts w:hint="eastAsia" w:ascii="宋体" w:hAnsi="宋体" w:eastAsia="宋体" w:cs="宋体"/>
          <w:b/>
          <w:color w:val="auto"/>
          <w:kern w:val="2"/>
          <w:sz w:val="28"/>
          <w:szCs w:val="28"/>
          <w:highlight w:val="none"/>
          <w:lang w:val="en-US" w:eastAsia="zh-CN" w:bidi="ar-SA"/>
        </w:rPr>
        <w:t>0.2变更权</w:t>
      </w:r>
      <w:bookmarkEnd w:id="1113"/>
      <w:bookmarkEnd w:id="1114"/>
      <w:bookmarkEnd w:id="1115"/>
    </w:p>
    <w:bookmarkEnd w:id="1116"/>
    <w:bookmarkEnd w:id="1117"/>
    <w:bookmarkEnd w:id="1118"/>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10.2.1发包人和监理人提出变更</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监理人均可以提出变更。变更指示均通过监理人以书面形式发出，监理人发出变更指示前应征得发包人同意。承包人收到经发包人签认的变更指示后，方可实施变更。未取得经发包人签认的变更指示，承包人不得实施任何变更。</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涉及设计变更的，应由设计人提供变更后的图纸和说明，交由发包人同意后由监理人以书面形式发出。如变更超过原设计标准或批准的建设规模时，由发包人及时办理规划、设计变更等审批手续。</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若出现重大设计变更，变更后的内容超出承包人资质或能力范围的，发包人将另行依法招标选择承包单位，无需征得承包人同意。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10.2.2 承包人提出变更建议</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可以向发包人提交书面变更建议，应当以承包人单位名义书面向发包人提出申请，详细说明变更的内容、理由，以及该变更对项目的工期、投资、质量、安全、运营管理、生态环境等的影响，客观反映项目合同变更的必要性和可行性，包括：</w:t>
      </w:r>
      <w:r>
        <w:rPr>
          <w:rFonts w:hint="eastAsia" w:ascii="宋体" w:hAnsi="宋体" w:eastAsia="宋体" w:cs="宋体"/>
          <w:color w:val="auto"/>
          <w:szCs w:val="21"/>
          <w:highlight w:val="none"/>
          <w:u w:val="single"/>
        </w:rPr>
        <w:t>缩短工期，降低发包人的工程、施工、维护、营运的费用，提高竣工工程的效率或价值，给发包人带来的长远利益和其他利益。发包人接到此类建议后，可以选择：不采纳/采纳/补充进一步资料的书面通知</w:t>
      </w:r>
      <w:r>
        <w:rPr>
          <w:rFonts w:hint="eastAsia" w:ascii="宋体" w:hAnsi="宋体" w:eastAsia="宋体" w:cs="宋体"/>
          <w:color w:val="auto"/>
          <w:szCs w:val="21"/>
          <w:highlight w:val="none"/>
        </w:rPr>
        <w:t>。</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如果发包人对承包人已实施的施工项目在发出重大设计变更之前要求承包人提出一份建议，那么，承包人应尽快提出：</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single"/>
        </w:rPr>
        <w:t>对所提方案和（或）待做工作及其实施计划的说明</w:t>
      </w:r>
      <w:r>
        <w:rPr>
          <w:rFonts w:hint="eastAsia" w:ascii="宋体" w:hAnsi="宋体" w:eastAsia="宋体" w:cs="宋体"/>
          <w:color w:val="auto"/>
          <w:szCs w:val="21"/>
          <w:highlight w:val="none"/>
        </w:rPr>
        <w:t>；</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eastAsia="宋体" w:cs="宋体"/>
          <w:color w:val="auto"/>
          <w:szCs w:val="21"/>
          <w:highlight w:val="none"/>
          <w:u w:val="single"/>
        </w:rPr>
        <w:t>承包人按照对工程进度计划进行必要修改的建议</w:t>
      </w:r>
      <w:r>
        <w:rPr>
          <w:rFonts w:hint="eastAsia" w:ascii="宋体" w:hAnsi="宋体" w:eastAsia="宋体" w:cs="宋体"/>
          <w:color w:val="auto"/>
          <w:szCs w:val="21"/>
          <w:highlight w:val="none"/>
        </w:rPr>
        <w:t>；</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（3）</w:t>
      </w:r>
      <w:r>
        <w:rPr>
          <w:rFonts w:hint="eastAsia" w:ascii="宋体" w:hAnsi="宋体" w:eastAsia="宋体" w:cs="宋体"/>
          <w:color w:val="auto"/>
          <w:szCs w:val="21"/>
          <w:highlight w:val="none"/>
          <w:u w:val="single"/>
        </w:rPr>
        <w:t>承包人发生较大返工损失增加费用的建议</w:t>
      </w:r>
      <w:r>
        <w:rPr>
          <w:rFonts w:hint="eastAsia" w:ascii="宋体" w:hAnsi="宋体" w:eastAsia="宋体" w:cs="宋体"/>
          <w:color w:val="auto"/>
          <w:szCs w:val="21"/>
          <w:highlight w:val="none"/>
        </w:rPr>
        <w:t>。</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发包人在收到上述建议书后，应尽快给予批准、否决或提出意见</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119" w:name="_Toc532377373"/>
      <w:bookmarkStart w:id="1120" w:name="_Toc532375637"/>
      <w:bookmarkStart w:id="1121" w:name="_Hlk528928195"/>
      <w:bookmarkStart w:id="1122" w:name="_Toc351203570"/>
      <w:r>
        <w:rPr>
          <w:rFonts w:hint="eastAsia" w:ascii="宋体" w:hAnsi="宋体" w:eastAsia="宋体" w:cs="宋体"/>
          <w:b/>
          <w:color w:val="auto"/>
          <w:kern w:val="2"/>
          <w:sz w:val="28"/>
          <w:szCs w:val="28"/>
          <w:highlight w:val="none"/>
          <w:lang w:val="en-US" w:eastAsia="zh-CN" w:bidi="ar-SA"/>
        </w:rPr>
        <w:t>1</w:t>
      </w:r>
      <w:bookmarkStart w:id="1123" w:name="_Toc296346587"/>
      <w:bookmarkStart w:id="1124" w:name="_Toc337558790"/>
      <w:bookmarkStart w:id="1125" w:name="_Toc296503086"/>
      <w:r>
        <w:rPr>
          <w:rFonts w:hint="eastAsia" w:ascii="宋体" w:hAnsi="宋体" w:eastAsia="宋体" w:cs="宋体"/>
          <w:b/>
          <w:color w:val="auto"/>
          <w:kern w:val="2"/>
          <w:sz w:val="28"/>
          <w:szCs w:val="28"/>
          <w:highlight w:val="none"/>
          <w:lang w:val="en-US" w:eastAsia="zh-CN" w:bidi="ar-SA"/>
        </w:rPr>
        <w:t>0.3变更程序</w:t>
      </w:r>
      <w:bookmarkEnd w:id="1119"/>
      <w:bookmarkEnd w:id="1120"/>
    </w:p>
    <w:bookmarkEnd w:id="1123"/>
    <w:bookmarkEnd w:id="1124"/>
    <w:bookmarkEnd w:id="1125"/>
    <w:p>
      <w:pPr>
        <w:autoSpaceDE w:val="0"/>
        <w:autoSpaceDN w:val="0"/>
        <w:spacing w:line="360" w:lineRule="auto"/>
        <w:ind w:firstLine="560" w:firstLineChars="200"/>
        <w:jc w:val="left"/>
        <w:rPr>
          <w:rFonts w:hint="eastAsia" w:ascii="宋体" w:hAnsi="宋体" w:eastAsia="宋体" w:cs="宋体"/>
          <w:color w:val="auto"/>
          <w:szCs w:val="21"/>
          <w:highlight w:val="none"/>
        </w:rPr>
      </w:pPr>
      <w:bookmarkStart w:id="1126" w:name="_Hlk524353972"/>
      <w:r>
        <w:rPr>
          <w:rFonts w:hint="eastAsia" w:ascii="宋体" w:hAnsi="宋体" w:eastAsia="宋体" w:cs="宋体"/>
          <w:color w:val="auto"/>
          <w:szCs w:val="21"/>
          <w:highlight w:val="none"/>
        </w:rPr>
        <w:t>10.3.3 变更执行</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一般设计变更：承包人收到监理人下达的变更指示后，应按照监理人下达的变更指示执行，并书面说明实施该变更指示对合同价格和工期的影响，按照第10.4.1项〔变更估价原则〕约定执行。</w:t>
      </w:r>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重大设计变更：需经设计人、监理人和发包人三方签名认可并报相关行业部门审查同意后实施。</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10.3.3 项增加以下内容：</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合同变更提出后，应当首先由发包人组织相关单位、专家进行论证。经论证确需变更的，发包人按照《重庆市政府投资项目合同变更管理暂行办法》规定的程序自行决策或者报批；经论证不需要变更的，继续按合同执行。</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项目的勘察设计、实施内容等作较大变更的，应当按照规定的程序报原审批部门审批；变更导致总投资超概的，应当报原投资概算核定部门核定。</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项目管理人员变更的，应当经发包人领导班子集体决策同意，并将变更信息推送给行业主管部门。变更后的项目管理人员应当符合</w:t>
      </w:r>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和行业主管部门的相关规定。</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因人工、原材料市场价格发生大幅度变化导致的合同总价变更，由发包人与承包人按照合同进行变更，并将变更信息推送给行业主管部门。</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项目实施内容无变更，因不可抗力导致的工期变更，由发包人领导班子集体决策同意，并将变更信息推送给行业主管部门；因项目实施内容变更导致的工期变更，与项目实施内容变更一并办理。</w:t>
      </w:r>
    </w:p>
    <w:p>
      <w:pPr>
        <w:autoSpaceDE w:val="0"/>
        <w:autoSpaceDN w:val="0"/>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项目合同变更后，增加的实施内容达到依法必须招标的规模标准的，增加的部分应当依法通过招标选择承包单位。</w:t>
      </w:r>
    </w:p>
    <w:bookmarkEnd w:id="1121"/>
    <w:bookmarkEnd w:id="1122"/>
    <w:bookmarkEnd w:id="1126"/>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127" w:name="_Toc532377374"/>
      <w:bookmarkStart w:id="1128" w:name="_Toc532375638"/>
      <w:r>
        <w:rPr>
          <w:rFonts w:hint="eastAsia" w:ascii="宋体" w:hAnsi="宋体" w:eastAsia="宋体" w:cs="宋体"/>
          <w:b/>
          <w:color w:val="auto"/>
          <w:kern w:val="2"/>
          <w:sz w:val="28"/>
          <w:szCs w:val="28"/>
          <w:highlight w:val="none"/>
          <w:lang w:val="en-US" w:eastAsia="zh-CN" w:bidi="ar-SA"/>
        </w:rPr>
        <w:t>10.4 变更估价</w:t>
      </w:r>
      <w:bookmarkEnd w:id="1127"/>
      <w:bookmarkEnd w:id="1128"/>
    </w:p>
    <w:p>
      <w:pPr>
        <w:spacing w:line="360" w:lineRule="auto"/>
        <w:ind w:firstLine="560" w:firstLineChars="200"/>
        <w:jc w:val="left"/>
        <w:rPr>
          <w:rFonts w:hint="eastAsia" w:ascii="宋体" w:hAnsi="宋体" w:eastAsia="宋体" w:cs="宋体"/>
          <w:color w:val="auto"/>
          <w:szCs w:val="21"/>
          <w:highlight w:val="none"/>
        </w:rPr>
      </w:pPr>
      <w:bookmarkStart w:id="1129" w:name="_Hlk524296629"/>
      <w:r>
        <w:rPr>
          <w:rFonts w:hint="eastAsia" w:ascii="宋体" w:hAnsi="宋体" w:eastAsia="宋体" w:cs="宋体"/>
          <w:color w:val="auto"/>
          <w:szCs w:val="21"/>
          <w:highlight w:val="none"/>
        </w:rPr>
        <w:t>10.4.1 变更估价原则</w:t>
      </w:r>
    </w:p>
    <w:p>
      <w:pPr>
        <w:pStyle w:val="23"/>
        <w:spacing w:after="0" w:line="360" w:lineRule="auto"/>
        <w:ind w:firstLine="64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当发生工程变更时，工程量按</w:t>
      </w:r>
      <w:r>
        <w:rPr>
          <w:rFonts w:hint="eastAsia" w:ascii="宋体" w:hAnsi="宋体" w:eastAsia="宋体" w:cs="宋体"/>
          <w:color w:val="auto"/>
          <w:szCs w:val="21"/>
          <w:highlight w:val="none"/>
          <w:lang w:val="zh-CN" w:eastAsia="zh-CN"/>
        </w:rPr>
        <w:t>区公共资源交易监督管理委员会《关于印发璧山区政府投资项目计价原则(2023年第3期)的通知》(璧公管办〔2023〕5号)、《建设工程工程量清单计价规范》（GB50500-2013）、《重庆市建设工程工程量清单计价规则》（CQJJGZ-2013）、《重庆市建设工程工程量计算规则》（CQJLGZ-2013）、2018年《重庆市通用安装工程计价定额》、2018年《重庆市市政工程计价定额》、2018年《重庆市建设工程费用定额》、重庆市住房城乡建委《关于适用增值税新税率调整建设工程计价依据的通知》（渝建〔2019〕143号）及相关配套文件</w:t>
      </w:r>
      <w:r>
        <w:rPr>
          <w:rFonts w:hint="eastAsia" w:ascii="宋体" w:hAnsi="宋体" w:eastAsia="宋体" w:cs="宋体"/>
          <w:color w:val="auto"/>
          <w:szCs w:val="21"/>
          <w:highlight w:val="none"/>
        </w:rPr>
        <w:t>规定的计算规则及已标价工程量清单规定的工程量计算规则计量，按以下办法计价：</w:t>
      </w:r>
      <w:bookmarkStart w:id="1130" w:name="_Hlk524770102"/>
    </w:p>
    <w:bookmarkEnd w:id="1130"/>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10.4.1.1已标价工程量清单中有相同项目的，按照相同项目单价计算；</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10.4.1.2已标价工程量清单中有类似项目的，参考类似项目单价计算（由实施</w:t>
      </w:r>
      <w:r>
        <w:rPr>
          <w:rFonts w:hint="eastAsia" w:ascii="宋体" w:hAnsi="宋体" w:cs="宋体"/>
          <w:color w:val="auto"/>
          <w:szCs w:val="21"/>
          <w:highlight w:val="none"/>
          <w:lang w:eastAsia="zh-CN"/>
        </w:rPr>
        <w:t>采购人</w:t>
      </w:r>
      <w:r>
        <w:rPr>
          <w:rFonts w:hint="eastAsia" w:ascii="宋体" w:hAnsi="宋体" w:eastAsia="宋体" w:cs="宋体"/>
          <w:color w:val="auto"/>
          <w:szCs w:val="21"/>
          <w:highlight w:val="none"/>
        </w:rPr>
        <w:t>认定）；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10.4.1.3已标价工程量清单中无相同项目亦无类似项目的，按照以下原则执行：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zh-CN" w:eastAsia="zh-CN"/>
        </w:rPr>
        <w:t>区公共资源交易监督管理委员会《关于印发璧山区政府投资项目计价原则(2023年第3期)的通知》(璧公管办〔2023〕5号)</w:t>
      </w:r>
      <w:r>
        <w:rPr>
          <w:rFonts w:hint="eastAsia" w:ascii="宋体" w:hAnsi="宋体" w:cs="宋体"/>
          <w:color w:val="auto"/>
          <w:szCs w:val="21"/>
          <w:highlight w:val="none"/>
          <w:lang w:val="zh-CN" w:eastAsia="zh-CN"/>
        </w:rPr>
        <w:t>、</w:t>
      </w:r>
      <w:r>
        <w:rPr>
          <w:rFonts w:hint="eastAsia" w:ascii="宋体" w:hAnsi="宋体" w:eastAsia="宋体" w:cs="宋体"/>
          <w:color w:val="auto"/>
          <w:szCs w:val="21"/>
          <w:highlight w:val="none"/>
        </w:rPr>
        <w:t>《重庆市房屋建筑与装饰工程计价定额》（CQJZZSDE-2018）、《重庆市仿古建筑工程计价定额》（CQFGDE-2018）、《重庆市通用安装工程计价定额》（CQAZDE-2018）</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施工机械台班定额》（CQJXDE-2018）、《重庆市建设工程施工仪器仪表台班定额》（CQYQYBDE-2018）、《重庆市建设工程混凝土及砂浆配合比表》（CQPHBB-2018）、《重庆市建设工程费用定额》（CQFYDE-2018）及相关配套文件进行组价并按承包人报价浮动率下浮（认质核价的设备和材料不参与浮动），经发包人、监理人审定后执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承包人报价浮动率按下列公式计算：承包人报价浮动率=（1-</w:t>
      </w:r>
      <w:r>
        <w:rPr>
          <w:rFonts w:hint="eastAsia" w:ascii="宋体" w:hAnsi="宋体" w:cs="宋体"/>
          <w:color w:val="auto"/>
          <w:szCs w:val="21"/>
          <w:highlight w:val="none"/>
          <w:lang w:eastAsia="zh-CN"/>
        </w:rPr>
        <w:t>成交价</w:t>
      </w:r>
      <w:r>
        <w:rPr>
          <w:rFonts w:hint="eastAsia" w:ascii="宋体" w:hAnsi="宋体" w:eastAsia="宋体" w:cs="宋体"/>
          <w:color w:val="auto"/>
          <w:szCs w:val="21"/>
          <w:highlight w:val="none"/>
        </w:rPr>
        <w:t>/最高限价）×100%。</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（1）人工单价：参考重庆市城乡建委发布的2018年重庆市定额基价。</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（2）材料单价：</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首先按开标当期《璧山区政府投资项目计价原则》中约定的由重庆市璧山区住房和城乡建设委员会发布的价格执行，其次按开标当期重庆市住房和城乡建设工程造价总站主办的《重庆工程造价》发布的项目所在地的信息价执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开标当期《璧山区政府投资项目计价原则》中约定的由重庆市璧山区住房和城乡建设委员会发布的价格与重庆市住房和城乡建设工程造价总站主办的《重庆工程造价》中没有的，承包人投标报价中有的，按承包人投标报价中相同材料单价的最低值执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开标当期《璧山区政府投资项目计价原则》中约定的由重庆市璧山区住房和城乡建设委员会发布的价格、重庆市住房和城乡建设工程造价总站主办的《重庆工程造价》和承包人投标报价没有的，由承包人申报，发包人牵头会同监理人根据市场行情认质核价，并经发包人最终认确定为准。</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10.4.1.4已标价工程量清单中无相同项目亦无类似项目，也无定额可套用的，由承包人会同监理人、</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发包人按相关原则、编制方法编制补充定额（人工、材料、机械基价执行2018年计价定额的基价，2018年计价定额没有的基价，按市场价计），按照第10.4.1.3目约定执行；或参照重庆市场相同工作的市场价格上报监理人，最终价格按承包人、监理人、</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、发包人共同询价确认的价格执行。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本款补充10.4.3项：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10.4.3工程变更引起施工方案改变并使措施项目发生变化时，承包人提出调整措施项目费的，应事前将拟实施的方案提交监理人审核报发包人确认，并应详细说明与原方案措施项目相比的变化情况。拟实施的方案经发承包双方确认后执行，并应按照下列规定调整措施项目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安全文明施工费应按照实际发生变化的措施项目依据现行安全文明施工费计取及管理政策规定及《重庆市建设工程费用定额》（CQFYDE-2018）规定执行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按照单价计算的措施项目费，应按照实际发生变化的措施项目，按照第10.4.1项〔变更估价原则〕约定执行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按总价（或系数）计算的措施项目费，应按照实际发生变化的措施项目费按承包人报价浮动率下浮后的金额计算</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如果承包人未事前将拟实施的方案提交给发包人确认，则应视为工程变更不引起措施项目费的调整或承包人放弃调整措施项目费的权利</w:t>
      </w:r>
      <w:r>
        <w:rPr>
          <w:rFonts w:hint="eastAsia" w:ascii="宋体" w:hAnsi="宋体" w:eastAsia="宋体" w:cs="宋体"/>
          <w:color w:val="auto"/>
          <w:szCs w:val="21"/>
          <w:highlight w:val="none"/>
        </w:rPr>
        <w:t>。</w:t>
      </w:r>
    </w:p>
    <w:bookmarkEnd w:id="1129"/>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131" w:name="_Toc532377375"/>
      <w:bookmarkStart w:id="1132" w:name="_Toc532375639"/>
      <w:r>
        <w:rPr>
          <w:rFonts w:hint="eastAsia" w:ascii="宋体" w:hAnsi="宋体" w:eastAsia="宋体" w:cs="宋体"/>
          <w:b/>
          <w:color w:val="auto"/>
          <w:kern w:val="2"/>
          <w:sz w:val="28"/>
          <w:szCs w:val="28"/>
          <w:highlight w:val="none"/>
          <w:lang w:val="en-US" w:eastAsia="zh-CN" w:bidi="ar-SA"/>
        </w:rPr>
        <w:t>1</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Start w:id="1133" w:name="_Toc297120497"/>
      <w:bookmarkStart w:id="1134" w:name="_Toc297216203"/>
      <w:bookmarkStart w:id="1135" w:name="_Toc297048383"/>
      <w:bookmarkStart w:id="1136" w:name="_Toc297123544"/>
      <w:bookmarkStart w:id="1137" w:name="_Toc300934993"/>
      <w:bookmarkStart w:id="1138" w:name="_Toc296347196"/>
      <w:bookmarkStart w:id="1139" w:name="_Toc303539150"/>
      <w:bookmarkStart w:id="1140" w:name="_Toc296346698"/>
      <w:bookmarkStart w:id="1141" w:name="_Toc296503197"/>
      <w:bookmarkStart w:id="1142" w:name="_Toc296944536"/>
      <w:bookmarkStart w:id="1143" w:name="_Toc292559402"/>
      <w:bookmarkStart w:id="1144" w:name="_Toc292559907"/>
      <w:bookmarkStart w:id="1145" w:name="_Toc296891025"/>
      <w:bookmarkStart w:id="1146" w:name="_Toc296891237"/>
      <w:bookmarkStart w:id="1147" w:name="_Toc312678029"/>
      <w:bookmarkStart w:id="1148" w:name="_Toc312677503"/>
      <w:bookmarkStart w:id="1149" w:name="_Toc304295570"/>
      <w:r>
        <w:rPr>
          <w:rFonts w:hint="eastAsia" w:ascii="宋体" w:hAnsi="宋体" w:eastAsia="宋体" w:cs="宋体"/>
          <w:b/>
          <w:color w:val="auto"/>
          <w:kern w:val="2"/>
          <w:sz w:val="28"/>
          <w:szCs w:val="28"/>
          <w:highlight w:val="none"/>
          <w:lang w:val="en-US" w:eastAsia="zh-CN" w:bidi="ar-SA"/>
        </w:rPr>
        <w:t>0.5承</w:t>
      </w:r>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Start w:id="1150" w:name="_Toc297120503"/>
      <w:bookmarkStart w:id="1151" w:name="_Toc296503203"/>
      <w:bookmarkStart w:id="1152" w:name="_Toc296891243"/>
      <w:bookmarkStart w:id="1153" w:name="_Toc292559408"/>
      <w:bookmarkStart w:id="1154" w:name="_Toc296346704"/>
      <w:bookmarkStart w:id="1155" w:name="_Toc296944542"/>
      <w:bookmarkStart w:id="1156" w:name="_Toc296891031"/>
      <w:bookmarkStart w:id="1157" w:name="_Toc300934994"/>
      <w:bookmarkStart w:id="1158" w:name="_Toc297048389"/>
      <w:bookmarkStart w:id="1159" w:name="_Toc297123545"/>
      <w:bookmarkStart w:id="1160" w:name="_Toc303539151"/>
      <w:bookmarkStart w:id="1161" w:name="_Toc292559913"/>
      <w:bookmarkStart w:id="1162" w:name="_Toc297216204"/>
      <w:bookmarkStart w:id="1163" w:name="_Toc296347202"/>
      <w:r>
        <w:rPr>
          <w:rFonts w:hint="eastAsia" w:ascii="宋体" w:hAnsi="宋体" w:eastAsia="宋体" w:cs="宋体"/>
          <w:b/>
          <w:color w:val="auto"/>
          <w:kern w:val="2"/>
          <w:sz w:val="28"/>
          <w:szCs w:val="28"/>
          <w:highlight w:val="none"/>
          <w:lang w:val="en-US" w:eastAsia="zh-CN" w:bidi="ar-SA"/>
        </w:rPr>
        <w:t>包人的合理化建议</w:t>
      </w:r>
      <w:bookmarkEnd w:id="1131"/>
      <w:bookmarkEnd w:id="1132"/>
    </w:p>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承包人提出合理化建议的，应向监理人提交合理化建议说明，说明建议的内容和理由，以及实施该建议对合同价格和（或）工期和（或）工程经济效益的影响。</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监理人审查承包人合理化建议的期限：</w:t>
      </w:r>
      <w:r>
        <w:rPr>
          <w:rFonts w:hint="eastAsia" w:ascii="宋体" w:hAnsi="宋体" w:eastAsia="宋体" w:cs="宋体"/>
          <w:color w:val="auto"/>
          <w:szCs w:val="21"/>
          <w:highlight w:val="none"/>
          <w:u w:val="single"/>
        </w:rPr>
        <w:t>不超过14天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发包人审批承包人合理化建议的期限：</w:t>
      </w:r>
      <w:r>
        <w:rPr>
          <w:rFonts w:hint="eastAsia" w:ascii="宋体" w:hAnsi="宋体" w:eastAsia="宋体" w:cs="宋体"/>
          <w:color w:val="auto"/>
          <w:szCs w:val="21"/>
          <w:highlight w:val="none"/>
          <w:u w:val="single"/>
        </w:rPr>
        <w:t>不超过14天</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w:t>
      </w:r>
      <w:bookmarkStart w:id="1164" w:name="_Toc296347203"/>
      <w:bookmarkStart w:id="1165" w:name="_Toc292559409"/>
      <w:bookmarkStart w:id="1166" w:name="_Toc297123546"/>
      <w:bookmarkStart w:id="1167" w:name="_Toc300934995"/>
      <w:bookmarkStart w:id="1168" w:name="_Toc292559914"/>
      <w:bookmarkStart w:id="1169" w:name="_Toc296891032"/>
      <w:bookmarkStart w:id="1170" w:name="_Toc297120504"/>
      <w:bookmarkStart w:id="1171" w:name="_Toc304295571"/>
      <w:bookmarkStart w:id="1172" w:name="_Toc312678030"/>
      <w:bookmarkStart w:id="1173" w:name="_Toc312677504"/>
      <w:bookmarkStart w:id="1174" w:name="_Toc303539152"/>
      <w:bookmarkStart w:id="1175" w:name="_Toc297216205"/>
      <w:bookmarkStart w:id="1176" w:name="_Toc296503204"/>
      <w:bookmarkStart w:id="1177" w:name="_Toc318581175"/>
      <w:bookmarkStart w:id="1178" w:name="_Toc297048390"/>
      <w:bookmarkStart w:id="1179" w:name="_Toc296944543"/>
      <w:bookmarkStart w:id="1180" w:name="_Toc296346705"/>
      <w:bookmarkStart w:id="1181" w:name="_Toc296891244"/>
      <w:r>
        <w:rPr>
          <w:rFonts w:hint="eastAsia" w:ascii="宋体" w:hAnsi="宋体" w:eastAsia="宋体" w:cs="宋体"/>
          <w:color w:val="auto"/>
          <w:szCs w:val="21"/>
          <w:highlight w:val="none"/>
        </w:rPr>
        <w:t>包人提出的合理化建议降低了合同价格或缩短了工期或者提高了工程经济效益的奖励的方法和金额为：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rPr>
        <w:t>。</w:t>
      </w:r>
    </w:p>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182" w:name="_Toc532377376"/>
      <w:bookmarkStart w:id="1183" w:name="_Toc532375640"/>
      <w:r>
        <w:rPr>
          <w:rFonts w:hint="eastAsia" w:ascii="宋体" w:hAnsi="宋体" w:eastAsia="宋体" w:cs="宋体"/>
          <w:b/>
          <w:color w:val="auto"/>
          <w:kern w:val="2"/>
          <w:sz w:val="28"/>
          <w:szCs w:val="28"/>
          <w:highlight w:val="none"/>
          <w:lang w:val="en-US" w:eastAsia="zh-CN" w:bidi="ar-SA"/>
        </w:rPr>
        <w:t>1</w:t>
      </w:r>
      <w:bookmarkStart w:id="1184" w:name="_Toc297123548"/>
      <w:bookmarkStart w:id="1185" w:name="_Toc296347198"/>
      <w:bookmarkStart w:id="1186" w:name="_Toc296346700"/>
      <w:bookmarkStart w:id="1187" w:name="_Toc296944538"/>
      <w:bookmarkStart w:id="1188" w:name="_Toc292559909"/>
      <w:bookmarkStart w:id="1189" w:name="_Toc304295574"/>
      <w:bookmarkStart w:id="1190" w:name="_Toc297216207"/>
      <w:bookmarkStart w:id="1191" w:name="_Toc297120499"/>
      <w:bookmarkStart w:id="1192" w:name="_Toc296891239"/>
      <w:bookmarkStart w:id="1193" w:name="_Toc296891027"/>
      <w:bookmarkStart w:id="1194" w:name="_Toc300934997"/>
      <w:bookmarkStart w:id="1195" w:name="_Toc312677507"/>
      <w:bookmarkStart w:id="1196" w:name="_Toc296503199"/>
      <w:bookmarkStart w:id="1197" w:name="_Toc297048385"/>
      <w:bookmarkStart w:id="1198" w:name="_Toc303539154"/>
      <w:bookmarkStart w:id="1199" w:name="_Toc292559404"/>
      <w:bookmarkStart w:id="1200" w:name="_Toc312678033"/>
      <w:r>
        <w:rPr>
          <w:rFonts w:hint="eastAsia" w:ascii="宋体" w:hAnsi="宋体" w:eastAsia="宋体" w:cs="宋体"/>
          <w:b/>
          <w:color w:val="auto"/>
          <w:kern w:val="2"/>
          <w:sz w:val="28"/>
          <w:szCs w:val="28"/>
          <w:highlight w:val="none"/>
          <w:lang w:val="en-US" w:eastAsia="zh-CN" w:bidi="ar-SA"/>
        </w:rPr>
        <w:t>0.7 暂估价</w:t>
      </w:r>
      <w:bookmarkEnd w:id="1182"/>
      <w:bookmarkEnd w:id="1183"/>
    </w:p>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专业工程暂估价：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万元。</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项合同估算价在国家相关法律法规规定必须招标规模以下的，符合可以不招标相关规定的，由承包人采取交钥匙工程模式实施，发包人配合。承包人（需在允许资质范围内）或承包人委托的有资质的专业分包单位实施。费用估价按照第10.4.1项〔变更估价原则〕执行，承包人申报，经监理人、</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、发包人共同审定。审定后根据承包人签订的相关合同（需经监理人、</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、发包人共同确认）约定，由承包人申报，随进度款按与相关单位签订的合同约定一并支付。</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单项合同暂估价在国家相关法律法规规定必须招标规模以上的，需依法必须招标的，由承包人、发包人共同招标确定。</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201" w:name="_Toc532375641"/>
      <w:bookmarkStart w:id="1202" w:name="_Toc532377377"/>
      <w:r>
        <w:rPr>
          <w:rFonts w:hint="eastAsia" w:ascii="宋体" w:hAnsi="宋体" w:eastAsia="宋体" w:cs="宋体"/>
          <w:b/>
          <w:color w:val="auto"/>
          <w:kern w:val="2"/>
          <w:sz w:val="28"/>
          <w:szCs w:val="28"/>
          <w:highlight w:val="none"/>
          <w:lang w:val="en-US" w:eastAsia="zh-CN" w:bidi="ar-SA"/>
        </w:rPr>
        <w:t>10.8 暂列金额</w:t>
      </w:r>
      <w:bookmarkEnd w:id="1201"/>
      <w:bookmarkEnd w:id="1202"/>
    </w:p>
    <w:p>
      <w:pPr>
        <w:autoSpaceDE w:val="0"/>
        <w:autoSpaceDN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合同当事人关于暂列金额使用的约定：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bookmarkStart w:id="1203" w:name="_Toc532377378"/>
      <w:bookmarkStart w:id="1204" w:name="_Toc351203643"/>
      <w:bookmarkStart w:id="1205" w:name="_Toc532375642"/>
    </w:p>
    <w:p>
      <w:pPr>
        <w:numPr>
          <w:ilvl w:val="0"/>
          <w:numId w:val="16"/>
        </w:numPr>
        <w:autoSpaceDE w:val="0"/>
        <w:autoSpaceDN w:val="0"/>
        <w:spacing w:line="360" w:lineRule="auto"/>
        <w:ind w:firstLine="562"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价格调整</w:t>
      </w:r>
      <w:bookmarkEnd w:id="1088"/>
      <w:bookmarkEnd w:id="1089"/>
      <w:bookmarkEnd w:id="1090"/>
      <w:bookmarkEnd w:id="1091"/>
      <w:bookmarkEnd w:id="1092"/>
      <w:bookmarkEnd w:id="1093"/>
      <w:bookmarkEnd w:id="1203"/>
      <w:bookmarkEnd w:id="1204"/>
      <w:bookmarkEnd w:id="1205"/>
      <w:bookmarkStart w:id="1206" w:name="_Toc532377381"/>
      <w:bookmarkStart w:id="1207" w:name="_Toc532375645"/>
      <w:bookmarkStart w:id="1208" w:name="_Toc296891245"/>
      <w:bookmarkStart w:id="1209" w:name="_Toc296503205"/>
      <w:bookmarkStart w:id="1210" w:name="_Toc297048391"/>
      <w:bookmarkStart w:id="1211" w:name="_Toc296346706"/>
      <w:bookmarkStart w:id="1212" w:name="_Toc296891033"/>
      <w:bookmarkStart w:id="1213" w:name="_Toc296347204"/>
      <w:bookmarkStart w:id="1214" w:name="_Toc297120505"/>
      <w:bookmarkStart w:id="1215" w:name="_Toc292559410"/>
      <w:bookmarkStart w:id="1216" w:name="_Toc292559915"/>
      <w:bookmarkStart w:id="1217" w:name="_Toc296944544"/>
      <w:bookmarkStart w:id="1218" w:name="_Toc351203644"/>
      <w:bookmarkStart w:id="1219" w:name="_Toc312678040"/>
      <w:bookmarkStart w:id="1220" w:name="_Toc297216211"/>
      <w:bookmarkStart w:id="1221" w:name="_Toc303539159"/>
      <w:bookmarkStart w:id="1222" w:name="_Toc300935002"/>
      <w:bookmarkStart w:id="1223" w:name="_Toc304295579"/>
      <w:bookmarkStart w:id="1224" w:name="_Toc297123552"/>
    </w:p>
    <w:p>
      <w:pPr>
        <w:numPr>
          <w:ilvl w:val="1"/>
          <w:numId w:val="16"/>
        </w:numPr>
        <w:autoSpaceDE w:val="0"/>
        <w:autoSpaceDN w:val="0"/>
        <w:spacing w:line="360" w:lineRule="auto"/>
        <w:ind w:firstLine="562"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市场价格波动引起的调整</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市场价格波动是否调整合同价格的约定：合同工期六个月以上（不含六个月），且市场价格波动幅度符合第11.1.1项〔人工费价差调整办法〕和（或）第11.1.2项〔材料费价差调整办法〕约定的，按第11.1.1项〔人工费价差调整办法〕和（或）第11.1.2项〔材料费价差调整办法〕约定调整合同价格；第11.1.1项〔人工费价差调整办法〕和（或）第11.1.2项〔材料费价差调整办法〕约定的调差条件之外的市场价格波动风险不调整合同价格，风险费用由承包人自行考虑后纳入签约合同价格中，包干使用。</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因市场价格波动调整合同价格，采用以下第2种方式对合同价格进行调整：</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第1种方式：采用价格指数进行价格调整。</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 xml:space="preserve">关于各可调因子、定值和变值权重，以及基本价格指数及其来源的约定： </w:t>
      </w:r>
      <w:r>
        <w:rPr>
          <w:rFonts w:hint="eastAsia" w:ascii="宋体" w:hAnsi="宋体" w:eastAsia="宋体" w:cs="宋体"/>
          <w:b w:val="0"/>
          <w:color w:val="auto"/>
          <w:kern w:val="2"/>
          <w:sz w:val="28"/>
          <w:szCs w:val="21"/>
          <w:highlight w:val="none"/>
          <w:u w:val="single"/>
          <w:lang w:val="en-US" w:eastAsia="zh-CN" w:bidi="ar-SA"/>
        </w:rPr>
        <w:t xml:space="preserve">/ </w:t>
      </w:r>
      <w:r>
        <w:rPr>
          <w:rFonts w:hint="eastAsia" w:ascii="宋体" w:hAnsi="宋体" w:eastAsia="宋体" w:cs="宋体"/>
          <w:b w:val="0"/>
          <w:color w:val="auto"/>
          <w:kern w:val="2"/>
          <w:sz w:val="28"/>
          <w:szCs w:val="21"/>
          <w:highlight w:val="none"/>
          <w:lang w:val="en-US" w:eastAsia="zh-CN" w:bidi="ar-SA"/>
        </w:rPr>
        <w:t>；</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 xml:space="preserve">第2种方式：采用造价信息进行价格调整，调整方法如下： </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11.1.1人工费价差调整办法</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按定额基价执行，不调整价差。</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11.1.2 材料费价差调整办法</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可调价差材料：按开标当期《璧山区政府投资项目计价原则》中约定需调整价差的材料进行表述，具体调整价差的材料为：(由</w:t>
      </w:r>
      <w:r>
        <w:rPr>
          <w:rFonts w:hint="eastAsia" w:ascii="宋体" w:hAnsi="宋体" w:cs="宋体"/>
          <w:b w:val="0"/>
          <w:color w:val="auto"/>
          <w:kern w:val="2"/>
          <w:sz w:val="28"/>
          <w:szCs w:val="21"/>
          <w:highlight w:val="none"/>
          <w:lang w:val="en-US" w:eastAsia="zh-CN" w:bidi="ar-SA"/>
        </w:rPr>
        <w:t>采购人</w:t>
      </w:r>
      <w:r>
        <w:rPr>
          <w:rFonts w:hint="eastAsia" w:ascii="宋体" w:hAnsi="宋体" w:eastAsia="宋体" w:cs="宋体"/>
          <w:b w:val="0"/>
          <w:color w:val="auto"/>
          <w:kern w:val="2"/>
          <w:sz w:val="28"/>
          <w:szCs w:val="21"/>
          <w:highlight w:val="none"/>
          <w:lang w:val="en-US" w:eastAsia="zh-CN" w:bidi="ar-SA"/>
        </w:rPr>
        <w:t>具体完善需调整价差的材料)。</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可调价差材料的价差调整办法如下：</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按开标当期《璧山区政府投资项目计价原则》中明确的调整原则进行表述，具体材料价差调整原则为：(注：由</w:t>
      </w:r>
      <w:r>
        <w:rPr>
          <w:rFonts w:hint="eastAsia" w:ascii="宋体" w:hAnsi="宋体" w:cs="宋体"/>
          <w:b w:val="0"/>
          <w:color w:val="auto"/>
          <w:kern w:val="2"/>
          <w:sz w:val="28"/>
          <w:szCs w:val="21"/>
          <w:highlight w:val="none"/>
          <w:lang w:val="en-US" w:eastAsia="zh-CN" w:bidi="ar-SA"/>
        </w:rPr>
        <w:t>采购人</w:t>
      </w:r>
      <w:r>
        <w:rPr>
          <w:rFonts w:hint="eastAsia" w:ascii="宋体" w:hAnsi="宋体" w:eastAsia="宋体" w:cs="宋体"/>
          <w:b w:val="0"/>
          <w:color w:val="auto"/>
          <w:kern w:val="2"/>
          <w:sz w:val="28"/>
          <w:szCs w:val="21"/>
          <w:highlight w:val="none"/>
          <w:lang w:val="en-US" w:eastAsia="zh-CN" w:bidi="ar-SA"/>
        </w:rPr>
        <w:t>具体完善调整原则)。</w:t>
      </w:r>
    </w:p>
    <w:p>
      <w:pPr>
        <w:numPr>
          <w:ilvl w:val="1"/>
          <w:numId w:val="16"/>
        </w:numPr>
        <w:spacing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法律变化引起的调整</w:t>
      </w:r>
    </w:p>
    <w:p>
      <w:pPr>
        <w:spacing w:line="360" w:lineRule="auto"/>
        <w:ind w:firstLine="560" w:firstLineChars="200"/>
        <w:jc w:val="left"/>
        <w:rPr>
          <w:rFonts w:hint="eastAsia" w:ascii="宋体" w:hAnsi="宋体" w:eastAsia="宋体" w:cs="宋体"/>
          <w:b w:val="0"/>
          <w:color w:val="auto"/>
          <w:kern w:val="2"/>
          <w:sz w:val="28"/>
          <w:szCs w:val="21"/>
          <w:highlight w:val="none"/>
          <w:lang w:val="en-US" w:eastAsia="zh-CN" w:bidi="ar-SA"/>
        </w:rPr>
      </w:pPr>
      <w:r>
        <w:rPr>
          <w:rFonts w:hint="eastAsia" w:ascii="宋体" w:hAnsi="宋体" w:eastAsia="宋体" w:cs="宋体"/>
          <w:b w:val="0"/>
          <w:color w:val="auto"/>
          <w:kern w:val="2"/>
          <w:sz w:val="28"/>
          <w:szCs w:val="21"/>
          <w:highlight w:val="none"/>
          <w:lang w:val="en-US" w:eastAsia="zh-CN" w:bidi="ar-SA"/>
        </w:rPr>
        <w:t>项目投标基准日至竣工验收合格之日，国家或相关行政主管部门发布直接影响项目的新法规、新政策、新文件、新标准，属强制执行的，自执行之日执行，经发包人按《重庆市璧山区政府投资项目管理办法（2022年修订版）》（璧发改〔2022〕265号）规定报批审核同意后，由此增减的费用由发包人承担，估价照第10.4.1项〔变更估价原则〕执行；属选择性执行的，发包人与承包人协商解决。</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本条补充11.3款</w:t>
      </w:r>
    </w:p>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11.3 严重不平衡报价引起的调整</w:t>
      </w:r>
      <w:bookmarkEnd w:id="1206"/>
      <w:bookmarkEnd w:id="1207"/>
    </w:p>
    <w:p>
      <w:pPr>
        <w:keepNext w:val="0"/>
        <w:keepLines w:val="0"/>
        <w:widowControl/>
        <w:suppressLineNumbers w:val="0"/>
        <w:ind w:firstLine="560" w:firstLineChars="200"/>
        <w:jc w:val="left"/>
        <w:rPr>
          <w:rFonts w:hint="eastAsia" w:ascii="宋体" w:hAnsi="宋体" w:eastAsia="宋体" w:cs="宋体"/>
          <w:b w:val="0"/>
          <w:bCs w:val="0"/>
          <w:color w:val="auto"/>
          <w:kern w:val="2"/>
          <w:sz w:val="28"/>
          <w:szCs w:val="28"/>
          <w:highlight w:val="none"/>
          <w:lang w:val="en-US" w:eastAsia="zh-CN" w:bidi="ar-SA"/>
        </w:rPr>
      </w:pPr>
      <w:bookmarkStart w:id="1225" w:name="_Toc532377382"/>
      <w:bookmarkStart w:id="1226" w:name="_Toc532375646"/>
      <w:r>
        <w:rPr>
          <w:rFonts w:hint="eastAsia" w:ascii="宋体" w:hAnsi="宋体" w:eastAsia="宋体" w:cs="宋体"/>
          <w:b w:val="0"/>
          <w:bCs w:val="0"/>
          <w:color w:val="auto"/>
          <w:kern w:val="2"/>
          <w:sz w:val="28"/>
          <w:szCs w:val="28"/>
          <w:highlight w:val="none"/>
          <w:lang w:val="en-US" w:eastAsia="zh-CN" w:bidi="ar-SA"/>
        </w:rPr>
        <w:t>本项目工程实行总价与清单单价双控制的方式实施，不存在不平衡报价，无不平衡报价引起的价格调整。</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 xml:space="preserve">12. </w:t>
      </w:r>
      <w:bookmarkEnd w:id="1208"/>
      <w:bookmarkEnd w:id="1209"/>
      <w:bookmarkEnd w:id="1210"/>
      <w:bookmarkEnd w:id="1211"/>
      <w:bookmarkEnd w:id="1212"/>
      <w:bookmarkEnd w:id="1213"/>
      <w:bookmarkEnd w:id="1214"/>
      <w:bookmarkEnd w:id="1215"/>
      <w:bookmarkEnd w:id="1216"/>
      <w:bookmarkEnd w:id="1217"/>
      <w:r>
        <w:rPr>
          <w:rFonts w:hint="eastAsia" w:ascii="宋体" w:hAnsi="宋体" w:eastAsia="宋体" w:cs="宋体"/>
          <w:b/>
          <w:color w:val="auto"/>
          <w:kern w:val="2"/>
          <w:sz w:val="28"/>
          <w:szCs w:val="28"/>
          <w:highlight w:val="none"/>
          <w:lang w:val="en-US" w:eastAsia="zh-CN" w:bidi="ar-SA"/>
        </w:rPr>
        <w:t>合同价格、计量与支付</w:t>
      </w:r>
      <w:bookmarkEnd w:id="1218"/>
      <w:bookmarkEnd w:id="1225"/>
      <w:bookmarkEnd w:id="1226"/>
    </w:p>
    <w:bookmarkEnd w:id="1219"/>
    <w:bookmarkEnd w:id="1220"/>
    <w:bookmarkEnd w:id="1221"/>
    <w:bookmarkEnd w:id="1222"/>
    <w:bookmarkEnd w:id="1223"/>
    <w:bookmarkEnd w:id="1224"/>
    <w:p>
      <w:pPr>
        <w:pStyle w:val="7"/>
        <w:spacing w:before="0" w:beforeAutospacing="0" w:after="0" w:afterAutospacing="0" w:line="360" w:lineRule="auto"/>
        <w:ind w:left="0" w:leftChars="0" w:firstLine="562" w:firstLineChars="200"/>
        <w:jc w:val="left"/>
        <w:rPr>
          <w:rFonts w:hint="eastAsia" w:ascii="宋体" w:hAnsi="宋体" w:eastAsia="宋体" w:cs="宋体"/>
          <w:b/>
          <w:color w:val="auto"/>
          <w:kern w:val="2"/>
          <w:sz w:val="28"/>
          <w:szCs w:val="28"/>
          <w:highlight w:val="none"/>
          <w:lang w:val="en-US" w:eastAsia="zh-CN" w:bidi="ar-SA"/>
        </w:rPr>
      </w:pPr>
      <w:bookmarkStart w:id="1227" w:name="_Toc292559916"/>
      <w:bookmarkStart w:id="1228" w:name="_Toc292559411"/>
      <w:bookmarkStart w:id="1229" w:name="_Toc267251461"/>
      <w:bookmarkStart w:id="1230" w:name="_Toc296891034"/>
      <w:bookmarkStart w:id="1231" w:name="_Toc296347205"/>
      <w:bookmarkStart w:id="1232" w:name="_Toc297048392"/>
      <w:bookmarkStart w:id="1233" w:name="_Toc296346707"/>
      <w:bookmarkStart w:id="1234" w:name="_Toc296891246"/>
      <w:bookmarkStart w:id="1235" w:name="_Toc297120506"/>
      <w:bookmarkStart w:id="1236" w:name="_Toc296503206"/>
      <w:bookmarkStart w:id="1237" w:name="_Toc296944545"/>
      <w:bookmarkStart w:id="1238" w:name="_Toc532375647"/>
      <w:bookmarkStart w:id="1239" w:name="_Toc532377383"/>
      <w:bookmarkStart w:id="1240" w:name="_Toc297123553"/>
      <w:bookmarkStart w:id="1241" w:name="_Toc297216212"/>
      <w:bookmarkStart w:id="1242" w:name="_Toc312678041"/>
      <w:bookmarkStart w:id="1243" w:name="_Toc300935003"/>
      <w:bookmarkStart w:id="1244" w:name="_Toc304295580"/>
      <w:bookmarkStart w:id="1245" w:name="_Toc303539160"/>
      <w:r>
        <w:rPr>
          <w:rFonts w:hint="eastAsia" w:ascii="宋体" w:hAnsi="宋体" w:eastAsia="宋体" w:cs="宋体"/>
          <w:b/>
          <w:color w:val="auto"/>
          <w:kern w:val="2"/>
          <w:sz w:val="28"/>
          <w:szCs w:val="28"/>
          <w:highlight w:val="none"/>
          <w:lang w:val="en-US" w:eastAsia="zh-CN" w:bidi="ar-SA"/>
        </w:rPr>
        <w:t>12.1 合</w:t>
      </w:r>
      <w:bookmarkEnd w:id="1227"/>
      <w:bookmarkEnd w:id="1228"/>
      <w:bookmarkEnd w:id="1229"/>
      <w:r>
        <w:rPr>
          <w:rFonts w:hint="eastAsia" w:ascii="宋体" w:hAnsi="宋体" w:eastAsia="宋体" w:cs="宋体"/>
          <w:b/>
          <w:color w:val="auto"/>
          <w:kern w:val="2"/>
          <w:sz w:val="28"/>
          <w:szCs w:val="28"/>
          <w:highlight w:val="none"/>
          <w:lang w:val="en-US" w:eastAsia="zh-CN" w:bidi="ar-SA"/>
        </w:rPr>
        <w:t>同价</w:t>
      </w:r>
      <w:bookmarkEnd w:id="1230"/>
      <w:bookmarkEnd w:id="1231"/>
      <w:bookmarkEnd w:id="1232"/>
      <w:bookmarkEnd w:id="1233"/>
      <w:bookmarkEnd w:id="1234"/>
      <w:bookmarkEnd w:id="1235"/>
      <w:bookmarkEnd w:id="1236"/>
      <w:bookmarkEnd w:id="1237"/>
      <w:r>
        <w:rPr>
          <w:rFonts w:hint="eastAsia" w:ascii="宋体" w:hAnsi="宋体" w:eastAsia="宋体" w:cs="宋体"/>
          <w:b/>
          <w:color w:val="auto"/>
          <w:kern w:val="2"/>
          <w:sz w:val="28"/>
          <w:szCs w:val="28"/>
          <w:highlight w:val="none"/>
          <w:lang w:val="en-US" w:eastAsia="zh-CN" w:bidi="ar-SA"/>
        </w:rPr>
        <w:t>格形式</w:t>
      </w:r>
      <w:bookmarkEnd w:id="1238"/>
      <w:bookmarkEnd w:id="1239"/>
    </w:p>
    <w:bookmarkEnd w:id="1240"/>
    <w:bookmarkEnd w:id="1241"/>
    <w:bookmarkEnd w:id="1242"/>
    <w:bookmarkEnd w:id="1243"/>
    <w:bookmarkEnd w:id="1244"/>
    <w:bookmarkEnd w:id="1245"/>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1、单价合同。</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b w:val="0"/>
          <w:bCs w:val="0"/>
          <w:color w:val="auto"/>
          <w:kern w:val="2"/>
          <w:sz w:val="28"/>
          <w:szCs w:val="28"/>
          <w:highlight w:val="none"/>
          <w:lang w:val="en-US" w:eastAsia="zh-CN" w:bidi="ar-SA"/>
        </w:rPr>
        <w:t>综合单价包含的风险范围：包括但不限于为实施和完成合同工程所需的人工费、材料费、施工机具使用费、</w:t>
      </w:r>
      <w:r>
        <w:rPr>
          <w:rFonts w:hint="eastAsia" w:ascii="宋体" w:hAnsi="宋体" w:eastAsia="宋体" w:cs="宋体"/>
          <w:color w:val="auto"/>
          <w:szCs w:val="21"/>
          <w:highlight w:val="none"/>
          <w:u w:val="single"/>
        </w:rPr>
        <w:t>企业管理费、利润、风险费、施工技术措施项目费、施工组织措施项目费及缺陷修复等费用，以及</w:t>
      </w:r>
      <w:bookmarkStart w:id="1246" w:name="_Hlk528508096"/>
      <w:r>
        <w:rPr>
          <w:rFonts w:hint="eastAsia" w:ascii="宋体" w:hAnsi="宋体" w:eastAsia="宋体" w:cs="宋体"/>
          <w:color w:val="auto"/>
          <w:szCs w:val="21"/>
          <w:highlight w:val="none"/>
          <w:u w:val="single"/>
        </w:rPr>
        <w:t>第11.1款〔市场价格波动引起的调整〕约定范围内的市场价格波动风险、政策性文件规定的各项应有费用、</w:t>
      </w:r>
      <w:bookmarkEnd w:id="1246"/>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和合同明示或暗示的应由承包人承担的所有责任、义务和风险等所需的费用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由承包人自行考虑并计入签约合同价格中，包干使用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按照合同相关条款约定执行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2、总价合同。</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总价包含的风险范围：</w:t>
      </w:r>
      <w:r>
        <w:rPr>
          <w:rFonts w:hint="eastAsia" w:ascii="宋体" w:hAnsi="宋体" w:eastAsia="宋体" w:cs="宋体"/>
          <w:color w:val="auto"/>
          <w:szCs w:val="21"/>
          <w:highlight w:val="none"/>
          <w:u w:val="single"/>
        </w:rPr>
        <w:t>包括但不限于为实施和完成合同工程所需的人工费、材料费、施工机具使用费、企业管理费、利润、风险费、施工技术措施项目费、施工组织措施项目费、总承包服务费、规费和税金及缺陷修复等费用，以及第11.1款〔市场价格波动引起的调整〕约定范围内的市场价格波动风险、政策性文件规定的各项应有费用、</w:t>
      </w:r>
      <w:r>
        <w:rPr>
          <w:rFonts w:hint="eastAsia" w:ascii="宋体" w:hAnsi="宋体" w:cs="宋体"/>
          <w:color w:val="auto"/>
          <w:szCs w:val="21"/>
          <w:highlight w:val="none"/>
          <w:u w:val="single"/>
          <w:lang w:eastAsia="zh-CN"/>
        </w:rPr>
        <w:t>磋商文件</w:t>
      </w:r>
      <w:r>
        <w:rPr>
          <w:rFonts w:hint="eastAsia" w:ascii="宋体" w:hAnsi="宋体" w:eastAsia="宋体" w:cs="宋体"/>
          <w:color w:val="auto"/>
          <w:szCs w:val="21"/>
          <w:highlight w:val="none"/>
          <w:u w:val="single"/>
        </w:rPr>
        <w:t>和合同明示或暗示的应由承包人承担的所有责任、义务和风险等所需的费用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风险费用的计算方法：</w:t>
      </w:r>
      <w:r>
        <w:rPr>
          <w:rFonts w:hint="eastAsia" w:ascii="宋体" w:hAnsi="宋体" w:eastAsia="宋体" w:cs="宋体"/>
          <w:color w:val="auto"/>
          <w:szCs w:val="21"/>
          <w:highlight w:val="none"/>
          <w:u w:val="single"/>
        </w:rPr>
        <w:t>由承包人自行考虑并计入签约合同价格中，包干使用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风险范围以外合同价格的调整方法：</w:t>
      </w:r>
      <w:r>
        <w:rPr>
          <w:rFonts w:hint="eastAsia" w:ascii="宋体" w:hAnsi="宋体" w:eastAsia="宋体" w:cs="宋体"/>
          <w:color w:val="auto"/>
          <w:szCs w:val="21"/>
          <w:highlight w:val="none"/>
          <w:u w:val="single"/>
        </w:rPr>
        <w:t>按照合同相关条款约定执行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3、其他价格方式：</w:t>
      </w:r>
      <w:r>
        <w:rPr>
          <w:rFonts w:hint="eastAsia" w:ascii="宋体" w:hAnsi="宋体" w:eastAsia="宋体" w:cs="宋体"/>
          <w:color w:val="auto"/>
          <w:szCs w:val="21"/>
          <w:highlight w:val="none"/>
          <w:u w:val="single"/>
        </w:rPr>
        <w:t>不采用</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843" w:firstLineChars="300"/>
        <w:rPr>
          <w:rFonts w:hint="eastAsia" w:ascii="宋体" w:hAnsi="宋体" w:eastAsia="宋体" w:cs="宋体"/>
          <w:b/>
          <w:color w:val="auto"/>
          <w:kern w:val="2"/>
          <w:sz w:val="28"/>
          <w:szCs w:val="28"/>
          <w:highlight w:val="none"/>
          <w:lang w:val="en-US" w:eastAsia="zh-CN" w:bidi="ar-SA"/>
        </w:rPr>
      </w:pPr>
      <w:bookmarkStart w:id="1247" w:name="_Toc532377384"/>
      <w:bookmarkStart w:id="1248" w:name="_Toc532375648"/>
      <w:bookmarkStart w:id="1249" w:name="_Toc300935004"/>
      <w:bookmarkStart w:id="1250" w:name="_Toc312678042"/>
      <w:bookmarkStart w:id="1251" w:name="_Toc303539161"/>
      <w:bookmarkStart w:id="1252" w:name="_Toc304295581"/>
      <w:bookmarkStart w:id="1253" w:name="_Toc297123554"/>
      <w:bookmarkStart w:id="1254" w:name="_Toc297216213"/>
      <w:bookmarkStart w:id="1255" w:name="_Toc296891247"/>
      <w:bookmarkStart w:id="1256" w:name="_Toc297048393"/>
      <w:bookmarkStart w:id="1257" w:name="_Toc297120507"/>
      <w:bookmarkStart w:id="1258" w:name="_Toc296346708"/>
      <w:bookmarkStart w:id="1259" w:name="_Toc292559917"/>
      <w:bookmarkStart w:id="1260" w:name="_Toc296503207"/>
      <w:bookmarkStart w:id="1261" w:name="_Toc296944546"/>
      <w:bookmarkStart w:id="1262" w:name="_Toc292559412"/>
      <w:bookmarkStart w:id="1263" w:name="_Toc296891035"/>
      <w:bookmarkStart w:id="1264" w:name="_Toc296347206"/>
      <w:r>
        <w:rPr>
          <w:rFonts w:hint="eastAsia" w:ascii="宋体" w:hAnsi="宋体" w:eastAsia="宋体" w:cs="宋体"/>
          <w:b/>
          <w:color w:val="auto"/>
          <w:kern w:val="2"/>
          <w:sz w:val="28"/>
          <w:szCs w:val="28"/>
          <w:highlight w:val="none"/>
          <w:lang w:val="en-US" w:eastAsia="zh-CN" w:bidi="ar-SA"/>
        </w:rPr>
        <w:t>12.2 预付款</w:t>
      </w:r>
      <w:bookmarkEnd w:id="1247"/>
      <w:bookmarkEnd w:id="1248"/>
    </w:p>
    <w:bookmarkEnd w:id="1249"/>
    <w:bookmarkEnd w:id="1250"/>
    <w:bookmarkEnd w:id="1251"/>
    <w:bookmarkEnd w:id="1252"/>
    <w:bookmarkEnd w:id="1253"/>
    <w:bookmarkEnd w:id="1254"/>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12.2.1 预付款的支付</w:t>
      </w:r>
    </w:p>
    <w:p>
      <w:pPr>
        <w:keepNext w:val="0"/>
        <w:keepLines w:val="0"/>
        <w:widowControl/>
        <w:suppressLineNumbers w:val="0"/>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预付款支付比例或金额：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预付款支付期限：</w:t>
      </w:r>
      <w:r>
        <w:rPr>
          <w:rFonts w:hint="eastAsia" w:ascii="宋体" w:hAnsi="宋体" w:eastAsia="宋体" w:cs="宋体"/>
          <w:strike w:val="0"/>
          <w:dstrike w:val="0"/>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预付款扣回的方式：</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12.2.2 预付款担保</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承包人提交预付款担保的期限：</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预付款担保的形式为：</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预付款担保的金额：</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预付款担保的时间：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预付款担保的期限：</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预付款担保的退还时间：</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bookmarkEnd w:id="1255"/>
    <w:bookmarkEnd w:id="1256"/>
    <w:bookmarkEnd w:id="1257"/>
    <w:bookmarkEnd w:id="1258"/>
    <w:bookmarkEnd w:id="1259"/>
    <w:bookmarkEnd w:id="1260"/>
    <w:bookmarkEnd w:id="1261"/>
    <w:bookmarkEnd w:id="1262"/>
    <w:bookmarkEnd w:id="1263"/>
    <w:bookmarkEnd w:id="1264"/>
    <w:p>
      <w:pPr>
        <w:pStyle w:val="7"/>
        <w:spacing w:before="0" w:beforeAutospacing="0" w:after="0" w:afterAutospacing="0" w:line="360" w:lineRule="auto"/>
        <w:ind w:left="0" w:leftChars="0" w:firstLine="843" w:firstLineChars="300"/>
        <w:rPr>
          <w:rFonts w:hint="eastAsia" w:ascii="宋体" w:hAnsi="宋体" w:eastAsia="宋体" w:cs="宋体"/>
          <w:b/>
          <w:color w:val="auto"/>
          <w:kern w:val="2"/>
          <w:sz w:val="28"/>
          <w:szCs w:val="28"/>
          <w:highlight w:val="none"/>
          <w:lang w:val="en-US" w:eastAsia="zh-CN" w:bidi="ar-SA"/>
        </w:rPr>
      </w:pPr>
      <w:bookmarkStart w:id="1265" w:name="_Toc532377385"/>
      <w:bookmarkStart w:id="1266" w:name="_Toc532375649"/>
      <w:r>
        <w:rPr>
          <w:rFonts w:hint="eastAsia" w:ascii="宋体" w:hAnsi="宋体" w:eastAsia="宋体" w:cs="宋体"/>
          <w:b/>
          <w:color w:val="auto"/>
          <w:kern w:val="2"/>
          <w:sz w:val="28"/>
          <w:szCs w:val="28"/>
          <w:highlight w:val="none"/>
          <w:lang w:val="en-US" w:eastAsia="zh-CN" w:bidi="ar-SA"/>
        </w:rPr>
        <w:t>12.3 计量</w:t>
      </w:r>
      <w:bookmarkEnd w:id="1265"/>
      <w:bookmarkEnd w:id="1266"/>
    </w:p>
    <w:p>
      <w:pPr>
        <w:spacing w:line="360" w:lineRule="auto"/>
        <w:ind w:firstLine="840" w:firstLineChars="300"/>
        <w:jc w:val="left"/>
        <w:rPr>
          <w:rFonts w:hint="eastAsia" w:ascii="宋体" w:hAnsi="宋体" w:eastAsia="宋体" w:cs="宋体"/>
          <w:b w:val="0"/>
          <w:bCs/>
          <w:color w:val="auto"/>
          <w:kern w:val="2"/>
          <w:sz w:val="28"/>
          <w:szCs w:val="28"/>
          <w:highlight w:val="none"/>
          <w:lang w:val="en-US" w:eastAsia="zh-CN" w:bidi="ar-SA"/>
        </w:rPr>
      </w:pPr>
      <w:bookmarkStart w:id="1267" w:name="_Hlk528928260"/>
      <w:r>
        <w:rPr>
          <w:rFonts w:hint="eastAsia" w:ascii="宋体" w:hAnsi="宋体" w:eastAsia="宋体" w:cs="宋体"/>
          <w:b w:val="0"/>
          <w:bCs/>
          <w:color w:val="auto"/>
          <w:kern w:val="2"/>
          <w:sz w:val="28"/>
          <w:szCs w:val="28"/>
          <w:highlight w:val="none"/>
          <w:lang w:val="en-US" w:eastAsia="zh-CN" w:bidi="ar-SA"/>
        </w:rPr>
        <w:t>12.3.1 计量原则</w:t>
      </w:r>
    </w:p>
    <w:p>
      <w:pPr>
        <w:tabs>
          <w:tab w:val="left" w:pos="1134"/>
        </w:tabs>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工程量按</w:t>
      </w:r>
      <w:r>
        <w:rPr>
          <w:rFonts w:hint="eastAsia" w:ascii="宋体" w:hAnsi="宋体" w:eastAsia="宋体" w:cs="宋体"/>
          <w:color w:val="auto"/>
          <w:szCs w:val="21"/>
          <w:highlight w:val="none"/>
          <w:lang w:val="zh-CN" w:eastAsia="zh-CN"/>
        </w:rPr>
        <w:t>区公共资源交易监督管理委员会《关于印发璧山区政府投资项目计价原则(2023年第3期)的通知》(璧公管办〔2023〕5号)</w:t>
      </w:r>
      <w:r>
        <w:rPr>
          <w:rFonts w:hint="eastAsia" w:ascii="宋体" w:hAnsi="宋体" w:cs="宋体"/>
          <w:color w:val="auto"/>
          <w:szCs w:val="21"/>
          <w:highlight w:val="none"/>
          <w:lang w:val="zh-CN" w:eastAsia="zh-CN"/>
        </w:rPr>
        <w:t>、</w:t>
      </w:r>
      <w:r>
        <w:rPr>
          <w:rFonts w:hint="eastAsia" w:ascii="宋体" w:hAnsi="宋体" w:eastAsia="宋体" w:cs="宋体"/>
          <w:color w:val="auto"/>
          <w:szCs w:val="21"/>
          <w:highlight w:val="none"/>
        </w:rPr>
        <w:t>《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bookmarkEnd w:id="1267"/>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12.3.2 计量周期</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关于计量周期的约定：</w:t>
      </w:r>
      <w:r>
        <w:rPr>
          <w:rFonts w:hint="eastAsia" w:ascii="宋体" w:hAnsi="宋体" w:eastAsia="宋体" w:cs="宋体"/>
          <w:color w:val="auto"/>
          <w:szCs w:val="21"/>
          <w:highlight w:val="none"/>
          <w:u w:val="single"/>
        </w:rPr>
        <w:t>按月计量根据具体项目实际情况可以按月、按进度、按节点等形式计量，按进度、按节点计量的参考按月计量原则执行）</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12.3.3 单价合同的计量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关于单价合同计量的约定：</w:t>
      </w:r>
    </w:p>
    <w:p>
      <w:pPr>
        <w:spacing w:line="360" w:lineRule="auto"/>
        <w:ind w:firstLine="560" w:firstLineChars="200"/>
        <w:jc w:val="left"/>
        <w:rPr>
          <w:rFonts w:hint="eastAsia" w:ascii="宋体" w:hAnsi="宋体" w:eastAsia="宋体" w:cs="宋体"/>
          <w:color w:val="auto"/>
          <w:szCs w:val="21"/>
          <w:highlight w:val="none"/>
          <w:u w:val="single"/>
        </w:rPr>
      </w:pPr>
      <w:bookmarkStart w:id="1268" w:name="_Hlk528926162"/>
      <w:r>
        <w:rPr>
          <w:rFonts w:hint="eastAsia" w:ascii="宋体" w:hAnsi="宋体" w:eastAsia="宋体" w:cs="宋体"/>
          <w:color w:val="auto"/>
          <w:szCs w:val="21"/>
          <w:highlight w:val="none"/>
          <w:u w:val="single"/>
        </w:rPr>
        <w:t>（1）承包人应于当月</w:t>
      </w:r>
      <w:r>
        <w:rPr>
          <w:rFonts w:hint="eastAsia" w:ascii="宋体" w:hAnsi="宋体" w:eastAsia="宋体" w:cs="宋体"/>
          <w:color w:val="auto"/>
          <w:szCs w:val="21"/>
          <w:highlight w:val="none"/>
          <w:u w:val="single"/>
          <w:lang w:val="en-US" w:eastAsia="zh-CN"/>
        </w:rPr>
        <w:t>25</w:t>
      </w:r>
      <w:r>
        <w:rPr>
          <w:rFonts w:hint="eastAsia" w:ascii="宋体" w:hAnsi="宋体" w:eastAsia="宋体" w:cs="宋体"/>
          <w:color w:val="auto"/>
          <w:szCs w:val="21"/>
          <w:highlight w:val="none"/>
          <w:u w:val="single"/>
        </w:rPr>
        <w:t>日前向监理人报送上月已完成的工程量，并附进度付款申请单、已完成工程量报表和其他有关资料</w:t>
      </w:r>
      <w:r>
        <w:rPr>
          <w:rFonts w:hint="eastAsia" w:ascii="宋体" w:hAnsi="宋体" w:eastAsia="宋体" w:cs="宋体"/>
          <w:color w:val="auto"/>
          <w:szCs w:val="21"/>
          <w:highlight w:val="none"/>
        </w:rPr>
        <w:t>。</w:t>
      </w:r>
    </w:p>
    <w:bookmarkEnd w:id="1268"/>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（2）承包人未在已标价的工程量清单中填入单价和（或）总价的子目，视为该子目的费用已包含合同工程的其他子目的单价或总价中，不再另行计量支付</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（3）监理人应在收到承包人提交的工程量报表后7天内完成对承包人提交的工程量报表的审核并报送发包人；发包人收到监理人报送资料后7天内完成审批，以确定当月实际完成的工程量。监理人、</w:t>
      </w:r>
      <w:r>
        <w:rPr>
          <w:rFonts w:hint="eastAsia" w:ascii="宋体" w:hAnsi="宋体" w:eastAsia="宋体" w:cs="宋体"/>
          <w:color w:val="auto"/>
          <w:szCs w:val="21"/>
          <w:highlight w:val="none"/>
          <w:u w:val="single"/>
          <w:lang w:eastAsia="zh-CN"/>
        </w:rPr>
        <w:t>跟审单位（如有）</w:t>
      </w:r>
      <w:r>
        <w:rPr>
          <w:rFonts w:hint="eastAsia" w:ascii="宋体" w:hAnsi="宋体" w:eastAsia="宋体" w:cs="宋体"/>
          <w:color w:val="auto"/>
          <w:szCs w:val="21"/>
          <w:highlight w:val="none"/>
          <w:u w:val="single"/>
        </w:rPr>
        <w:t>、发包人任一方对工程量有异议的，均有权要求承包人进行共同复核或抽样复测。承包人应协助监理人、</w:t>
      </w:r>
      <w:r>
        <w:rPr>
          <w:rFonts w:hint="eastAsia" w:ascii="宋体" w:hAnsi="宋体" w:eastAsia="宋体" w:cs="宋体"/>
          <w:color w:val="auto"/>
          <w:szCs w:val="21"/>
          <w:highlight w:val="none"/>
          <w:u w:val="single"/>
          <w:lang w:eastAsia="zh-CN"/>
        </w:rPr>
        <w:t>跟审单位（如有）</w:t>
      </w:r>
      <w:r>
        <w:rPr>
          <w:rFonts w:hint="eastAsia" w:ascii="宋体" w:hAnsi="宋体" w:eastAsia="宋体" w:cs="宋体"/>
          <w:color w:val="auto"/>
          <w:szCs w:val="21"/>
          <w:highlight w:val="none"/>
          <w:u w:val="single"/>
        </w:rPr>
        <w:t>进行复核或抽样复测，并按监理人要求提供补充计量资料。承包人未按监理人要求参加复核或抽样复测的，监理人复核或修正的工程量视为承包人实际完成的工程量</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（4）工程量的计量仅作为进度付款和工程施工进度控制的依据，不应认为是承包人履行合同义务完成工程的实际和准确的工程量，实际和准确工程量按竣工图和第12.3.1项〔计量原则〕约定确认的工程量为准</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12.3.4 总价合同的计量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关于总价合同计量的约定：</w:t>
      </w:r>
      <w:r>
        <w:rPr>
          <w:rFonts w:hint="eastAsia" w:ascii="宋体" w:hAnsi="宋体" w:eastAsia="宋体" w:cs="宋体"/>
          <w:color w:val="auto"/>
          <w:szCs w:val="21"/>
          <w:highlight w:val="none"/>
          <w:u w:val="single"/>
        </w:rPr>
        <w:t>按形象进度比例支付</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12.3.5总价合同采用支付分解表计量支付的，是否适用第12.3.4项〔总价合同的计量〕约定进行计量：</w:t>
      </w:r>
      <w:r>
        <w:rPr>
          <w:rFonts w:hint="eastAsia" w:ascii="宋体" w:hAnsi="宋体" w:eastAsia="宋体" w:cs="宋体"/>
          <w:color w:val="auto"/>
          <w:szCs w:val="21"/>
          <w:highlight w:val="none"/>
          <w:u w:val="single"/>
        </w:rPr>
        <w:t>适用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12.3.6 其他价格形式合同的计量</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其他价格形式的计量方式和程序：</w:t>
      </w:r>
      <w:r>
        <w:rPr>
          <w:rFonts w:hint="eastAsia" w:ascii="宋体" w:hAnsi="宋体" w:eastAsia="宋体" w:cs="宋体"/>
          <w:color w:val="auto"/>
          <w:szCs w:val="21"/>
          <w:highlight w:val="none"/>
          <w:u w:val="single"/>
        </w:rPr>
        <w:t>不采用</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269" w:name="_Toc532375650"/>
      <w:bookmarkStart w:id="1270" w:name="_Toc532377386"/>
      <w:bookmarkStart w:id="1271" w:name="_Hlk528928289"/>
      <w:r>
        <w:rPr>
          <w:rFonts w:hint="eastAsia" w:ascii="宋体" w:hAnsi="宋体" w:eastAsia="宋体" w:cs="宋体"/>
          <w:b/>
          <w:color w:val="auto"/>
          <w:kern w:val="2"/>
          <w:sz w:val="28"/>
          <w:szCs w:val="28"/>
          <w:highlight w:val="none"/>
          <w:lang w:val="en-US" w:eastAsia="zh-CN" w:bidi="ar-SA"/>
        </w:rPr>
        <w:t>12.4 工程进度款支付</w:t>
      </w:r>
      <w:bookmarkEnd w:id="1269"/>
      <w:bookmarkEnd w:id="1270"/>
    </w:p>
    <w:bookmarkEnd w:id="1271"/>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12.4.1 付款周期</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关于付款周期的约定：</w:t>
      </w:r>
      <w:r>
        <w:rPr>
          <w:rFonts w:hint="eastAsia" w:ascii="宋体" w:hAnsi="宋体" w:eastAsia="宋体" w:cs="宋体"/>
          <w:color w:val="auto"/>
          <w:szCs w:val="21"/>
          <w:highlight w:val="none"/>
          <w:u w:val="single"/>
          <w:lang w:val="en-US" w:eastAsia="zh-CN"/>
        </w:rPr>
        <w:t>/</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12.4.2 进度付款申请单的编制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进度付款申请单应包括下列内容：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（1）截至本次付款周期已完成工作对应的金额；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（2）根据第 15.3 款〔质量保证金〕约定应扣减的质量保证金；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（3）根据第 11 条〔价格调整〕应增加和扣减的价格调整金额；</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（4）对已签发的进度款支付证书中出现错误的修正，应在本次进度付款中支付或扣除的金额；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（5）根据合同约定承包人应向发包人支付的违约金；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（6）根据合同约定发包人应向承包人支付的违约金和（或）奖励；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（7）根据合同约定应增加和扣减的其他金额；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 xml:space="preserve">（8）当月应支付的人工费（工资款）金额。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12.4.3 进度付款申请单的提交</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（1）单价合同进度付款申请单提交的约定：</w:t>
      </w:r>
      <w:r>
        <w:rPr>
          <w:rFonts w:hint="eastAsia" w:ascii="宋体" w:hAnsi="宋体" w:eastAsia="宋体" w:cs="宋体"/>
          <w:color w:val="auto"/>
          <w:szCs w:val="21"/>
          <w:highlight w:val="none"/>
          <w:u w:val="single"/>
        </w:rPr>
        <w:t>按照第12.3.3项〔单价合同的计量〕约定的时间按月向监理人提交，并附上已完成工程量报表、经审核的农民工工资发放的情况说明及有关资料。单价合同中的总价子目按工程形象进度分月计量后汇总列入当期进度付款申请单</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（2）总价合同进度付款申请单提交的约定：</w:t>
      </w:r>
      <w:r>
        <w:rPr>
          <w:rFonts w:hint="eastAsia" w:ascii="宋体" w:hAnsi="宋体" w:eastAsia="宋体" w:cs="宋体"/>
          <w:color w:val="auto"/>
          <w:szCs w:val="21"/>
          <w:highlight w:val="none"/>
          <w:u w:val="single"/>
        </w:rPr>
        <w:t>按照合同约定的形象进度的计量约定的时间向监理人提交，并附上已完成工程量报表、经审核的农民工工资发放的情况说明及有关资料</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（3）其他价格形式合同进度付款申请单提交的约定：</w:t>
      </w:r>
      <w:r>
        <w:rPr>
          <w:rFonts w:hint="eastAsia" w:ascii="宋体" w:hAnsi="宋体" w:eastAsia="宋体" w:cs="宋体"/>
          <w:color w:val="auto"/>
          <w:szCs w:val="21"/>
          <w:highlight w:val="none"/>
          <w:u w:val="single"/>
        </w:rPr>
        <w:t>不采用</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12.4.4 进度款审核和支付</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（1）监理人审查并报送发包人的期限：</w:t>
      </w:r>
      <w:r>
        <w:rPr>
          <w:rFonts w:hint="eastAsia" w:ascii="宋体" w:hAnsi="宋体" w:eastAsia="宋体" w:cs="宋体"/>
          <w:color w:val="auto"/>
          <w:szCs w:val="21"/>
          <w:highlight w:val="none"/>
          <w:u w:val="single"/>
        </w:rPr>
        <w:t>收到完整资料后7天内</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发包人完成审批并签发进度款支付证书的期限：</w:t>
      </w:r>
      <w:r>
        <w:rPr>
          <w:rFonts w:hint="eastAsia" w:ascii="宋体" w:hAnsi="宋体" w:eastAsia="宋体" w:cs="宋体"/>
          <w:color w:val="auto"/>
          <w:szCs w:val="21"/>
          <w:highlight w:val="none"/>
          <w:u w:val="single"/>
        </w:rPr>
        <w:t>发包人收到监理人报送资料后7天内完成审批并签发进度款支付证书</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监理人、</w:t>
      </w:r>
      <w:r>
        <w:rPr>
          <w:rFonts w:hint="eastAsia" w:ascii="宋体" w:hAnsi="宋体" w:eastAsia="宋体" w:cs="宋体"/>
          <w:color w:val="auto"/>
          <w:szCs w:val="21"/>
          <w:highlight w:val="none"/>
          <w:u w:val="single"/>
          <w:lang w:eastAsia="zh-CN"/>
        </w:rPr>
        <w:t>跟审单位（如有）</w:t>
      </w:r>
      <w:r>
        <w:rPr>
          <w:rFonts w:hint="eastAsia" w:ascii="宋体" w:hAnsi="宋体" w:eastAsia="宋体" w:cs="宋体"/>
          <w:color w:val="auto"/>
          <w:szCs w:val="21"/>
          <w:highlight w:val="none"/>
          <w:u w:val="single"/>
        </w:rPr>
        <w:t>和发包人中任一方对承包人的进度付款申请单有异议的，均有权要求承包人修正和提供补充资料，承包人应提交修正后的进度付款申请单。监理人应在收到承包人修正后的进度付款申请单及相关资料后7天内完成审查并报送发包人，发包人收到监理人报送资料后7天内完成审批并向承包人签发无异议部分的临时进度款支付证书。存在争议的部分，按照合同约定的争议解决的约定处理。</w:t>
      </w:r>
    </w:p>
    <w:p>
      <w:pPr>
        <w:spacing w:line="360" w:lineRule="auto"/>
        <w:ind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发包人签发进度款支付证书或临时进度款支付证书，不表明发包人已同意、批准或接受了承包人完成的相应部分的工作。</w:t>
      </w:r>
    </w:p>
    <w:p>
      <w:pPr>
        <w:numPr>
          <w:ilvl w:val="0"/>
          <w:numId w:val="15"/>
        </w:numPr>
        <w:spacing w:line="360" w:lineRule="auto"/>
        <w:ind w:left="0" w:leftChars="0" w:firstLine="560" w:firstLineChars="200"/>
        <w:jc w:val="left"/>
        <w:rPr>
          <w:rFonts w:hint="eastAsia" w:ascii="宋体" w:hAnsi="宋体" w:eastAsia="宋体" w:cs="宋体"/>
          <w:color w:val="auto"/>
          <w:highlight w:val="none"/>
        </w:rPr>
      </w:pPr>
      <w:r>
        <w:rPr>
          <w:rFonts w:hint="eastAsia" w:ascii="宋体" w:hAnsi="宋体" w:eastAsia="宋体" w:cs="宋体"/>
          <w:color w:val="auto"/>
          <w:szCs w:val="21"/>
          <w:highlight w:val="none"/>
        </w:rPr>
        <w:t>进度款支付：</w:t>
      </w:r>
    </w:p>
    <w:p>
      <w:pPr>
        <w:spacing w:line="360" w:lineRule="auto"/>
        <w:ind w:firstLine="560" w:firstLineChars="200"/>
        <w:jc w:val="left"/>
        <w:rPr>
          <w:rFonts w:hint="eastAsia" w:ascii="宋体" w:hAnsi="宋体" w:eastAsia="宋体" w:cs="宋体"/>
          <w:color w:val="auto"/>
          <w:szCs w:val="21"/>
          <w:highlight w:val="none"/>
          <w:lang w:val="en-US" w:eastAsia="zh-CN"/>
        </w:rPr>
      </w:pPr>
      <w:bookmarkStart w:id="1272" w:name="_Toc532377387"/>
      <w:bookmarkStart w:id="1273" w:name="_Toc351203585"/>
      <w:r>
        <w:rPr>
          <w:rFonts w:hint="eastAsia" w:ascii="宋体" w:hAnsi="宋体" w:eastAsia="宋体" w:cs="宋体"/>
          <w:color w:val="auto"/>
          <w:szCs w:val="21"/>
          <w:highlight w:val="none"/>
          <w:lang w:val="en-US" w:eastAsia="zh-CN"/>
        </w:rPr>
        <w:t>①工程竣工（或交工）验收合格后支付至经审核的已完成合格工程量计价款的80%(注：使用专项债券资金，或者使用有拨付进度考核的上级专项资金的项目，支付进度从其规定)。本工程按重庆市璧山区政府投资项目管理办法（璧发改【2022】265号）和政府结算审核相关规定（璧财发【2021】2号）办理结算，并移交档案资料且通过档案验收合格后支付至审定金额的97%，余下3%作为质量保证金，待24个月的缺陷责任期满后按规定无息退还。</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w:t>
      </w:r>
      <w:r>
        <w:rPr>
          <w:rFonts w:hint="eastAsia" w:ascii="宋体" w:hAnsi="宋体" w:cs="宋体"/>
          <w:color w:val="auto"/>
          <w:szCs w:val="21"/>
          <w:highlight w:val="none"/>
          <w:lang w:val="en-US" w:eastAsia="zh-CN"/>
        </w:rPr>
        <w:t>农民工工资支付</w:t>
      </w:r>
      <w:r>
        <w:rPr>
          <w:rFonts w:hint="eastAsia" w:ascii="宋体" w:hAnsi="宋体" w:eastAsia="宋体" w:cs="宋体"/>
          <w:color w:val="auto"/>
          <w:szCs w:val="21"/>
          <w:highlight w:val="none"/>
          <w:lang w:val="en-US" w:eastAsia="zh-CN"/>
        </w:rPr>
        <w:t>：按《</w:t>
      </w:r>
      <w:r>
        <w:rPr>
          <w:rFonts w:hint="eastAsia" w:ascii="宋体" w:hAnsi="宋体" w:cs="宋体"/>
          <w:color w:val="auto"/>
          <w:szCs w:val="21"/>
          <w:highlight w:val="none"/>
          <w:lang w:val="en-US" w:eastAsia="zh-CN"/>
        </w:rPr>
        <w:t>建设工程施工合同</w:t>
      </w:r>
      <w:r>
        <w:rPr>
          <w:rFonts w:hint="eastAsia" w:ascii="宋体" w:hAnsi="宋体" w:eastAsia="宋体" w:cs="宋体"/>
          <w:color w:val="auto"/>
          <w:szCs w:val="21"/>
          <w:highlight w:val="none"/>
          <w:lang w:val="en-US" w:eastAsia="zh-CN"/>
        </w:rPr>
        <w:t>》附件8农民工工资补充协议执行。</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③</w:t>
      </w:r>
      <w:r>
        <w:rPr>
          <w:rFonts w:hint="eastAsia" w:ascii="宋体" w:hAnsi="宋体" w:eastAsia="宋体" w:cs="宋体"/>
          <w:color w:val="auto"/>
          <w:szCs w:val="21"/>
          <w:highlight w:val="none"/>
          <w:lang w:val="en-US" w:eastAsia="zh-CN"/>
        </w:rPr>
        <w:t>支付方式及发票要求：</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承包人出具国家税务机关开具的合法发票，并提供璧山区税务机关开具的完税证明后，由发包人采用银行转帐支付或电汇至承包人在璧银行账户。</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12.5支付账户</w:t>
      </w:r>
      <w:bookmarkEnd w:id="1272"/>
      <w:bookmarkEnd w:id="1273"/>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发包人应将合同价款支付至如下承包人指定的开户银行及银行账户：</w:t>
      </w:r>
    </w:p>
    <w:p>
      <w:pPr>
        <w:spacing w:line="360" w:lineRule="auto"/>
        <w:ind w:firstLine="56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收款单位名称：</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收款账号：</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收款开户银行：</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发包人应</w:t>
      </w:r>
      <w:r>
        <w:rPr>
          <w:rFonts w:hint="eastAsia" w:ascii="宋体" w:hAnsi="宋体" w:eastAsia="宋体" w:cs="宋体"/>
          <w:color w:val="auto"/>
          <w:kern w:val="0"/>
          <w:szCs w:val="21"/>
          <w:highlight w:val="none"/>
          <w:lang w:val="en-US" w:eastAsia="zh-CN"/>
        </w:rPr>
        <w:t>按行业主管部门的相关规定</w:t>
      </w:r>
      <w:r>
        <w:rPr>
          <w:rFonts w:hint="eastAsia" w:ascii="宋体" w:hAnsi="宋体" w:eastAsia="宋体" w:cs="宋体"/>
          <w:color w:val="auto"/>
          <w:kern w:val="0"/>
          <w:szCs w:val="21"/>
          <w:highlight w:val="none"/>
        </w:rPr>
        <w:t>将人工费（工资款）支付至承包人指定的农民工工资专用账户。</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274" w:name="_Toc351203645"/>
      <w:bookmarkStart w:id="1275" w:name="_Toc532377388"/>
      <w:bookmarkStart w:id="1276" w:name="_Toc532375651"/>
      <w:bookmarkStart w:id="1277" w:name="_Toc297120519"/>
      <w:bookmarkStart w:id="1278" w:name="_Toc300935015"/>
      <w:bookmarkStart w:id="1279" w:name="_Toc296891259"/>
      <w:bookmarkStart w:id="1280" w:name="_Toc303539172"/>
      <w:bookmarkStart w:id="1281" w:name="_Toc297216223"/>
      <w:bookmarkStart w:id="1282" w:name="_Toc312678053"/>
      <w:bookmarkStart w:id="1283" w:name="_Toc304295593"/>
      <w:bookmarkStart w:id="1284" w:name="_Toc296346720"/>
      <w:bookmarkStart w:id="1285" w:name="_Toc296891047"/>
      <w:bookmarkStart w:id="1286" w:name="_Toc296944558"/>
      <w:bookmarkStart w:id="1287" w:name="_Toc297123564"/>
      <w:bookmarkStart w:id="1288" w:name="_Toc296347218"/>
      <w:bookmarkStart w:id="1289" w:name="_Toc297048405"/>
      <w:bookmarkStart w:id="1290" w:name="_Toc292559424"/>
      <w:bookmarkStart w:id="1291" w:name="_Toc292559929"/>
      <w:bookmarkStart w:id="1292" w:name="_Toc296503219"/>
      <w:r>
        <w:rPr>
          <w:rFonts w:hint="eastAsia" w:ascii="宋体" w:hAnsi="宋体" w:eastAsia="宋体" w:cs="宋体"/>
          <w:b/>
          <w:color w:val="auto"/>
          <w:kern w:val="2"/>
          <w:sz w:val="28"/>
          <w:szCs w:val="28"/>
          <w:highlight w:val="none"/>
          <w:lang w:val="en-US" w:eastAsia="zh-CN" w:bidi="ar-SA"/>
        </w:rPr>
        <w:t>13. 验收和工程试车</w:t>
      </w:r>
      <w:bookmarkEnd w:id="1274"/>
      <w:bookmarkEnd w:id="1275"/>
      <w:bookmarkEnd w:id="1276"/>
    </w:p>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293" w:name="_Toc532377389"/>
      <w:bookmarkStart w:id="1294" w:name="_Toc532375652"/>
      <w:bookmarkStart w:id="1295" w:name="_Toc280868704"/>
      <w:bookmarkStart w:id="1296" w:name="_Toc280868705"/>
      <w:bookmarkStart w:id="1297" w:name="_Toc280868706"/>
      <w:bookmarkStart w:id="1298" w:name="_Toc280868707"/>
      <w:bookmarkStart w:id="1299" w:name="_Toc280868708"/>
      <w:bookmarkStart w:id="1300" w:name="_Toc267251474"/>
      <w:bookmarkStart w:id="1301" w:name="_Toc280868709"/>
      <w:bookmarkStart w:id="1302" w:name="_Toc267251475"/>
      <w:bookmarkStart w:id="1303" w:name="_Toc267251476"/>
      <w:bookmarkStart w:id="1304" w:name="_Toc267251470"/>
      <w:bookmarkStart w:id="1305" w:name="_Toc267251471"/>
      <w:bookmarkStart w:id="1306" w:name="_Toc267251473"/>
      <w:bookmarkStart w:id="1307" w:name="_Toc267251472"/>
      <w:r>
        <w:rPr>
          <w:rFonts w:hint="eastAsia" w:ascii="宋体" w:hAnsi="宋体" w:eastAsia="宋体" w:cs="宋体"/>
          <w:b/>
          <w:color w:val="auto"/>
          <w:kern w:val="2"/>
          <w:sz w:val="28"/>
          <w:szCs w:val="28"/>
          <w:highlight w:val="none"/>
          <w:lang w:val="en-US" w:eastAsia="zh-CN" w:bidi="ar-SA"/>
        </w:rPr>
        <w:t>13.1 分部分项工程验收</w:t>
      </w:r>
      <w:bookmarkEnd w:id="1293"/>
      <w:bookmarkEnd w:id="1294"/>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13.1.2 监理人不能按时进行验收时，应提前</w:t>
      </w:r>
      <w:r>
        <w:rPr>
          <w:rFonts w:hint="eastAsia" w:ascii="宋体" w:hAnsi="宋体" w:eastAsia="宋体" w:cs="宋体"/>
          <w:color w:val="auto"/>
          <w:szCs w:val="21"/>
          <w:highlight w:val="none"/>
          <w:u w:val="single"/>
        </w:rPr>
        <w:t>24</w:t>
      </w:r>
      <w:r>
        <w:rPr>
          <w:rFonts w:hint="eastAsia" w:ascii="宋体" w:hAnsi="宋体" w:eastAsia="宋体" w:cs="宋体"/>
          <w:color w:val="auto"/>
          <w:szCs w:val="21"/>
          <w:highlight w:val="none"/>
        </w:rPr>
        <w:t>小时提交书面延期要求。</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关于延期最长不得超过：</w:t>
      </w:r>
      <w:r>
        <w:rPr>
          <w:rFonts w:hint="eastAsia" w:ascii="宋体" w:hAnsi="宋体" w:eastAsia="宋体" w:cs="宋体"/>
          <w:color w:val="auto"/>
          <w:szCs w:val="21"/>
          <w:highlight w:val="none"/>
          <w:u w:val="single"/>
        </w:rPr>
        <w:t>48</w:t>
      </w:r>
      <w:r>
        <w:rPr>
          <w:rFonts w:hint="eastAsia" w:ascii="宋体" w:hAnsi="宋体" w:eastAsia="宋体" w:cs="宋体"/>
          <w:color w:val="auto"/>
          <w:szCs w:val="21"/>
          <w:highlight w:val="none"/>
        </w:rPr>
        <w:t>小时。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08" w:name="_Toc532377390"/>
      <w:bookmarkStart w:id="1309" w:name="_Toc532375653"/>
      <w:bookmarkStart w:id="1310" w:name="_Toc296503223"/>
      <w:bookmarkStart w:id="1311" w:name="_Toc304295596"/>
      <w:bookmarkStart w:id="1312" w:name="_Toc296891051"/>
      <w:bookmarkStart w:id="1313" w:name="_Toc296347222"/>
      <w:bookmarkStart w:id="1314" w:name="_Toc297123565"/>
      <w:bookmarkStart w:id="1315" w:name="_Toc300935016"/>
      <w:bookmarkStart w:id="1316" w:name="_Toc312678056"/>
      <w:bookmarkStart w:id="1317" w:name="_Toc303539173"/>
      <w:bookmarkStart w:id="1318" w:name="_Toc296346724"/>
      <w:bookmarkStart w:id="1319" w:name="_Toc296891263"/>
      <w:bookmarkStart w:id="1320" w:name="_Toc296944562"/>
      <w:bookmarkStart w:id="1321" w:name="_Toc297048409"/>
      <w:bookmarkStart w:id="1322" w:name="_Toc292559933"/>
      <w:bookmarkStart w:id="1323" w:name="_Toc292559428"/>
      <w:bookmarkStart w:id="1324" w:name="_Toc297216224"/>
      <w:bookmarkStart w:id="1325" w:name="_Toc297120523"/>
      <w:r>
        <w:rPr>
          <w:rFonts w:hint="eastAsia" w:ascii="宋体" w:hAnsi="宋体" w:eastAsia="宋体" w:cs="宋体"/>
          <w:b/>
          <w:color w:val="auto"/>
          <w:kern w:val="2"/>
          <w:sz w:val="28"/>
          <w:szCs w:val="28"/>
          <w:highlight w:val="none"/>
          <w:lang w:val="en-US" w:eastAsia="zh-CN" w:bidi="ar-SA"/>
        </w:rPr>
        <w:t>13.2 竣工验收</w:t>
      </w:r>
      <w:bookmarkEnd w:id="1308"/>
      <w:bookmarkEnd w:id="1309"/>
    </w:p>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13.2.2竣工验收程序</w:t>
      </w:r>
    </w:p>
    <w:bookmarkEnd w:id="1295"/>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关于竣工验收程序的约定：工程完工且符合下列条件时，承包人可向发包人提供竣工报告，并要求验收：</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（1）除发包人同意的甩项工作和缺陷修补工作外，合同范围内的全部工程以及有关工作，包括合同要求的试验、试运行以及检验均已完成，并符合合同要求；</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（2）已按合同约定编制了甩项工作和缺陷修补工作清单以及相应的施工计划；</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（3）已按合同约定的内容和份数备齐竣工资料。</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工程竣工及竣工资料：</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（1）发包人应在收到承包人竣工报告后14天内组织设计单位、监理单位、质监等其他部门进行验收，竣工日期以最后一次整改后通过竣工验收的时间为准</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2）当工程具备竣工验收条件时，承包人应及时向发包人提交竣工报告及竣工资料、办理移交手续。否则发包人有权依据监理人出具的鉴定结论书，自行组织有关部门验收，并提出整改意见。承包人必须按要求整改，并承担整改费用；如承包人拒绝按发包人提出的要求整改，发包人有权请第三方整改，由此发生的整改费用从未付工程款中扣除，不足部分发包人有权向承包人追偿。当验收通过后具备交付使用条件时，承包人不得以任何借口拒绝移交工程，否则，发包人有权强行使用，由此发生的一切后果，由承包人负责</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（3）承包人提供竣工资料的约定：</w:t>
      </w:r>
      <w:r>
        <w:rPr>
          <w:rFonts w:hint="eastAsia" w:ascii="宋体" w:hAnsi="宋体" w:eastAsia="宋体" w:cs="宋体"/>
          <w:color w:val="auto"/>
          <w:szCs w:val="21"/>
          <w:highlight w:val="none"/>
          <w:u w:val="single"/>
        </w:rPr>
        <w:t>承包人提供纸质版竣工图三套，电子版竣工图二套（刻光盘）</w:t>
      </w:r>
      <w:r>
        <w:rPr>
          <w:rFonts w:hint="eastAsia" w:ascii="宋体" w:hAnsi="宋体" w:eastAsia="宋体" w:cs="宋体"/>
          <w:color w:val="auto"/>
          <w:szCs w:val="21"/>
          <w:highlight w:val="none"/>
        </w:rPr>
        <w:t>。</w:t>
      </w:r>
    </w:p>
    <w:bookmarkEnd w:id="1296"/>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13.2.5 移交、接收全部与部分工程</w:t>
      </w:r>
    </w:p>
    <w:bookmarkEnd w:id="1297"/>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承包人向发包人移交工程的期限：</w:t>
      </w:r>
      <w:r>
        <w:rPr>
          <w:rFonts w:hint="eastAsia" w:ascii="宋体" w:hAnsi="宋体" w:eastAsia="宋体" w:cs="宋体"/>
          <w:color w:val="auto"/>
          <w:szCs w:val="21"/>
          <w:highlight w:val="none"/>
          <w:u w:val="single"/>
        </w:rPr>
        <w:t>颁发工程接收证书后7天内完成工程的移交</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发包人未按合同约定接收全部或部分工程的，违约金的计算方法为：发包人自应当接收工程之日起承担工程照管、成品保护、保管等与工程有关的各项费用。</w:t>
      </w:r>
    </w:p>
    <w:bookmarkEnd w:id="1298"/>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因承包人自身原因未按时移交工程的，违约金的计算方法为：</w:t>
      </w:r>
      <w:r>
        <w:rPr>
          <w:rFonts w:hint="eastAsia" w:ascii="宋体" w:hAnsi="宋体" w:eastAsia="宋体" w:cs="宋体"/>
          <w:color w:val="auto"/>
          <w:szCs w:val="21"/>
          <w:highlight w:val="none"/>
          <w:u w:val="single"/>
        </w:rPr>
        <w:t>承包人应承担工程照管、成品保护、保管等与工程有关的各项费用，并按经审定结算金额的0.5‰/天支付违约金</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26" w:name="_Toc532375654"/>
      <w:bookmarkStart w:id="1327" w:name="_Toc532377391"/>
      <w:r>
        <w:rPr>
          <w:rFonts w:hint="eastAsia" w:ascii="宋体" w:hAnsi="宋体" w:eastAsia="宋体" w:cs="宋体"/>
          <w:b/>
          <w:color w:val="auto"/>
          <w:kern w:val="2"/>
          <w:sz w:val="28"/>
          <w:szCs w:val="28"/>
          <w:highlight w:val="none"/>
          <w:lang w:val="en-US" w:eastAsia="zh-CN" w:bidi="ar-SA"/>
        </w:rPr>
        <w:t>13.3 工程试车</w:t>
      </w:r>
      <w:bookmarkEnd w:id="1326"/>
      <w:bookmarkEnd w:id="1327"/>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13.3.1 试车程序</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工程试车内容：</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（1）单机无负荷试车费用由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（2）无负荷联动试车费用由</w:t>
      </w:r>
      <w:r>
        <w:rPr>
          <w:rFonts w:hint="eastAsia" w:ascii="宋体" w:hAnsi="宋体" w:eastAsia="宋体" w:cs="宋体"/>
          <w:color w:val="auto"/>
          <w:szCs w:val="21"/>
          <w:highlight w:val="none"/>
          <w:u w:val="single"/>
        </w:rPr>
        <w:t>承包人</w:t>
      </w:r>
      <w:r>
        <w:rPr>
          <w:rFonts w:hint="eastAsia" w:ascii="宋体" w:hAnsi="宋体" w:eastAsia="宋体" w:cs="宋体"/>
          <w:color w:val="auto"/>
          <w:szCs w:val="21"/>
          <w:highlight w:val="none"/>
        </w:rPr>
        <w:t>承担。</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28" w:name="_Toc532375655"/>
      <w:bookmarkStart w:id="1329" w:name="_Toc532377392"/>
      <w:r>
        <w:rPr>
          <w:rFonts w:hint="eastAsia" w:ascii="宋体" w:hAnsi="宋体" w:eastAsia="宋体" w:cs="宋体"/>
          <w:b/>
          <w:color w:val="auto"/>
          <w:kern w:val="2"/>
          <w:sz w:val="28"/>
          <w:szCs w:val="28"/>
          <w:highlight w:val="none"/>
          <w:lang w:val="en-US" w:eastAsia="zh-CN" w:bidi="ar-SA"/>
        </w:rPr>
        <w:t>13.6 竣工退场</w:t>
      </w:r>
      <w:bookmarkEnd w:id="1328"/>
      <w:bookmarkEnd w:id="1329"/>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13.6.1 竣工退场</w:t>
      </w:r>
    </w:p>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承包人完成竣工退场的期限：</w:t>
      </w:r>
      <w:r>
        <w:rPr>
          <w:rFonts w:hint="eastAsia" w:ascii="宋体" w:hAnsi="宋体" w:eastAsia="宋体" w:cs="宋体"/>
          <w:color w:val="auto"/>
          <w:szCs w:val="21"/>
          <w:highlight w:val="none"/>
          <w:u w:val="single"/>
        </w:rPr>
        <w:t>工程接收证书颁发后28天内，承包人的施工人员、剩余材料、施工设备和临时工程应完全撤离施工场地并对施工场地进行清理、平整、复原，直至监理人检验合格为止，由此发生的费用已包含在签约合同价内。承包人未在限期内拆除的，发包人可委托其他单位代为拆除，由此发生的费用（发包人可从应付承包人的款项中扣除）由承包人承担，承包人还应按审定结算金额的0.5‰/天的标准向发包人支付违约金。因工程维修需要部分人员必须留在施工现场的，需征得发包人同意</w:t>
      </w:r>
      <w:r>
        <w:rPr>
          <w:rFonts w:hint="eastAsia" w:ascii="宋体" w:hAnsi="宋体" w:eastAsia="宋体" w:cs="宋体"/>
          <w:color w:val="auto"/>
          <w:szCs w:val="21"/>
          <w:highlight w:val="none"/>
        </w:rPr>
        <w:t>。</w:t>
      </w:r>
    </w:p>
    <w:bookmarkEnd w:id="1299"/>
    <w:p>
      <w:pPr>
        <w:pStyle w:val="6"/>
        <w:keepNext/>
        <w:keepLines/>
        <w:spacing w:before="156" w:beforeLines="50" w:beforeAutospacing="0" w:after="156" w:afterLines="50" w:afterAutospacing="0" w:line="360" w:lineRule="auto"/>
        <w:jc w:val="both"/>
        <w:rPr>
          <w:rFonts w:hint="eastAsia" w:ascii="宋体" w:hAnsi="宋体" w:eastAsia="宋体" w:cs="宋体"/>
          <w:b/>
          <w:color w:val="auto"/>
          <w:kern w:val="2"/>
          <w:sz w:val="28"/>
          <w:szCs w:val="28"/>
          <w:highlight w:val="none"/>
          <w:lang w:val="en-US" w:eastAsia="zh-CN" w:bidi="ar-SA"/>
        </w:rPr>
      </w:pPr>
      <w:bookmarkStart w:id="1330" w:name="_Toc532375656"/>
      <w:bookmarkStart w:id="1331" w:name="_Toc532377393"/>
      <w:bookmarkStart w:id="1332" w:name="_Toc351203646"/>
      <w:r>
        <w:rPr>
          <w:rFonts w:hint="eastAsia" w:ascii="宋体" w:hAnsi="宋体" w:eastAsia="宋体" w:cs="宋体"/>
          <w:b/>
          <w:color w:val="auto"/>
          <w:kern w:val="2"/>
          <w:sz w:val="28"/>
          <w:szCs w:val="28"/>
          <w:highlight w:val="none"/>
          <w:lang w:val="en-US" w:eastAsia="zh-CN" w:bidi="ar-SA"/>
        </w:rPr>
        <w:t>14. 竣工结算</w:t>
      </w:r>
      <w:bookmarkEnd w:id="1330"/>
      <w:bookmarkEnd w:id="1331"/>
      <w:bookmarkEnd w:id="1332"/>
    </w:p>
    <w:p>
      <w:pPr>
        <w:pStyle w:val="7"/>
        <w:spacing w:before="0" w:beforeAutospacing="0" w:after="0" w:afterAutospacing="0" w:line="360" w:lineRule="auto"/>
        <w:ind w:left="0" w:leftChars="0" w:firstLine="0" w:firstLineChars="0"/>
        <w:rPr>
          <w:rFonts w:hint="eastAsia" w:ascii="宋体" w:hAnsi="宋体" w:eastAsia="宋体" w:cs="宋体"/>
          <w:b/>
          <w:color w:val="auto"/>
          <w:kern w:val="2"/>
          <w:sz w:val="28"/>
          <w:szCs w:val="28"/>
          <w:highlight w:val="none"/>
          <w:lang w:val="en-US" w:eastAsia="zh-CN" w:bidi="ar-SA"/>
        </w:rPr>
      </w:pPr>
      <w:bookmarkStart w:id="1333" w:name="_Toc532377394"/>
      <w:bookmarkStart w:id="1334" w:name="_Toc532375657"/>
      <w:r>
        <w:rPr>
          <w:rFonts w:hint="eastAsia" w:ascii="宋体" w:hAnsi="宋体" w:eastAsia="宋体" w:cs="宋体"/>
          <w:b/>
          <w:color w:val="auto"/>
          <w:kern w:val="2"/>
          <w:sz w:val="28"/>
          <w:szCs w:val="28"/>
          <w:highlight w:val="none"/>
          <w:lang w:val="en-US" w:eastAsia="zh-CN" w:bidi="ar-SA"/>
        </w:rPr>
        <w:t>14.1 竣工结算申请</w:t>
      </w:r>
      <w:bookmarkEnd w:id="1333"/>
      <w:bookmarkEnd w:id="1334"/>
    </w:p>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承包人提交竣工结算申请单的期限：</w:t>
      </w:r>
      <w:r>
        <w:rPr>
          <w:rFonts w:hint="eastAsia" w:ascii="宋体" w:hAnsi="宋体" w:eastAsia="宋体" w:cs="宋体"/>
          <w:color w:val="auto"/>
          <w:szCs w:val="21"/>
          <w:highlight w:val="none"/>
          <w:u w:val="single"/>
        </w:rPr>
        <w:t>承包人应在工程竣工验收合格且报送完整工程竣工资料之日起28天内向监理人、发包人提交竣工结算申请单，并向发包人报送完整的工程竣工资料及经监理人初审确认的完整的竣工结算资料</w:t>
      </w:r>
      <w:bookmarkStart w:id="1335" w:name="_Hlk524297994"/>
      <w:r>
        <w:rPr>
          <w:rFonts w:hint="eastAsia" w:ascii="宋体" w:hAnsi="宋体" w:eastAsia="宋体" w:cs="宋体"/>
          <w:color w:val="auto"/>
          <w:szCs w:val="21"/>
          <w:highlight w:val="none"/>
          <w:u w:val="single"/>
        </w:rPr>
        <w:t>。监理人或发包人对竣工结算申请单有异议的，应在接到竣工结算申请单后14天内要求承包人进行修正和提供补充资料，承包人在接到监理人或发包人提出的审核意见后，应在28天内按监理人或发包人提出的合理要求补充资料、修改竣工结算资料，并再次提交监理人或发包人审核。承包人未在规定时间内报送竣工结算资料给发包人造成经济损失的，承包人应承担赔偿责任。</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竣工结算申请单包括但不限于以下内容：</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（1）竣工结算合同价格；</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（2）变更增减金额；</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（3）现场签证增减金额；</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（4）索赔增减金额；</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（5）奖励、罚金及违约金；</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（6）发包人已支付承包人的款项；</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（7）应扣留的质量保证金；</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（8）发包人应支付承包人的合同价款。</w:t>
      </w:r>
      <w:bookmarkEnd w:id="1335"/>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36" w:name="_Toc532377395"/>
      <w:bookmarkStart w:id="1337" w:name="_Toc532375658"/>
      <w:r>
        <w:rPr>
          <w:rFonts w:hint="eastAsia" w:ascii="宋体" w:hAnsi="宋体" w:eastAsia="宋体" w:cs="宋体"/>
          <w:b/>
          <w:color w:val="auto"/>
          <w:kern w:val="2"/>
          <w:sz w:val="28"/>
          <w:szCs w:val="28"/>
          <w:highlight w:val="none"/>
          <w:lang w:val="en-US" w:eastAsia="zh-CN" w:bidi="ar-SA"/>
        </w:rPr>
        <w:t>14.2 竣工结算审核</w:t>
      </w:r>
      <w:bookmarkEnd w:id="1336"/>
      <w:bookmarkEnd w:id="1337"/>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14.2.1 竣工结算办法</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14.2.1.1计量原则</w:t>
      </w:r>
    </w:p>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按照第12.3.1项〔计量原则〕约定执行。</w:t>
      </w:r>
    </w:p>
    <w:p>
      <w:pPr>
        <w:spacing w:line="360" w:lineRule="auto"/>
        <w:ind w:right="140" w:rightChars="50" w:firstLine="560" w:firstLineChars="200"/>
        <w:jc w:val="left"/>
        <w:rPr>
          <w:rFonts w:hint="eastAsia" w:ascii="宋体" w:hAnsi="宋体" w:eastAsia="宋体" w:cs="宋体"/>
          <w:b w:val="0"/>
          <w:bCs/>
          <w:color w:val="auto"/>
          <w:kern w:val="2"/>
          <w:sz w:val="28"/>
          <w:szCs w:val="28"/>
          <w:highlight w:val="none"/>
          <w:lang w:val="en-US" w:eastAsia="zh-CN" w:bidi="ar-SA"/>
        </w:rPr>
      </w:pPr>
      <w:r>
        <w:rPr>
          <w:rFonts w:hint="eastAsia" w:ascii="宋体" w:hAnsi="宋体" w:eastAsia="宋体" w:cs="宋体"/>
          <w:b w:val="0"/>
          <w:bCs/>
          <w:color w:val="auto"/>
          <w:kern w:val="2"/>
          <w:sz w:val="28"/>
          <w:szCs w:val="28"/>
          <w:highlight w:val="none"/>
          <w:lang w:val="en-US" w:eastAsia="zh-CN" w:bidi="ar-SA"/>
        </w:rPr>
        <w:t>14.2.1.2计价原则</w:t>
      </w:r>
    </w:p>
    <w:p>
      <w:pPr>
        <w:pageBreakBefore w:val="0"/>
        <w:kinsoku/>
        <w:wordWrap/>
        <w:overflowPunct/>
        <w:topLinePunct w:val="0"/>
        <w:bidi w:val="0"/>
        <w:spacing w:line="500" w:lineRule="exact"/>
        <w:ind w:right="140" w:rightChars="50" w:firstLine="560" w:firstLineChars="200"/>
        <w:jc w:val="left"/>
        <w:textAlignment w:val="auto"/>
        <w:rPr>
          <w:rFonts w:hint="default" w:ascii="宋体" w:hAnsi="宋体" w:eastAsia="宋体" w:cs="宋体"/>
          <w:b/>
          <w:bCs/>
          <w:color w:val="auto"/>
          <w:szCs w:val="21"/>
          <w:highlight w:val="none"/>
          <w:lang w:val="en-US" w:eastAsia="zh-CN"/>
        </w:rPr>
      </w:pPr>
      <w:r>
        <w:rPr>
          <w:rFonts w:hint="eastAsia" w:ascii="宋体" w:hAnsi="宋体" w:eastAsia="宋体" w:cs="宋体"/>
          <w:color w:val="auto"/>
          <w:szCs w:val="21"/>
          <w:highlight w:val="none"/>
          <w:lang w:val="en-US" w:eastAsia="zh-CN"/>
        </w:rPr>
        <w:t>工程竣工结算价=Σ分部分项工程结算价+Σ措施项目结算价+Σ其他项目结算价±Σ新增或变更项目结算价±Σ价格调整（如有）±Σ索赔与现场签证结算价±Σ奖励、罚金、违约金及其他费用+Σ规费+Σ税金。分部分项工程量清单中全费用单价清单价格部分（若有）已包含措施费、规费、税金等所有一切费用，结算时不得重复计算。</w:t>
      </w:r>
      <w:r>
        <w:rPr>
          <w:rFonts w:hint="eastAsia" w:ascii="宋体" w:hAnsi="宋体" w:eastAsia="宋体" w:cs="宋体"/>
          <w:b/>
          <w:bCs/>
          <w:color w:val="auto"/>
          <w:szCs w:val="21"/>
          <w:highlight w:val="none"/>
          <w:lang w:val="en-US" w:eastAsia="zh-CN"/>
        </w:rPr>
        <w:t>依据合同约定的计价原则，总价下浮5%作为最终结算金额。</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具体结算办法如下：</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（1）分部分项工程：</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①已标价工程量清单子目综合单价和全费用单价实行单价包干（即分部分项工程量清单项目按</w:t>
      </w:r>
      <w:r>
        <w:rPr>
          <w:rFonts w:hint="eastAsia" w:ascii="宋体" w:hAnsi="宋体" w:cs="宋体"/>
          <w:color w:val="auto"/>
          <w:szCs w:val="21"/>
          <w:highlight w:val="none"/>
          <w:lang w:val="en-US" w:eastAsia="zh-CN"/>
        </w:rPr>
        <w:t>成交单价</w:t>
      </w:r>
      <w:r>
        <w:rPr>
          <w:rFonts w:hint="eastAsia" w:ascii="宋体" w:hAnsi="宋体" w:eastAsia="宋体" w:cs="宋体"/>
          <w:color w:val="auto"/>
          <w:szCs w:val="21"/>
          <w:highlight w:val="none"/>
          <w:lang w:val="en-US" w:eastAsia="zh-CN"/>
        </w:rPr>
        <w:t>实行综合单价或全费用单价包干）。工程结算时，以中标人在本项目响应文件中分部分项工程量清单综合单价或全费用单价为结算单价依据，按照竣工图和专用合同条款的第12.3.1项〔计量原则〕约定确定的工程量乘以相应的已标价工程量清单子目综合单价或全费用单价确定该部分分部分项工程结算价；（注：该部分中标人的中标综合单价或全费用单价不因工程变更、工程量增减等原因调整。）</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②需要对没有填入综合单价、全费用单价或总额价的子目项目进行扣减的，第12.3.1项〔计量原则〕约定确定的工程量乘以按照10.4.1〔变更估价原则〕（3）目约定的综合单价进行扣减；</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③合同、已标价工程量清单和磋商文件另有约定的，按照其约定执行，但合同中约定的原则不能与磋商文件实质性条款相违背。</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（2）措施项目：</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①施工组织措施费</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施工组织措施项目结算金额在项目中标施工组织措施项目费总金额范围内按中标费率进行结算，超出中标施工组织措施项目费总金额的部分不予结算。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施工组织措施费和建设工程竣工方案编制费的计算基础以《重庆市建设工程费用定额》（CQFYDE—2018）相关规定为准。</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安全文明施工费用按渝建发〔2014〕25号、《重庆市建设工程费用定额》（CQFYDE-2018）、渝建〔2019〕143号文的相关规定进行结算。建设施工现场形象品质提升安全文明施工费按《重庆市住房和城乡建设委员会关于调整建设施工现场形象品质提升安全文明施工费计取的通知》（渝建管〔2020〕97号）文件执行。</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②施工技术措施费</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施工技术措施清单中以项计列的项目，无论因设计变更或施工工艺变化等任何因素而引起实际措施费的变化，均按投标时施工技术措施项目费的报价作为结算价；技术措施清单中以项目编码、项目名称、项目特征、工程内容、工程量及计量单位列项的项目，以中标人投标报价的综合单价乘以《建设工程工程量清单计价规范》（GB50500-2013）、《重庆市建设工程工程量清单计价规则》（CQJJGZ-2013）约定的计量规则计算的实际合格工程量办理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（注：施工技术措施清单中以项目编码、项目名称、项目特征、工程内容、工程量及计量单位列项的项目，</w:t>
      </w:r>
      <w:r>
        <w:rPr>
          <w:rFonts w:hint="eastAsia" w:ascii="宋体" w:hAnsi="宋体" w:cs="宋体"/>
          <w:color w:val="auto"/>
          <w:szCs w:val="21"/>
          <w:highlight w:val="none"/>
          <w:lang w:val="en-US" w:eastAsia="zh-CN"/>
        </w:rPr>
        <w:t>成交单价</w:t>
      </w:r>
      <w:r>
        <w:rPr>
          <w:rFonts w:hint="eastAsia" w:ascii="宋体" w:hAnsi="宋体" w:eastAsia="宋体" w:cs="宋体"/>
          <w:color w:val="auto"/>
          <w:szCs w:val="21"/>
          <w:highlight w:val="none"/>
          <w:lang w:val="en-US" w:eastAsia="zh-CN"/>
        </w:rPr>
        <w:t>不因工程变更、工程量增减等原因改变。）</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（3）其他项目：</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①暂估价项目：</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1）对于不属于依法必须招标的暂估价项目：</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材料（工程设备）暂估价：按照第12.3.1项〔计量原则〕约定及对应定额消耗量确定的数量乘以发包人牵头会同监理人根据市场行情认质核价确定的价格进行结算。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专业工程暂估价按发包人审定的价格进行结算（发包人审定的价格必须经璧山区政府批准）。</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2）对于依法必须招标的暂估价项目：达到招标规模标准的暂估价内容，包括专业工程暂估价和材料设备暂估价均应招标确定，并按暂估价磋商文件约定结算。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②计日工：按据实签证结算。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③总承包服务费：总承包服务费包干使用，结算时不作调整。</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（4）新增或变更项目综合单价的结算：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①在已标价工程量清单中有相同子目的采用该子目单价。</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②在已标价工程量清单中有类似子目的可以参照类似子目的单价（由实施</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lang w:val="en-US" w:eastAsia="zh-CN"/>
        </w:rPr>
        <w:t>认定）。</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③在已标价工程量清单中无相同或类似子目的：</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1）执行的规范与定额：</w:t>
      </w:r>
      <w:r>
        <w:rPr>
          <w:rFonts w:hint="eastAsia" w:ascii="宋体" w:hAnsi="宋体" w:eastAsia="宋体" w:cs="宋体"/>
          <w:b w:val="0"/>
          <w:bCs w:val="0"/>
          <w:color w:val="auto"/>
          <w:sz w:val="24"/>
          <w:szCs w:val="24"/>
          <w:highlight w:val="none"/>
          <w:lang w:val="zh-CN" w:eastAsia="zh-CN"/>
        </w:rPr>
        <w:t>区公共资源交易监督管理委员会《关于印发璧山区政府投资项目计价原则(2023年第3期)的通知》(璧公管办〔2023〕5号)</w:t>
      </w:r>
      <w:r>
        <w:rPr>
          <w:rFonts w:hint="eastAsia" w:ascii="宋体" w:hAnsi="宋体" w:cs="宋体"/>
          <w:b w:val="0"/>
          <w:bCs w:val="0"/>
          <w:color w:val="auto"/>
          <w:sz w:val="24"/>
          <w:szCs w:val="24"/>
          <w:highlight w:val="none"/>
          <w:lang w:val="zh-CN" w:eastAsia="zh-CN"/>
        </w:rPr>
        <w:t>、</w:t>
      </w:r>
      <w:r>
        <w:rPr>
          <w:rFonts w:hint="eastAsia" w:ascii="宋体" w:hAnsi="宋体" w:eastAsia="宋体" w:cs="宋体"/>
          <w:color w:val="auto"/>
          <w:szCs w:val="21"/>
          <w:highlight w:val="none"/>
          <w:lang w:val="en-US" w:eastAsia="zh-CN"/>
        </w:rPr>
        <w:t>《建设工程工程量清单计价规范》（GB50500－2013）、《重庆市建设工程工程量计算规则》（CQJLGZ-2013）、《重庆市建设工程工程量清单计价规则》（CQJJ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2018年《重庆市装配式建筑工程计价定额》、2018年《重庆市建设工程费用定额》（CQFYDE-2018）、重庆市住房城乡建委《关于适用增值税新税率调整建设工程计价依据的通知》（渝建〔2019〕143号）及相关配套文件。</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材料及人工价格：增减工程材料价格首先按开标当期《璧山区政府投资项目计价原则》中约定的由重庆市璧山区住房和城乡建设委员会发布的价格执行，其次按开标当期重庆市住房和城乡建设工程造价总站主办的《重庆工程造价》发布的项目所在地的信息价执行；开标当期《璧山区政府投资项目计价原则》中约定的由重庆市璧山区住房和城乡建设委员会发布的价格与重庆市住房和城乡建设工程造价总站主办的《重庆工程造价》中没有的，承包人投标报价中有的，按承包人投标报价中相同材料单价的最低值执行；开标当期《璧山区政府投资项目计价原则》中约定的由重庆市璧山区住房和城乡建设委员会发布的价格、重庆市住房和城乡建设工程造价总站主办的《重庆工程造价》和承包人投标报价没有的，由承包人申报，发包人牵头会同监理人根据市场行情认质核价，并经发包人最终确定为准。增减工程人工价格按重庆2018年定额基价执行。材料人工执行时接受璧山区标后监管机构的监督。</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3）结算下浮比例为：（总价最高限价-</w:t>
      </w:r>
      <w:r>
        <w:rPr>
          <w:rFonts w:hint="eastAsia" w:ascii="宋体" w:hAnsi="宋体" w:cs="宋体"/>
          <w:color w:val="auto"/>
          <w:szCs w:val="21"/>
          <w:highlight w:val="none"/>
          <w:lang w:val="en-US" w:eastAsia="zh-CN"/>
        </w:rPr>
        <w:t>成交总价</w:t>
      </w:r>
      <w:r>
        <w:rPr>
          <w:rFonts w:hint="eastAsia" w:ascii="宋体" w:hAnsi="宋体" w:eastAsia="宋体" w:cs="宋体"/>
          <w:color w:val="auto"/>
          <w:szCs w:val="21"/>
          <w:highlight w:val="none"/>
          <w:lang w:val="en-US" w:eastAsia="zh-CN"/>
        </w:rPr>
        <w:t>）÷总价最高限价。</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④增减工程按《重庆市璧山区政府投资项目管理办法（2022年修订版）》（璧发改〔2022〕265号）规定报批审核同意后实施，由业主单位、施工单位、监理单位按相关规范签证，并接受重庆市璧山区标后监管机构的监督。</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（5）价格调整：按照第11条〔价格调整〕约定约定执行。</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（6）索赔与现场签证：</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1）索赔：按磋商文件及合同约定执行，该约定不违背相关法律法规。</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2）现场签证：按照第10.4.1项〔变更估价原则〕和第14.2.1项〔竣工结算办法〕约定执行。</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（7）奖励、罚金、违约金及其他费用：按磋商文件及合同约定执行，该约定不违背相关法律法规。</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（8）规费：已标价工程量清单中规费费用按《重庆市建设工程费用定额》（CQFYDE-2018）执行。</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税金：包含增值税、城市维护建设税、教育费附加、地方教育附加以及环境保护税。其中增值税按《重庆市建设工程费用定额》（CQFYDE-2018）、《重庆市城乡建设委员会关于适用增值税新税率调整建设工程计价依据的通知》（渝建〔2019〕143号）规定执行，环境保护税按实结算。</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14.2.1.3工程竣工结算价</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工程竣工结算金额由发包人确定后送璧山区审计局审计、璧山区财政局审核，对纳入璧山区审计局审计计划的基本建设项目，竣工结算金额以璧山区审计局审计结算结果为准；对未纳入璧山区审计局审计计划的基本建设项目，竣工结算金额以璧山区财政局审核结算结果为准。</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14.2.2 竣工结算审核期限</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监理人审核竣工付款申请单的期限：</w:t>
      </w:r>
      <w:r>
        <w:rPr>
          <w:rFonts w:hint="eastAsia" w:ascii="宋体" w:hAnsi="宋体" w:eastAsia="宋体" w:cs="宋体"/>
          <w:color w:val="auto"/>
          <w:szCs w:val="21"/>
          <w:highlight w:val="none"/>
          <w:u w:val="single"/>
          <w:lang w:val="en-US" w:eastAsia="zh-CN"/>
        </w:rPr>
        <w:t>在收到竣工结算申请单后10天内</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发包人审核竣工付款申请单的期限：</w:t>
      </w:r>
      <w:r>
        <w:rPr>
          <w:rFonts w:hint="eastAsia" w:ascii="宋体" w:hAnsi="宋体" w:eastAsia="宋体" w:cs="宋体"/>
          <w:color w:val="auto"/>
          <w:szCs w:val="21"/>
          <w:highlight w:val="none"/>
          <w:u w:val="single"/>
          <w:lang w:val="en-US" w:eastAsia="zh-CN"/>
        </w:rPr>
        <w:t>收到监理人提交的经审核的竣工结算申请单后10天内</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发包人完成竣工付款的期限：</w:t>
      </w:r>
      <w:r>
        <w:rPr>
          <w:rFonts w:hint="eastAsia" w:ascii="宋体" w:hAnsi="宋体" w:eastAsia="宋体" w:cs="宋体"/>
          <w:color w:val="auto"/>
          <w:szCs w:val="21"/>
          <w:highlight w:val="none"/>
          <w:u w:val="single"/>
        </w:rPr>
        <w:t xml:space="preserve">完成竣工付款申请单审核后 </w:t>
      </w:r>
      <w:r>
        <w:rPr>
          <w:rFonts w:hint="eastAsia" w:ascii="宋体" w:hAnsi="宋体" w:eastAsia="宋体" w:cs="宋体"/>
          <w:color w:val="auto"/>
          <w:szCs w:val="21"/>
          <w:highlight w:val="none"/>
          <w:u w:val="single"/>
          <w:lang w:val="en-US" w:eastAsia="zh-CN"/>
        </w:rPr>
        <w:t>/</w:t>
      </w:r>
      <w:r>
        <w:rPr>
          <w:rFonts w:hint="eastAsia" w:ascii="宋体" w:hAnsi="宋体" w:eastAsia="宋体" w:cs="宋体"/>
          <w:color w:val="auto"/>
          <w:szCs w:val="21"/>
          <w:highlight w:val="none"/>
          <w:u w:val="single"/>
        </w:rPr>
        <w:t>天内</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关于竣工付款证书异议部分复核的方式和程序： 按照第20条〔争议解决〕约定处理。</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38" w:name="_Toc532375659"/>
      <w:bookmarkStart w:id="1339" w:name="_Toc532377396"/>
      <w:r>
        <w:rPr>
          <w:rFonts w:hint="eastAsia" w:ascii="宋体" w:hAnsi="宋体" w:eastAsia="宋体" w:cs="宋体"/>
          <w:b/>
          <w:color w:val="auto"/>
          <w:kern w:val="2"/>
          <w:sz w:val="28"/>
          <w:szCs w:val="28"/>
          <w:highlight w:val="none"/>
          <w:lang w:val="en-US" w:eastAsia="zh-CN" w:bidi="ar-SA"/>
        </w:rPr>
        <w:t>14.4 最终结清</w:t>
      </w:r>
      <w:bookmarkEnd w:id="1338"/>
      <w:bookmarkEnd w:id="1339"/>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14.4.1 最终结清申请单</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承包人提交最终结清申请单的份数：</w:t>
      </w:r>
      <w:r>
        <w:rPr>
          <w:rFonts w:hint="eastAsia" w:ascii="宋体" w:hAnsi="宋体" w:eastAsia="宋体" w:cs="宋体"/>
          <w:color w:val="auto"/>
          <w:szCs w:val="21"/>
          <w:highlight w:val="none"/>
          <w:u w:val="single"/>
        </w:rPr>
        <w:t>3份</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承包人提交最终结算申请单的期限：</w:t>
      </w:r>
      <w:r>
        <w:rPr>
          <w:rFonts w:hint="eastAsia" w:ascii="宋体" w:hAnsi="宋体" w:eastAsia="宋体" w:cs="宋体"/>
          <w:color w:val="auto"/>
          <w:szCs w:val="21"/>
          <w:highlight w:val="none"/>
          <w:u w:val="single"/>
        </w:rPr>
        <w:t>缺陷责任期终止证书颁发后14天内</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14.4.2 最终结清证书和支付</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（1）发包人完成最终结清申请单的审批并颁发最终结清证书的期限：</w:t>
      </w:r>
      <w:r>
        <w:rPr>
          <w:rFonts w:hint="eastAsia" w:ascii="宋体" w:hAnsi="宋体" w:eastAsia="宋体" w:cs="宋体"/>
          <w:color w:val="auto"/>
          <w:szCs w:val="21"/>
          <w:highlight w:val="none"/>
          <w:u w:val="single"/>
        </w:rPr>
        <w:t>发包人收到完整资料后14天内完成审批并颁发最终结清证书</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（2）发包人完成支付的期限：</w:t>
      </w:r>
      <w:r>
        <w:rPr>
          <w:rFonts w:hint="eastAsia" w:ascii="宋体" w:hAnsi="宋体" w:eastAsia="宋体" w:cs="宋体"/>
          <w:color w:val="auto"/>
          <w:szCs w:val="21"/>
          <w:highlight w:val="none"/>
          <w:u w:val="single"/>
        </w:rPr>
        <w:t>颁发最终结清证书的14天内</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本条补充14.5款：</w:t>
      </w:r>
    </w:p>
    <w:bookmarkEnd w:id="1300"/>
    <w:bookmarkEnd w:id="1301"/>
    <w:bookmarkEnd w:id="1302"/>
    <w:bookmarkEnd w:id="1303"/>
    <w:bookmarkEnd w:id="1304"/>
    <w:bookmarkEnd w:id="1305"/>
    <w:bookmarkEnd w:id="1306"/>
    <w:bookmarkEnd w:id="1307"/>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40" w:name="_Toc532377397"/>
      <w:bookmarkStart w:id="1341" w:name="_Toc532375660"/>
      <w:r>
        <w:rPr>
          <w:rFonts w:hint="eastAsia" w:ascii="宋体" w:hAnsi="宋体" w:eastAsia="宋体" w:cs="宋体"/>
          <w:b/>
          <w:color w:val="auto"/>
          <w:kern w:val="2"/>
          <w:sz w:val="28"/>
          <w:szCs w:val="28"/>
          <w:highlight w:val="none"/>
          <w:lang w:val="en-US" w:eastAsia="zh-CN" w:bidi="ar-SA"/>
        </w:rPr>
        <w:t>14.5 逾期办理或不配合办理竣工结算的处理</w:t>
      </w:r>
      <w:bookmarkEnd w:id="1340"/>
      <w:bookmarkEnd w:id="1341"/>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有下列情形之一的，视为承包人放弃与发包人共同办理竣工结算的权利，发包人有权会同</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、监理人根据有效资料共同确定竣工结算金额。</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（1）承包人逾期未报送竣工结算资料，亦未获得发包人批准延期报送，经发包人两</w:t>
      </w:r>
      <w:bookmarkStart w:id="1342" w:name="_Hlk529133622"/>
      <w:r>
        <w:rPr>
          <w:rFonts w:hint="eastAsia" w:ascii="宋体" w:hAnsi="宋体" w:eastAsia="宋体" w:cs="宋体"/>
          <w:color w:val="auto"/>
          <w:szCs w:val="21"/>
          <w:highlight w:val="none"/>
        </w:rPr>
        <w:t>次书面催告仍未在限期内报送的</w:t>
      </w:r>
      <w:bookmarkEnd w:id="1342"/>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在接到监理人或发包人对竣工结算申请单提出的审核意见后，未在限期内按监理人或发包人提出的合理要求补充资料和（或）修改竣工结算资料，亦未获得发包人批准延期报送，经发包人两次书面催告仍未在限期内报送的；</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（3）承包人不配合发包人、</w:t>
      </w:r>
      <w:r>
        <w:rPr>
          <w:rFonts w:hint="eastAsia" w:ascii="宋体" w:hAnsi="宋体" w:eastAsia="宋体" w:cs="宋体"/>
          <w:color w:val="auto"/>
          <w:szCs w:val="21"/>
          <w:highlight w:val="none"/>
          <w:lang w:eastAsia="zh-CN"/>
        </w:rPr>
        <w:t>跟审单位（如有）</w:t>
      </w:r>
      <w:r>
        <w:rPr>
          <w:rFonts w:hint="eastAsia" w:ascii="宋体" w:hAnsi="宋体" w:eastAsia="宋体" w:cs="宋体"/>
          <w:color w:val="auto"/>
          <w:szCs w:val="21"/>
          <w:highlight w:val="none"/>
        </w:rPr>
        <w:t>、监理人、发包人委托的工程造价咨询服务单位办理竣工结算的，经发包人两次书面函告仍未改正的。</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发包人应在竣工结算定案表确定后28天内，以书面函件形式将竣工结算定案表函告承包人，该定案表自送达之日起生效。该书面函件应采用直接送达方式送达，双方应办理书面签收手续，承包人实际签收日期为送达之日；若承包人拒绝签收的，视为已经送达，以该书面函件载明的签发日期为送达之日</w:t>
      </w:r>
      <w:r>
        <w:rPr>
          <w:rFonts w:hint="eastAsia" w:ascii="宋体" w:hAnsi="宋体" w:eastAsia="宋体" w:cs="宋体"/>
          <w:color w:val="auto"/>
          <w:szCs w:val="21"/>
          <w:highlight w:val="none"/>
        </w:rPr>
        <w:t>。</w:t>
      </w:r>
    </w:p>
    <w:bookmarkEnd w:id="1041"/>
    <w:bookmarkEnd w:id="1042"/>
    <w:bookmarkEnd w:id="1043"/>
    <w:bookmarkEnd w:id="1044"/>
    <w:bookmarkEnd w:id="1045"/>
    <w:bookmarkEnd w:id="1046"/>
    <w:bookmarkEnd w:id="1047"/>
    <w:bookmarkEnd w:id="1048"/>
    <w:p>
      <w:pPr>
        <w:pStyle w:val="6"/>
        <w:keepNext/>
        <w:keepLines/>
        <w:spacing w:before="156" w:beforeLines="50" w:beforeAutospacing="0" w:after="156" w:afterLines="50" w:afterAutospacing="0" w:line="360" w:lineRule="auto"/>
        <w:jc w:val="both"/>
        <w:rPr>
          <w:rFonts w:hint="eastAsia" w:ascii="宋体" w:hAnsi="宋体" w:eastAsia="宋体" w:cs="宋体"/>
          <w:b/>
          <w:color w:val="auto"/>
          <w:kern w:val="2"/>
          <w:sz w:val="28"/>
          <w:szCs w:val="28"/>
          <w:highlight w:val="none"/>
          <w:lang w:val="en-US" w:eastAsia="zh-CN" w:bidi="ar-SA"/>
        </w:rPr>
      </w:pPr>
      <w:bookmarkStart w:id="1343" w:name="_Toc532375661"/>
      <w:bookmarkStart w:id="1344" w:name="_Toc351203647"/>
      <w:bookmarkStart w:id="1345" w:name="_Toc532377398"/>
      <w:bookmarkStart w:id="1346" w:name="_Toc267251483"/>
      <w:bookmarkStart w:id="1347" w:name="_Toc280868718"/>
      <w:bookmarkStart w:id="1348" w:name="_Toc280868717"/>
      <w:r>
        <w:rPr>
          <w:rFonts w:hint="eastAsia" w:ascii="宋体" w:hAnsi="宋体" w:eastAsia="宋体" w:cs="宋体"/>
          <w:b/>
          <w:color w:val="auto"/>
          <w:kern w:val="2"/>
          <w:sz w:val="28"/>
          <w:szCs w:val="28"/>
          <w:highlight w:val="none"/>
          <w:lang w:val="en-US" w:eastAsia="zh-CN" w:bidi="ar-SA"/>
        </w:rPr>
        <w:t>15. 缺陷责任期与保修</w:t>
      </w:r>
      <w:bookmarkEnd w:id="1343"/>
      <w:bookmarkEnd w:id="1344"/>
      <w:bookmarkEnd w:id="1345"/>
    </w:p>
    <w:bookmarkEnd w:id="1346"/>
    <w:p>
      <w:pPr>
        <w:pStyle w:val="7"/>
        <w:spacing w:before="0" w:beforeAutospacing="0" w:after="0" w:afterAutospacing="0" w:line="360" w:lineRule="auto"/>
        <w:ind w:left="0" w:leftChars="0" w:firstLine="0" w:firstLineChars="0"/>
        <w:rPr>
          <w:rFonts w:hint="eastAsia" w:ascii="宋体" w:hAnsi="宋体" w:eastAsia="宋体" w:cs="宋体"/>
          <w:b/>
          <w:color w:val="auto"/>
          <w:kern w:val="2"/>
          <w:sz w:val="28"/>
          <w:szCs w:val="28"/>
          <w:highlight w:val="none"/>
          <w:lang w:val="en-US" w:eastAsia="zh-CN" w:bidi="ar-SA"/>
        </w:rPr>
      </w:pPr>
      <w:bookmarkStart w:id="1349" w:name="_Toc532377399"/>
      <w:bookmarkStart w:id="1350" w:name="_Toc532375662"/>
      <w:r>
        <w:rPr>
          <w:rFonts w:hint="eastAsia" w:ascii="宋体" w:hAnsi="宋体" w:eastAsia="宋体" w:cs="宋体"/>
          <w:b/>
          <w:color w:val="auto"/>
          <w:kern w:val="2"/>
          <w:sz w:val="28"/>
          <w:szCs w:val="28"/>
          <w:highlight w:val="none"/>
          <w:lang w:val="en-US" w:eastAsia="zh-CN" w:bidi="ar-SA"/>
        </w:rPr>
        <w:t>15.3 质量保证金</w:t>
      </w:r>
      <w:bookmarkEnd w:id="1349"/>
      <w:bookmarkEnd w:id="1350"/>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 承包人提供质量保证金的方式</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质量保证金采用以下第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（1）质量保证金保函</w:t>
      </w:r>
    </w:p>
    <w:p>
      <w:pPr>
        <w:spacing w:line="360" w:lineRule="auto"/>
        <w:ind w:right="140" w:rightChars="50" w:firstLine="560" w:firstLineChars="200"/>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u w:val="none"/>
        </w:rPr>
        <w:t>1）</w:t>
      </w:r>
      <w:r>
        <w:rPr>
          <w:rFonts w:hint="eastAsia" w:ascii="宋体" w:hAnsi="宋体" w:eastAsia="宋体" w:cs="宋体"/>
          <w:color w:val="auto"/>
          <w:szCs w:val="21"/>
          <w:highlight w:val="none"/>
          <w:u w:val="none"/>
          <w:lang w:val="en-US" w:eastAsia="zh-CN"/>
        </w:rPr>
        <w:t>缴纳形式：</w:t>
      </w:r>
      <w:r>
        <w:rPr>
          <w:rFonts w:hint="eastAsia" w:ascii="宋体" w:hAnsi="宋体" w:eastAsia="宋体" w:cs="宋体"/>
          <w:color w:val="auto"/>
          <w:kern w:val="0"/>
          <w:szCs w:val="21"/>
          <w:highlight w:val="none"/>
          <w:u w:val="none"/>
          <w:lang w:val="en-US" w:eastAsia="zh-CN"/>
        </w:rPr>
        <w:t>质量保证金</w:t>
      </w:r>
      <w:r>
        <w:rPr>
          <w:rFonts w:hint="eastAsia" w:ascii="宋体" w:hAnsi="宋体" w:eastAsia="宋体" w:cs="宋体"/>
          <w:color w:val="auto"/>
          <w:kern w:val="0"/>
          <w:szCs w:val="21"/>
          <w:highlight w:val="none"/>
          <w:u w:val="none"/>
        </w:rPr>
        <w:t>保函包括银行保函、保证保险和担保保函</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szCs w:val="21"/>
          <w:highlight w:val="none"/>
          <w:u w:val="none"/>
          <w:lang w:val="en-US" w:eastAsia="zh-CN"/>
        </w:rPr>
        <w:t>其示范文本详见合同附件</w:t>
      </w:r>
      <w:r>
        <w:rPr>
          <w:rFonts w:hint="eastAsia" w:ascii="宋体" w:hAnsi="宋体" w:eastAsia="宋体" w:cs="宋体"/>
          <w:color w:val="auto"/>
          <w:szCs w:val="21"/>
          <w:highlight w:val="none"/>
          <w:u w:val="none"/>
          <w:lang w:eastAsia="zh-CN"/>
        </w:rPr>
        <w:t>。</w:t>
      </w:r>
      <w:r>
        <w:rPr>
          <w:rFonts w:hint="eastAsia" w:ascii="宋体" w:hAnsi="宋体" w:eastAsia="宋体" w:cs="宋体"/>
          <w:color w:val="auto"/>
          <w:kern w:val="0"/>
          <w:szCs w:val="21"/>
          <w:highlight w:val="none"/>
          <w:u w:val="none"/>
          <w:lang w:val="en-US" w:eastAsia="zh-CN"/>
        </w:rPr>
        <w:t>承包人提交的质量保证金</w:t>
      </w:r>
      <w:r>
        <w:rPr>
          <w:rFonts w:hint="eastAsia" w:ascii="宋体" w:hAnsi="宋体" w:eastAsia="宋体" w:cs="宋体"/>
          <w:color w:val="auto"/>
          <w:kern w:val="0"/>
          <w:szCs w:val="21"/>
          <w:highlight w:val="none"/>
          <w:u w:val="none"/>
        </w:rPr>
        <w:t>保函</w:t>
      </w:r>
      <w:r>
        <w:rPr>
          <w:rFonts w:hint="eastAsia" w:ascii="宋体" w:hAnsi="宋体" w:eastAsia="宋体" w:cs="宋体"/>
          <w:color w:val="auto"/>
          <w:kern w:val="0"/>
          <w:szCs w:val="21"/>
          <w:highlight w:val="none"/>
          <w:u w:val="none"/>
          <w:lang w:val="en-US" w:eastAsia="zh-CN"/>
        </w:rPr>
        <w:t>应</w:t>
      </w:r>
      <w:r>
        <w:rPr>
          <w:rFonts w:hint="eastAsia" w:ascii="宋体" w:hAnsi="宋体" w:eastAsia="宋体" w:cs="宋体"/>
          <w:color w:val="auto"/>
          <w:kern w:val="0"/>
          <w:szCs w:val="21"/>
          <w:highlight w:val="none"/>
          <w:u w:val="none"/>
        </w:rPr>
        <w:t>严格执行</w:t>
      </w:r>
      <w:r>
        <w:rPr>
          <w:rFonts w:hint="eastAsia" w:ascii="宋体" w:hAnsi="宋体" w:eastAsia="宋体" w:cs="宋体"/>
          <w:color w:val="auto"/>
          <w:kern w:val="0"/>
          <w:szCs w:val="21"/>
          <w:highlight w:val="none"/>
          <w:u w:val="none"/>
          <w:lang w:val="en-US" w:eastAsia="zh-CN"/>
        </w:rPr>
        <w:t>其</w:t>
      </w:r>
      <w:r>
        <w:rPr>
          <w:rFonts w:hint="eastAsia" w:ascii="宋体" w:hAnsi="宋体" w:eastAsia="宋体" w:cs="宋体"/>
          <w:color w:val="auto"/>
          <w:kern w:val="0"/>
          <w:szCs w:val="21"/>
          <w:highlight w:val="none"/>
          <w:u w:val="none"/>
        </w:rPr>
        <w:t>示范文本，不得对示范文本中的实质性内容进行修改</w:t>
      </w:r>
      <w:r>
        <w:rPr>
          <w:rFonts w:hint="eastAsia" w:ascii="宋体" w:hAnsi="宋体" w:eastAsia="宋体" w:cs="宋体"/>
          <w:color w:val="auto"/>
          <w:szCs w:val="21"/>
          <w:highlight w:val="none"/>
          <w:u w:val="none"/>
          <w:lang w:eastAsia="zh-CN"/>
        </w:rPr>
        <w:t>。</w:t>
      </w:r>
    </w:p>
    <w:p>
      <w:pPr>
        <w:spacing w:line="360" w:lineRule="auto"/>
        <w:ind w:right="140" w:rightChars="50"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2）具体要求：</w:t>
      </w:r>
      <w:r>
        <w:rPr>
          <w:rFonts w:hint="eastAsia" w:ascii="宋体" w:hAnsi="宋体" w:eastAsia="宋体" w:cs="宋体"/>
          <w:color w:val="auto"/>
          <w:kern w:val="0"/>
          <w:szCs w:val="21"/>
          <w:highlight w:val="none"/>
          <w:lang w:val="en-US" w:eastAsia="zh-CN"/>
        </w:rPr>
        <w:t>质量保证金</w:t>
      </w:r>
      <w:r>
        <w:rPr>
          <w:rFonts w:hint="eastAsia" w:ascii="宋体" w:hAnsi="宋体" w:eastAsia="宋体" w:cs="宋体"/>
          <w:color w:val="auto"/>
          <w:kern w:val="0"/>
          <w:szCs w:val="21"/>
          <w:highlight w:val="none"/>
        </w:rPr>
        <w:t>保函的开立人应当是具有相应资格的银行、保险机构、融资担保公司，其信用资质、履约能力、担保能力、赔付流程、安全保密等应符合工程保函业务条件</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质量保证金</w:t>
      </w:r>
      <w:r>
        <w:rPr>
          <w:rFonts w:hint="eastAsia" w:ascii="宋体" w:hAnsi="宋体" w:eastAsia="宋体" w:cs="宋体"/>
          <w:color w:val="auto"/>
          <w:kern w:val="0"/>
          <w:szCs w:val="21"/>
          <w:highlight w:val="none"/>
        </w:rPr>
        <w:t>保函</w:t>
      </w:r>
      <w:r>
        <w:rPr>
          <w:rFonts w:hint="eastAsia" w:ascii="宋体" w:hAnsi="宋体" w:eastAsia="宋体" w:cs="宋体"/>
          <w:color w:val="auto"/>
          <w:kern w:val="0"/>
          <w:szCs w:val="21"/>
          <w:highlight w:val="none"/>
          <w:lang w:eastAsia="zh-CN"/>
        </w:rPr>
        <w:t>应合法合规，符合招投标行政监督部门、行业主管部门和金融监管部门的相关规定，满足</w:t>
      </w:r>
      <w:r>
        <w:rPr>
          <w:rFonts w:hint="eastAsia" w:ascii="宋体" w:hAnsi="宋体" w:cs="宋体"/>
          <w:color w:val="auto"/>
          <w:kern w:val="0"/>
          <w:szCs w:val="21"/>
          <w:highlight w:val="none"/>
          <w:lang w:eastAsia="zh-CN"/>
        </w:rPr>
        <w:t>磋商文件</w:t>
      </w:r>
      <w:r>
        <w:rPr>
          <w:rFonts w:hint="eastAsia" w:ascii="宋体" w:hAnsi="宋体" w:eastAsia="宋体" w:cs="宋体"/>
          <w:color w:val="auto"/>
          <w:kern w:val="0"/>
          <w:szCs w:val="21"/>
          <w:highlight w:val="none"/>
          <w:lang w:eastAsia="zh-CN"/>
        </w:rPr>
        <w:t>约定要求。</w:t>
      </w:r>
      <w:r>
        <w:rPr>
          <w:rFonts w:hint="eastAsia" w:ascii="宋体" w:hAnsi="宋体" w:eastAsia="宋体" w:cs="宋体"/>
          <w:color w:val="auto"/>
          <w:kern w:val="0"/>
          <w:szCs w:val="21"/>
          <w:highlight w:val="none"/>
          <w:lang w:val="en-US" w:eastAsia="zh-CN"/>
        </w:rPr>
        <w:t>承包人</w:t>
      </w:r>
      <w:r>
        <w:rPr>
          <w:rFonts w:hint="eastAsia" w:ascii="宋体" w:hAnsi="宋体" w:eastAsia="宋体" w:cs="宋体"/>
          <w:color w:val="auto"/>
          <w:kern w:val="0"/>
          <w:szCs w:val="21"/>
          <w:highlight w:val="none"/>
        </w:rPr>
        <w:t>应选择在渝依法设立总部或者设有分支机构的金融机构开具</w:t>
      </w:r>
      <w:r>
        <w:rPr>
          <w:rFonts w:hint="eastAsia" w:ascii="宋体" w:hAnsi="宋体" w:eastAsia="宋体" w:cs="宋体"/>
          <w:color w:val="auto"/>
          <w:kern w:val="0"/>
          <w:szCs w:val="21"/>
          <w:highlight w:val="none"/>
          <w:lang w:val="en-US" w:eastAsia="zh-CN"/>
        </w:rPr>
        <w:t>质量保证金</w:t>
      </w:r>
      <w:r>
        <w:rPr>
          <w:rFonts w:hint="eastAsia" w:ascii="宋体" w:hAnsi="宋体" w:eastAsia="宋体" w:cs="宋体"/>
          <w:color w:val="auto"/>
          <w:kern w:val="0"/>
          <w:szCs w:val="21"/>
          <w:highlight w:val="none"/>
        </w:rPr>
        <w:t>保函</w:t>
      </w:r>
      <w:r>
        <w:rPr>
          <w:rFonts w:hint="eastAsia" w:ascii="宋体" w:hAnsi="宋体" w:eastAsia="宋体" w:cs="宋体"/>
          <w:color w:val="auto"/>
          <w:kern w:val="0"/>
          <w:szCs w:val="21"/>
          <w:highlight w:val="none"/>
          <w:lang w:val="en-US" w:eastAsia="zh-CN"/>
        </w:rPr>
        <w:t>（包括纸质保函或电子保函）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质量保证金</w:t>
      </w:r>
      <w:r>
        <w:rPr>
          <w:rFonts w:hint="eastAsia" w:ascii="宋体" w:hAnsi="宋体" w:eastAsia="宋体" w:cs="宋体"/>
          <w:color w:val="auto"/>
          <w:kern w:val="0"/>
          <w:szCs w:val="21"/>
          <w:highlight w:val="none"/>
        </w:rPr>
        <w:t>保函</w:t>
      </w:r>
      <w:r>
        <w:rPr>
          <w:rFonts w:hint="eastAsia" w:ascii="宋体" w:hAnsi="宋体" w:eastAsia="宋体" w:cs="宋体"/>
          <w:color w:val="auto"/>
          <w:kern w:val="0"/>
          <w:szCs w:val="21"/>
          <w:highlight w:val="none"/>
          <w:lang w:val="en-US" w:eastAsia="zh-CN"/>
        </w:rPr>
        <w:t>为纸质保函的，纸质保函应注明在</w:t>
      </w:r>
      <w:r>
        <w:rPr>
          <w:rFonts w:hint="eastAsia" w:ascii="宋体" w:hAnsi="宋体" w:eastAsia="宋体" w:cs="宋体"/>
          <w:color w:val="auto"/>
          <w:kern w:val="0"/>
          <w:szCs w:val="21"/>
          <w:highlight w:val="none"/>
        </w:rPr>
        <w:t>重庆市辖区范围内的核验地址和核验方式</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并确保该纸质保函能在开立人在渝的总部或者分支机构进行核验</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承包人对所提交的质量保证金</w:t>
      </w:r>
      <w:r>
        <w:rPr>
          <w:rFonts w:hint="eastAsia" w:ascii="宋体" w:hAnsi="宋体" w:eastAsia="宋体" w:cs="宋体"/>
          <w:color w:val="auto"/>
          <w:kern w:val="0"/>
          <w:szCs w:val="21"/>
          <w:highlight w:val="none"/>
        </w:rPr>
        <w:t>保函</w:t>
      </w:r>
      <w:r>
        <w:rPr>
          <w:rFonts w:hint="eastAsia" w:ascii="宋体" w:hAnsi="宋体" w:eastAsia="宋体" w:cs="宋体"/>
          <w:color w:val="auto"/>
          <w:kern w:val="0"/>
          <w:szCs w:val="21"/>
          <w:highlight w:val="none"/>
          <w:lang w:val="en-US" w:eastAsia="zh-CN"/>
        </w:rPr>
        <w:t>的真实性、合法性、有效性负责。</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3）保函金额为：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rPr>
        <w:t>4</w:t>
      </w:r>
      <w:r>
        <w:rPr>
          <w:rFonts w:hint="eastAsia" w:ascii="宋体" w:hAnsi="宋体" w:eastAsia="宋体" w:cs="宋体"/>
          <w:color w:val="auto"/>
          <w:szCs w:val="21"/>
          <w:highlight w:val="none"/>
        </w:rPr>
        <w:t>）提交时间：</w:t>
      </w:r>
      <w:r>
        <w:rPr>
          <w:rFonts w:hint="eastAsia" w:ascii="宋体" w:hAnsi="宋体" w:eastAsia="宋体" w:cs="宋体"/>
          <w:color w:val="auto"/>
          <w:szCs w:val="21"/>
          <w:highlight w:val="none"/>
          <w:u w:val="single"/>
        </w:rPr>
        <w:t>工程竣工验收合格后14天内</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承包人提交质量保证金保函的，发包人应同时退还（若有）扣留的作为质量保证金的工程价款、履约担保、低价风险担保</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若有）</w:t>
      </w:r>
      <w:r>
        <w:rPr>
          <w:rFonts w:hint="eastAsia" w:ascii="宋体" w:hAnsi="宋体" w:eastAsia="宋体" w:cs="宋体"/>
          <w:color w:val="auto"/>
          <w:szCs w:val="21"/>
          <w:highlight w:val="none"/>
          <w:u w:val="single"/>
        </w:rPr>
        <w:t>；保函金额不得超过工程价款结算总额的3%</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（2）竣工结算价的</w:t>
      </w:r>
      <w:r>
        <w:rPr>
          <w:rFonts w:hint="eastAsia" w:ascii="宋体" w:hAnsi="宋体" w:eastAsia="宋体" w:cs="宋体"/>
          <w:color w:val="auto"/>
          <w:szCs w:val="21"/>
          <w:highlight w:val="none"/>
          <w:u w:val="single"/>
        </w:rPr>
        <w:t xml:space="preserve"> 3%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（3）其他方式：</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 质量保证金的扣留</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质量保证金的扣留采取以下第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（1）在支付工程进度款时逐次扣留，在此情形下，质量保证金的计算基数不包括预付款的支付、扣回以及价格调整的金额；</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（2）工程竣工结算时一次性扣留质量保证金；</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其他扣留方式：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15.3.3质量保证金的退还</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（1）在发包人颁发缺陷责任期终止证书之日起14天内退还。</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（2）缺陷责任期内，承包人认真履行合同约定的责任，到期后，承包人可向发包人申请返还质量保证金。</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（3）质量保证金是否支付利息采取以下</w:t>
      </w:r>
      <w:r>
        <w:rPr>
          <w:rFonts w:hint="eastAsia" w:ascii="宋体" w:hAnsi="宋体" w:eastAsia="宋体" w:cs="宋体"/>
          <w:color w:val="auto"/>
          <w:szCs w:val="21"/>
          <w:highlight w:val="none"/>
          <w:u w:val="single"/>
        </w:rPr>
        <w:t>第②种</w:t>
      </w:r>
      <w:r>
        <w:rPr>
          <w:rFonts w:hint="eastAsia" w:ascii="宋体" w:hAnsi="宋体" w:eastAsia="宋体" w:cs="宋体"/>
          <w:color w:val="auto"/>
          <w:szCs w:val="21"/>
          <w:highlight w:val="none"/>
        </w:rPr>
        <w:t>方式：</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①按照中国人民银行  年  月公布的5年期贷款市场报价利率支付利息</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②不采用</w:t>
      </w:r>
      <w:r>
        <w:rPr>
          <w:rFonts w:hint="eastAsia" w:ascii="宋体" w:hAnsi="宋体" w:eastAsia="宋体" w:cs="宋体"/>
          <w:color w:val="auto"/>
          <w:szCs w:val="21"/>
          <w:highlight w:val="none"/>
        </w:rPr>
        <w:t>。</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51" w:name="_Toc532375663"/>
      <w:bookmarkStart w:id="1352" w:name="_Toc532377400"/>
      <w:r>
        <w:rPr>
          <w:rFonts w:hint="eastAsia" w:ascii="宋体" w:hAnsi="宋体" w:eastAsia="宋体" w:cs="宋体"/>
          <w:b/>
          <w:color w:val="auto"/>
          <w:kern w:val="2"/>
          <w:sz w:val="28"/>
          <w:szCs w:val="28"/>
          <w:highlight w:val="none"/>
          <w:lang w:val="en-US" w:eastAsia="zh-CN" w:bidi="ar-SA"/>
        </w:rPr>
        <w:t>15.4 保修</w:t>
      </w:r>
      <w:bookmarkEnd w:id="1351"/>
      <w:bookmarkEnd w:id="1352"/>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15.4.1 保修责任</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工程保修期为：</w:t>
      </w:r>
      <w:bookmarkStart w:id="1353" w:name="_Hlk524381274"/>
      <w:r>
        <w:rPr>
          <w:rFonts w:hint="eastAsia" w:ascii="宋体" w:hAnsi="宋体" w:eastAsia="宋体" w:cs="宋体"/>
          <w:color w:val="auto"/>
          <w:szCs w:val="21"/>
          <w:highlight w:val="none"/>
        </w:rPr>
        <w:t>按照附件1《工程质量保修书》的规定执行。</w:t>
      </w:r>
      <w:bookmarkEnd w:id="1353"/>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15.4.3 修复通知</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承包人收到保修通知并到达工程现场的合理时间：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24</w:t>
      </w:r>
      <w:r>
        <w:rPr>
          <w:rFonts w:hint="eastAsia" w:ascii="宋体" w:hAnsi="宋体" w:eastAsia="宋体" w:cs="宋体"/>
          <w:color w:val="auto"/>
          <w:szCs w:val="21"/>
          <w:highlight w:val="none"/>
          <w:u w:val="single"/>
        </w:rPr>
        <w:t>小时内，最长不能超过</w:t>
      </w:r>
      <w:r>
        <w:rPr>
          <w:rFonts w:hint="eastAsia" w:ascii="宋体" w:hAnsi="宋体" w:eastAsia="宋体" w:cs="宋体"/>
          <w:color w:val="auto"/>
          <w:szCs w:val="21"/>
          <w:highlight w:val="none"/>
          <w:u w:val="single"/>
          <w:lang w:val="en-US" w:eastAsia="zh-CN"/>
        </w:rPr>
        <w:t>48</w:t>
      </w:r>
      <w:r>
        <w:rPr>
          <w:rFonts w:hint="eastAsia" w:ascii="宋体" w:hAnsi="宋体" w:eastAsia="宋体" w:cs="宋体"/>
          <w:color w:val="auto"/>
          <w:szCs w:val="21"/>
          <w:highlight w:val="none"/>
          <w:u w:val="single"/>
        </w:rPr>
        <w:t>小时</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54" w:name="_Toc532377401"/>
      <w:bookmarkStart w:id="1355" w:name="_Toc532375664"/>
      <w:bookmarkStart w:id="1356" w:name="_Toc351203648"/>
      <w:r>
        <w:rPr>
          <w:rFonts w:hint="eastAsia" w:ascii="宋体" w:hAnsi="宋体" w:eastAsia="宋体" w:cs="宋体"/>
          <w:b/>
          <w:color w:val="auto"/>
          <w:kern w:val="2"/>
          <w:sz w:val="28"/>
          <w:szCs w:val="28"/>
          <w:highlight w:val="none"/>
          <w:lang w:val="en-US" w:eastAsia="zh-CN" w:bidi="ar-SA"/>
        </w:rPr>
        <w:t>16. 违约</w:t>
      </w:r>
      <w:bookmarkEnd w:id="1354"/>
      <w:bookmarkEnd w:id="1355"/>
      <w:bookmarkEnd w:id="1356"/>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57" w:name="_Toc532377402"/>
      <w:r>
        <w:rPr>
          <w:rFonts w:hint="eastAsia" w:ascii="宋体" w:hAnsi="宋体" w:eastAsia="宋体" w:cs="宋体"/>
          <w:b/>
          <w:color w:val="auto"/>
          <w:kern w:val="2"/>
          <w:sz w:val="28"/>
          <w:szCs w:val="28"/>
          <w:highlight w:val="none"/>
          <w:lang w:val="en-US" w:eastAsia="zh-CN" w:bidi="ar-SA"/>
        </w:rPr>
        <w:t>16.1 发包人违约</w:t>
      </w:r>
      <w:bookmarkEnd w:id="1357"/>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16.1.1 发包人违约的情形</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除通用合同条款约定外，发包人违约的其他情形：</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（1）根据专用合同条款7.5.1项因发包人原因导致工期延误的；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（2）因发包人原因未能及时办理完毕合同约定的许可、批准或备案的；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（3）因监理人未能按合同约定发出指示、指示延误或发出了错误指示而导致承包人费用增加和（或）工期延误的；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（4）根据5.3.3发包人或监理人要求重新检查的，经检查证明工程质量符合合同要求的，并由此产生增加的费用和（或）延误的工期的；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（5）因发包人原因造成工程质量未达到合同约定标准的；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（6）由于发包人原因对承包人造成的人员人身伤亡和财产损失的；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（7）因发包人原因导致工程无法按期办理竣工验收或竣工结算的；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（8）发包人无正当理由未按约定退还履约担保、低价风险担保、预付款担保或质量保证金的；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（9）发包人不当提取履约担保、低价风险担保或质量保证金的；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（10）发包人未按合同约定接收全部或部分工作的；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（11）发包人未按合同约定办理保险的；</w:t>
      </w:r>
    </w:p>
    <w:p>
      <w:pPr>
        <w:snapToGrid w:val="0"/>
        <w:spacing w:line="360" w:lineRule="auto"/>
        <w:ind w:firstLine="56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none"/>
        </w:rPr>
        <w:t>（12）其他：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16.1.2发包人违约的责任</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（1）因发包人原因未能在计划开工日期前 7 天内下达开工通知的违约责任：</w:t>
      </w:r>
      <w:r>
        <w:rPr>
          <w:rFonts w:hint="eastAsia" w:ascii="宋体" w:hAnsi="宋体" w:eastAsia="宋体" w:cs="宋体"/>
          <w:color w:val="auto"/>
          <w:kern w:val="0"/>
          <w:szCs w:val="21"/>
          <w:highlight w:val="none"/>
          <w:u w:val="single"/>
        </w:rPr>
        <w:t>除顺延工期外不承担其他责任。</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（2）因发包人原因未按合同约定支付合同价款的违约责任：</w:t>
      </w:r>
      <w:r>
        <w:rPr>
          <w:rFonts w:hint="eastAsia" w:ascii="宋体" w:hAnsi="宋体" w:eastAsia="宋体" w:cs="宋体"/>
          <w:color w:val="auto"/>
          <w:kern w:val="0"/>
          <w:szCs w:val="21"/>
          <w:highlight w:val="none"/>
          <w:u w:val="single"/>
        </w:rPr>
        <w:t>除顺延工期外不承担其他责任。</w:t>
      </w:r>
      <w:r>
        <w:rPr>
          <w:rFonts w:hint="eastAsia" w:ascii="宋体" w:hAnsi="宋体" w:eastAsia="宋体" w:cs="宋体"/>
          <w:color w:val="auto"/>
          <w:kern w:val="0"/>
          <w:szCs w:val="21"/>
          <w:highlight w:val="none"/>
        </w:rPr>
        <w:t xml:space="preserve"> </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（3）发包人违反合同约定，自行实施或转由他人实施被取消的合同工作内容的违约责任：</w:t>
      </w:r>
      <w:r>
        <w:rPr>
          <w:rFonts w:hint="eastAsia" w:ascii="宋体" w:hAnsi="宋体" w:eastAsia="宋体" w:cs="宋体"/>
          <w:color w:val="auto"/>
          <w:kern w:val="0"/>
          <w:szCs w:val="21"/>
          <w:highlight w:val="none"/>
          <w:u w:val="single"/>
        </w:rPr>
        <w:t>除顺延工期外不承担其他责任。</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提供的基准资料错误并导致承包人测量放线工作返工或造成工程损失的，以及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Cs w:val="21"/>
          <w:highlight w:val="none"/>
          <w:u w:val="single"/>
        </w:rPr>
        <w:t>除顺延工期外不承担其他责任。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（5）因发包人原因造成工程质量未达到合同约定标准的：</w:t>
      </w:r>
      <w:r>
        <w:rPr>
          <w:rFonts w:hint="eastAsia" w:ascii="宋体" w:hAnsi="宋体" w:eastAsia="宋体" w:cs="宋体"/>
          <w:color w:val="auto"/>
          <w:kern w:val="0"/>
          <w:szCs w:val="21"/>
          <w:highlight w:val="none"/>
          <w:u w:val="single"/>
        </w:rPr>
        <w:t>除顺延工期外不承担其他责任。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（6）因发包人违反合同约定造成暂停施工的违约责任：</w:t>
      </w:r>
      <w:r>
        <w:rPr>
          <w:rFonts w:hint="eastAsia" w:ascii="宋体" w:hAnsi="宋体" w:eastAsia="宋体" w:cs="宋体"/>
          <w:color w:val="auto"/>
          <w:kern w:val="0"/>
          <w:szCs w:val="21"/>
          <w:highlight w:val="none"/>
          <w:u w:val="single"/>
        </w:rPr>
        <w:t>除顺延工期外不承担其他责任。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（7）发包人无正当理由没有在约定期限内发出复工指示，导致承包人无法复工的违约责任：</w:t>
      </w:r>
      <w:r>
        <w:rPr>
          <w:rFonts w:hint="eastAsia" w:ascii="宋体" w:hAnsi="宋体" w:eastAsia="宋体" w:cs="宋体"/>
          <w:color w:val="auto"/>
          <w:kern w:val="0"/>
          <w:szCs w:val="21"/>
          <w:highlight w:val="none"/>
          <w:u w:val="single"/>
        </w:rPr>
        <w:t>除顺延工期外不承担其他责任。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（8）因发包人原因导致工程无法按期办理竣工验收或竣工结算的违约责任：</w:t>
      </w:r>
      <w:r>
        <w:rPr>
          <w:rFonts w:hint="eastAsia" w:ascii="宋体" w:hAnsi="宋体" w:eastAsia="宋体" w:cs="宋体"/>
          <w:color w:val="auto"/>
          <w:kern w:val="0"/>
          <w:szCs w:val="21"/>
          <w:highlight w:val="none"/>
          <w:u w:val="single"/>
        </w:rPr>
        <w:t>除顺延工期外不承担其他责任。</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）其他：</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val="en-US" w:eastAsia="zh-CN"/>
        </w:rPr>
        <w:t>/</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autoSpaceDE w:val="0"/>
        <w:autoSpaceDN w:val="0"/>
        <w:adjustRightIn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发包人发生除通用条款第16.1.1项第（7）目以外的违约情况时，承包人可向发包人发出通知，要求发包人采取有效措施纠正违约行为。发包人收到承包人通知后的28天内仍不履行合同义务，承包人有权暂停施工，并通知监理人。</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16.1.3 因发包人违约解除合同</w:t>
      </w:r>
    </w:p>
    <w:p>
      <w:pPr>
        <w:autoSpaceDE w:val="0"/>
        <w:autoSpaceDN w:val="0"/>
        <w:adjustRightIn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因发包人违约并致使合同目的不能实现的，承包人有权解除合同：</w:t>
      </w:r>
    </w:p>
    <w:p>
      <w:pPr>
        <w:autoSpaceDE w:val="0"/>
        <w:autoSpaceDN w:val="0"/>
        <w:adjustRightIn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（1）因发包人原因延迟支付合同价款超过180天的；</w:t>
      </w:r>
    </w:p>
    <w:p>
      <w:pPr>
        <w:autoSpaceDE w:val="0"/>
        <w:autoSpaceDN w:val="0"/>
        <w:adjustRightIn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（2）因发包人原因导致工期延误超过90天的；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（3）因发包人第16.1.2（5）违约情形导致暂停施工满56天，且发包人仍未纠正其违约行为的；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（4）其他未履行合同项下的义务构成对合同的实质性违约，并且在收到承包人要求说明其违约并予以补救的通知后56天内仍未补救该实质性违约的；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u w:val="single"/>
        </w:rPr>
        <w:t>合同约定的承包人有权解除合同的其他情形</w:t>
      </w:r>
      <w:r>
        <w:rPr>
          <w:rFonts w:hint="eastAsia" w:ascii="宋体" w:hAnsi="宋体" w:eastAsia="宋体" w:cs="宋体"/>
          <w:color w:val="auto"/>
          <w:kern w:val="0"/>
          <w:szCs w:val="21"/>
          <w:highlight w:val="none"/>
        </w:rPr>
        <w:t>。</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16.1.4 因发包人违约解除合同后的付款</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承包人按照本款约定解除合同的，发包人应在解除合同后28天内支付下列款项，并解除履约担保、低价风险担保、预付款担保：</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（1）合同解除前所完成工作的价款；</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（2）承包人为工程施工订购并已付款的材料、工程设备和其他物品的价款；</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（3）承包人撤离施工现场以及遣散承包人人员的款项；</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（4）按照合同约定在合同解除前应支付的违约金；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（5）按照合同约定应当支付给承包人的其他款项；</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（6）按照合同约定应退还的质量保证金；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（7）因解除合同给承包人造成的损失；</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r>
        <w:rPr>
          <w:rFonts w:hint="eastAsia" w:ascii="宋体" w:hAnsi="宋体" w:eastAsia="宋体" w:cs="宋体"/>
          <w:color w:val="auto"/>
          <w:kern w:val="0"/>
          <w:szCs w:val="21"/>
          <w:highlight w:val="none"/>
          <w:u w:val="single"/>
        </w:rPr>
        <w:t xml:space="preserve">        。</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合同当事人未能就解除合同后的结清达成一致的，按照第20条〔争议解决〕的约定处理。</w:t>
      </w:r>
    </w:p>
    <w:p>
      <w:pPr>
        <w:snapToGrid w:val="0"/>
        <w:spacing w:line="360" w:lineRule="auto"/>
        <w:ind w:firstLine="56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承包人应妥善做好已完工程和与工程有关的已购材料、工程设备的保护和移交工作，并将施工设备和人员撤出施工现场，发包人应为承包人撤出提供必要条件。</w:t>
      </w:r>
    </w:p>
    <w:p>
      <w:pPr>
        <w:pStyle w:val="7"/>
        <w:spacing w:before="0" w:beforeAutospacing="0" w:after="0" w:afterAutospacing="0" w:line="360" w:lineRule="auto"/>
        <w:ind w:left="0" w:leftChars="0" w:firstLine="562" w:firstLineChars="200"/>
        <w:rPr>
          <w:rFonts w:hint="eastAsia" w:ascii="宋体" w:hAnsi="宋体" w:eastAsia="宋体" w:cs="宋体"/>
          <w:b/>
          <w:color w:val="auto"/>
          <w:kern w:val="2"/>
          <w:sz w:val="28"/>
          <w:szCs w:val="28"/>
          <w:highlight w:val="none"/>
          <w:lang w:val="en-US" w:eastAsia="zh-CN" w:bidi="ar-SA"/>
        </w:rPr>
      </w:pPr>
      <w:bookmarkStart w:id="1358" w:name="_Toc532377403"/>
      <w:r>
        <w:rPr>
          <w:rFonts w:hint="eastAsia" w:ascii="宋体" w:hAnsi="宋体" w:eastAsia="宋体" w:cs="宋体"/>
          <w:b/>
          <w:color w:val="auto"/>
          <w:kern w:val="2"/>
          <w:sz w:val="28"/>
          <w:szCs w:val="28"/>
          <w:highlight w:val="none"/>
          <w:lang w:val="en-US" w:eastAsia="zh-CN" w:bidi="ar-SA"/>
        </w:rPr>
        <w:t>16.2 承包人违约</w:t>
      </w:r>
      <w:bookmarkEnd w:id="1358"/>
    </w:p>
    <w:p>
      <w:pPr>
        <w:snapToGrid w:val="0"/>
        <w:spacing w:line="360" w:lineRule="auto"/>
        <w:ind w:firstLine="560" w:firstLineChars="200"/>
        <w:jc w:val="left"/>
        <w:rPr>
          <w:rFonts w:hint="eastAsia" w:ascii="宋体" w:hAnsi="宋体" w:eastAsia="宋体" w:cs="宋体"/>
          <w:color w:val="auto"/>
          <w:kern w:val="0"/>
          <w:szCs w:val="21"/>
          <w:highlight w:val="none"/>
        </w:rPr>
      </w:pPr>
      <w:bookmarkStart w:id="1359" w:name="_Hlk524380579"/>
      <w:r>
        <w:rPr>
          <w:rFonts w:hint="eastAsia" w:ascii="宋体" w:hAnsi="宋体" w:eastAsia="宋体" w:cs="宋体"/>
          <w:color w:val="auto"/>
          <w:kern w:val="0"/>
          <w:szCs w:val="21"/>
          <w:highlight w:val="none"/>
        </w:rPr>
        <w:t>16.2.1 承包人违约的情形</w:t>
      </w:r>
    </w:p>
    <w:p>
      <w:pPr>
        <w:snapToGrid w:val="0"/>
        <w:spacing w:line="360" w:lineRule="auto"/>
        <w:ind w:firstLine="56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除通用合同条款约定外，承包人违约的其他情形：</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（1）承包人未按合同约定提交履约担保或质量保证金的；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（2）承包人未能按期开工的；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（3）承包人未按</w:t>
      </w:r>
      <w:r>
        <w:rPr>
          <w:rFonts w:hint="eastAsia" w:ascii="宋体" w:hAnsi="宋体" w:cs="宋体"/>
          <w:color w:val="auto"/>
          <w:kern w:val="0"/>
          <w:szCs w:val="21"/>
          <w:highlight w:val="none"/>
          <w:lang w:eastAsia="zh-CN"/>
        </w:rPr>
        <w:t>响应文件</w:t>
      </w:r>
      <w:r>
        <w:rPr>
          <w:rFonts w:hint="eastAsia" w:ascii="宋体" w:hAnsi="宋体" w:eastAsia="宋体" w:cs="宋体"/>
          <w:color w:val="auto"/>
          <w:kern w:val="0"/>
          <w:szCs w:val="21"/>
          <w:highlight w:val="none"/>
        </w:rPr>
        <w:t>或监理人的要求及时配备称职的主要管理人员，或承包人未按经审定的施工组织设计配备或更换关键施工设备的；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（4）承包人有安全问题或有违反安全管理规章制度情况的；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（5）承包人在缺陷责任期及保修期内，未能在合理期限对工程缺陷进行修复，或拒绝按发包人要求进行修复的；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（6）承包人拖欠其工人或所雇人员工资或报酬，导致其工人或所雇人员向有关部门投诉、控告、检举或以聚集等方式讨要工资或报酬的；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（7）承包人不配合发包人、监理人及发包人委托的工程造价咨询服务单位结算审核或承包人其他原因导致未按期完成工程竣工结算的；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（8）承包人违反合同约定进行转包或违法分包的；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（9）承包人未按合同约定移交全部或部分工作的；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（10）承包人未按合同约定购买保险的；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（11）项目经理若有以下情形，属于承包人违约：</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1）项目经理不按承诺到岗的；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2）每月在施工现场的天数少于约定天数的；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3）承包人未提交项目经理劳动合同和社会保险证明的；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4）未经批准，擅自离开施工现场（超过约定时间）的；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5）未经批准，擅自变更项目经理的；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6）按照渝建发〔2015〕35号文的要求，施工期间，项目经理因在一个记分周期内累计记分达到12分，被建设行政主管部门依法责令停止执业的；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7）发包人有正当理由认为项目经理不称职/不履职，且承包人在约定时间内不予更换的；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8）其他双方约定的情形：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（12）技术负责人若有以下情形，属于承包人违约：</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1）每月在施工现场的天数少于约定天数的；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2）承包人未提交技术负责人劳动合同和社会保险证明的；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3）未经批准，擅自离开施工现场（超过约定时间）的；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4）未经批准，擅自变更技术负责人的；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5）发包人有正当理由认为技术负责人不称职/不履职，且承包人在约定时间内不予更换的；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6）其他双方约定的情形：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（13）主要施工管理人员若有以下情形，属于承包人违约：</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1）承包人未提交主要管理人员劳动合同和社会保险证明的；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2）未经批准，擅自离开施工现场（超过约定时间）的；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3）未经批准，擅自变更主要施工管理人员的；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4）发包人有正当理由认为主要施工管理人员不称职/不履职，且承包人在约定时间内不予更换的；</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5）其他双方约定的情形：</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r>
        <w:rPr>
          <w:rFonts w:hint="eastAsia" w:ascii="宋体" w:hAnsi="宋体" w:eastAsia="宋体" w:cs="宋体"/>
          <w:color w:val="auto"/>
          <w:kern w:val="0"/>
          <w:szCs w:val="21"/>
          <w:highlight w:val="none"/>
          <w:u w:val="single"/>
        </w:rPr>
        <w:t xml:space="preserve">        。</w:t>
      </w:r>
    </w:p>
    <w:bookmarkEnd w:id="1359"/>
    <w:p>
      <w:pPr>
        <w:adjustRightInd w:val="0"/>
        <w:snapToGrid w:val="0"/>
        <w:spacing w:line="360" w:lineRule="auto"/>
        <w:ind w:firstLine="56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16.2.2 承包人违约的责任</w:t>
      </w:r>
    </w:p>
    <w:p>
      <w:pPr>
        <w:adjustRightInd w:val="0"/>
        <w:snapToGrid w:val="0"/>
        <w:spacing w:line="360" w:lineRule="auto"/>
        <w:ind w:firstLine="56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承包人违约责任的承担方式和计算方法：</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（1）承包人未按合同约定提交履约担保、质量保证金的违约责任：承包人应支付违约金，</w:t>
      </w:r>
      <w:r>
        <w:rPr>
          <w:rFonts w:hint="eastAsia" w:ascii="宋体" w:hAnsi="宋体" w:eastAsia="宋体" w:cs="宋体"/>
          <w:color w:val="auto"/>
          <w:szCs w:val="21"/>
          <w:highlight w:val="none"/>
        </w:rPr>
        <w:t>违约金的计算方法：</w:t>
      </w:r>
      <w:r>
        <w:rPr>
          <w:rFonts w:hint="eastAsia" w:ascii="宋体" w:hAnsi="宋体" w:eastAsia="宋体" w:cs="宋体"/>
          <w:color w:val="auto"/>
          <w:kern w:val="0"/>
          <w:szCs w:val="21"/>
          <w:highlight w:val="none"/>
        </w:rPr>
        <w:t>每延误1天，承包人按</w:t>
      </w:r>
      <w:r>
        <w:rPr>
          <w:rFonts w:hint="eastAsia" w:ascii="宋体" w:hAnsi="宋体" w:eastAsia="宋体" w:cs="宋体"/>
          <w:color w:val="auto"/>
          <w:kern w:val="0"/>
          <w:szCs w:val="21"/>
          <w:highlight w:val="none"/>
          <w:u w:val="single"/>
        </w:rPr>
        <w:t xml:space="preserve">  5000元/天</w:t>
      </w:r>
      <w:r>
        <w:rPr>
          <w:rFonts w:hint="eastAsia" w:ascii="宋体" w:hAnsi="宋体" w:eastAsia="宋体" w:cs="宋体"/>
          <w:color w:val="auto"/>
          <w:kern w:val="0"/>
          <w:szCs w:val="21"/>
          <w:highlight w:val="none"/>
        </w:rPr>
        <w:t>计算违约金，累计违约金上限：</w:t>
      </w:r>
      <w:r>
        <w:rPr>
          <w:rFonts w:hint="eastAsia" w:ascii="宋体" w:hAnsi="宋体" w:eastAsia="宋体" w:cs="宋体"/>
          <w:color w:val="auto"/>
          <w:kern w:val="0"/>
          <w:szCs w:val="21"/>
          <w:highlight w:val="none"/>
          <w:u w:val="single"/>
        </w:rPr>
        <w:t xml:space="preserve">  万元（不超过签约合同价的3%）</w:t>
      </w:r>
      <w:r>
        <w:rPr>
          <w:rFonts w:hint="eastAsia" w:ascii="宋体" w:hAnsi="宋体" w:eastAsia="宋体" w:cs="宋体"/>
          <w:color w:val="auto"/>
          <w:kern w:val="0"/>
          <w:szCs w:val="21"/>
          <w:highlight w:val="none"/>
          <w:lang w:val="zh-CN"/>
        </w:rPr>
        <w:t>。</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（2）承包人违反合同约定进行转包或违法分包的违约责任：按照违反合同约定进行转包和（或）违法分包相应转包和（或）分包合同的合同金额的</w:t>
      </w:r>
      <w:r>
        <w:rPr>
          <w:rFonts w:hint="eastAsia" w:ascii="宋体" w:hAnsi="宋体" w:eastAsia="宋体" w:cs="宋体"/>
          <w:color w:val="auto"/>
          <w:kern w:val="0"/>
          <w:szCs w:val="21"/>
          <w:highlight w:val="none"/>
          <w:u w:val="single"/>
        </w:rPr>
        <w:t xml:space="preserve">  5%</w:t>
      </w:r>
      <w:r>
        <w:rPr>
          <w:rFonts w:hint="eastAsia" w:ascii="宋体" w:hAnsi="宋体" w:eastAsia="宋体" w:cs="宋体"/>
          <w:color w:val="auto"/>
          <w:kern w:val="0"/>
          <w:szCs w:val="21"/>
          <w:highlight w:val="none"/>
        </w:rPr>
        <w:t>支付违约金，违法转/分包商应在7天内撤离出场。</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（3）承包人违反合同约定采购和使用不合格的材料和工程设备的违约责任：按照违反合同约定采购和使用不合格的材料和（或）工程设备相应合同金额的</w:t>
      </w:r>
      <w:r>
        <w:rPr>
          <w:rFonts w:hint="eastAsia" w:ascii="宋体" w:hAnsi="宋体" w:eastAsia="宋体" w:cs="宋体"/>
          <w:color w:val="auto"/>
          <w:kern w:val="0"/>
          <w:szCs w:val="21"/>
          <w:highlight w:val="none"/>
          <w:u w:val="single"/>
        </w:rPr>
        <w:t xml:space="preserve">  5%</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（4）因承包人原因导致工程质量不符合规定或合同要求的违约责任：承包人退还已支付工程质量不符合合同要求工程的工程款，并按照工程质量不符合合同要求工程相应合同金额的</w:t>
      </w:r>
      <w:r>
        <w:rPr>
          <w:rFonts w:hint="eastAsia" w:ascii="宋体" w:hAnsi="宋体" w:eastAsia="宋体" w:cs="宋体"/>
          <w:color w:val="auto"/>
          <w:kern w:val="0"/>
          <w:szCs w:val="21"/>
          <w:highlight w:val="none"/>
          <w:u w:val="single"/>
        </w:rPr>
        <w:t xml:space="preserve">  5%</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（5）承包人违反材料与设备的约定，未经批准，擅自将已按照合同约定进入施工现场的材料或设备撤离施工现场的违约责任：按照承包人擅自撤离施工现场材料和（或）设备相应合同金额的</w:t>
      </w:r>
      <w:r>
        <w:rPr>
          <w:rFonts w:hint="eastAsia" w:ascii="宋体" w:hAnsi="宋体" w:eastAsia="宋体" w:cs="宋体"/>
          <w:color w:val="auto"/>
          <w:kern w:val="0"/>
          <w:szCs w:val="21"/>
          <w:highlight w:val="none"/>
          <w:u w:val="single"/>
        </w:rPr>
        <w:t>1%</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（6）因承包人原因造成工期延误的违约承担方式和计算方法：由承包人承担由此增加的费用，</w:t>
      </w:r>
      <w:r>
        <w:rPr>
          <w:rFonts w:hint="eastAsia" w:ascii="宋体" w:hAnsi="宋体" w:eastAsia="宋体" w:cs="宋体"/>
          <w:color w:val="auto"/>
          <w:szCs w:val="21"/>
          <w:highlight w:val="none"/>
        </w:rPr>
        <w:t>由此导致工期延误的，工期不予顺延；逾期竣工违约金的计算方法：</w:t>
      </w:r>
      <w:r>
        <w:rPr>
          <w:rFonts w:hint="eastAsia" w:ascii="宋体" w:hAnsi="宋体" w:eastAsia="宋体" w:cs="宋体"/>
          <w:color w:val="auto"/>
          <w:kern w:val="0"/>
          <w:szCs w:val="21"/>
          <w:highlight w:val="none"/>
        </w:rPr>
        <w:t>每延误1天，承包人按</w:t>
      </w:r>
      <w:r>
        <w:rPr>
          <w:rFonts w:hint="eastAsia" w:ascii="宋体" w:hAnsi="宋体" w:eastAsia="宋体" w:cs="宋体"/>
          <w:color w:val="auto"/>
          <w:kern w:val="0"/>
          <w:szCs w:val="21"/>
          <w:highlight w:val="none"/>
          <w:u w:val="single"/>
        </w:rPr>
        <w:t>5000元/天</w:t>
      </w:r>
      <w:r>
        <w:rPr>
          <w:rFonts w:hint="eastAsia" w:ascii="宋体" w:hAnsi="宋体" w:eastAsia="宋体" w:cs="宋体"/>
          <w:color w:val="auto"/>
          <w:kern w:val="0"/>
          <w:szCs w:val="21"/>
          <w:highlight w:val="none"/>
        </w:rPr>
        <w:t>计算逾期竣工违约金，累计违约金上限：</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万元（不超过签约合同价的3%）</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承包人支付逾期竣工违约金后，不免除承包人继续完成工程及修补缺陷的义务。</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（7）承包人在缺陷责任期及保修期内，未能在合理期限对工程缺陷进行修复，或拒绝按发包人要求进行修复的违约责任：按照发包人修复缺陷费用的</w:t>
      </w:r>
      <w:r>
        <w:rPr>
          <w:rFonts w:hint="eastAsia" w:ascii="宋体" w:hAnsi="宋体" w:eastAsia="宋体" w:cs="宋体"/>
          <w:color w:val="auto"/>
          <w:kern w:val="0"/>
          <w:szCs w:val="21"/>
          <w:highlight w:val="none"/>
          <w:u w:val="single"/>
        </w:rPr>
        <w:t xml:space="preserve"> 0.5%</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（8）承包人明确表示或者以其行为表明不履行合同主要义务的违约责任：按签约合同价的</w:t>
      </w:r>
      <w:r>
        <w:rPr>
          <w:rFonts w:hint="eastAsia" w:ascii="宋体" w:hAnsi="宋体" w:eastAsia="宋体" w:cs="宋体"/>
          <w:color w:val="auto"/>
          <w:kern w:val="0"/>
          <w:szCs w:val="21"/>
          <w:highlight w:val="none"/>
          <w:u w:val="single"/>
        </w:rPr>
        <w:t xml:space="preserve"> 5%</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（9）承包人未能按照合同约定履行其他义务的违约责任：按</w:t>
      </w:r>
      <w:r>
        <w:rPr>
          <w:rFonts w:hint="eastAsia" w:ascii="宋体" w:hAnsi="宋体" w:eastAsia="宋体" w:cs="宋体"/>
          <w:color w:val="auto"/>
          <w:kern w:val="0"/>
          <w:szCs w:val="21"/>
          <w:highlight w:val="none"/>
          <w:u w:val="single"/>
        </w:rPr>
        <w:t>500元/次</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（10）承包人未能按期开工的违约责任：按合同价</w:t>
      </w:r>
      <w:r>
        <w:rPr>
          <w:rFonts w:hint="eastAsia" w:ascii="宋体" w:hAnsi="宋体" w:eastAsia="宋体" w:cs="宋体"/>
          <w:color w:val="auto"/>
          <w:kern w:val="0"/>
          <w:szCs w:val="21"/>
          <w:highlight w:val="none"/>
          <w:u w:val="single"/>
        </w:rPr>
        <w:t>0.2‰/天</w:t>
      </w:r>
      <w:r>
        <w:rPr>
          <w:rFonts w:hint="eastAsia" w:ascii="宋体" w:hAnsi="宋体" w:eastAsia="宋体" w:cs="宋体"/>
          <w:color w:val="auto"/>
          <w:kern w:val="0"/>
          <w:szCs w:val="21"/>
          <w:highlight w:val="none"/>
        </w:rPr>
        <w:t>支付违约金，本项违约金累计限额为签约合同价的</w:t>
      </w:r>
      <w:r>
        <w:rPr>
          <w:rFonts w:hint="eastAsia" w:ascii="宋体" w:hAnsi="宋体" w:eastAsia="宋体" w:cs="宋体"/>
          <w:color w:val="auto"/>
          <w:kern w:val="0"/>
          <w:szCs w:val="21"/>
          <w:highlight w:val="none"/>
          <w:u w:val="single"/>
        </w:rPr>
        <w:t xml:space="preserve"> 1 %</w:t>
      </w:r>
      <w:r>
        <w:rPr>
          <w:rFonts w:hint="eastAsia" w:ascii="宋体" w:hAnsi="宋体" w:eastAsia="宋体" w:cs="宋体"/>
          <w:color w:val="auto"/>
          <w:kern w:val="0"/>
          <w:szCs w:val="21"/>
          <w:highlight w:val="none"/>
        </w:rPr>
        <w:t>。</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（11）承包人未按经审定的施工组织设计配备或更换关键施工设备的违约责任：按</w:t>
      </w:r>
      <w:r>
        <w:rPr>
          <w:rFonts w:hint="eastAsia" w:ascii="宋体" w:hAnsi="宋体" w:eastAsia="宋体" w:cs="宋体"/>
          <w:color w:val="auto"/>
          <w:kern w:val="0"/>
          <w:szCs w:val="21"/>
          <w:highlight w:val="none"/>
          <w:u w:val="single"/>
        </w:rPr>
        <w:t>5000元/台·次</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（12）承包人有安全问题或有违反安全管理规章制度情况的违约责任：根据具体情节，按签约合同价的</w:t>
      </w:r>
      <w:r>
        <w:rPr>
          <w:rFonts w:hint="eastAsia" w:ascii="宋体" w:hAnsi="宋体" w:eastAsia="宋体" w:cs="宋体"/>
          <w:color w:val="auto"/>
          <w:kern w:val="0"/>
          <w:szCs w:val="21"/>
          <w:highlight w:val="none"/>
          <w:u w:val="single"/>
        </w:rPr>
        <w:t>0.5‰/次</w:t>
      </w:r>
      <w:r>
        <w:rPr>
          <w:rFonts w:hint="eastAsia" w:ascii="宋体" w:hAnsi="宋体" w:eastAsia="宋体" w:cs="宋体"/>
          <w:color w:val="auto"/>
          <w:kern w:val="0"/>
          <w:szCs w:val="21"/>
          <w:highlight w:val="none"/>
        </w:rPr>
        <w:t>支付违约金（累计不超过签约合同价的1%，详见附件9安全管理协议）。</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（13）承包人拖欠其工人或所雇人员工资或报酬，导致其工人或所雇人员向有关部门投诉、控告、检举或以聚集等方式讨要工资或报酬的违约责任：根据具体情节，按违约金额</w:t>
      </w:r>
      <w:r>
        <w:rPr>
          <w:rFonts w:hint="eastAsia" w:ascii="宋体" w:hAnsi="宋体" w:eastAsia="宋体" w:cs="宋体"/>
          <w:color w:val="auto"/>
          <w:kern w:val="0"/>
          <w:szCs w:val="21"/>
          <w:highlight w:val="none"/>
          <w:u w:val="single"/>
        </w:rPr>
        <w:t>50000元/次</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（14）承包人不配合发包人、监理人及发包人委托的工程造价咨询服务单位结算审核的违约责任：根据具体情节，按</w:t>
      </w:r>
      <w:r>
        <w:rPr>
          <w:rFonts w:hint="eastAsia" w:ascii="宋体" w:hAnsi="宋体" w:eastAsia="宋体" w:cs="宋体"/>
          <w:color w:val="auto"/>
          <w:kern w:val="0"/>
          <w:szCs w:val="21"/>
          <w:highlight w:val="none"/>
          <w:u w:val="single"/>
        </w:rPr>
        <w:t xml:space="preserve"> 10000元/次</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（15）承包人未按合同约定移交全部和部分工程的违约责任：由承包人承担工程照管、成品保护、保管等与工程有关的各种费用，并按结算金额或违约部分结算金额的</w:t>
      </w:r>
      <w:r>
        <w:rPr>
          <w:rFonts w:hint="eastAsia" w:ascii="宋体" w:hAnsi="宋体" w:eastAsia="宋体" w:cs="宋体"/>
          <w:color w:val="auto"/>
          <w:kern w:val="0"/>
          <w:szCs w:val="21"/>
          <w:highlight w:val="none"/>
          <w:u w:val="single"/>
        </w:rPr>
        <w:t>0.5‰</w:t>
      </w:r>
      <w:r>
        <w:rPr>
          <w:rFonts w:hint="eastAsia" w:ascii="宋体" w:hAnsi="宋体" w:eastAsia="宋体" w:cs="宋体"/>
          <w:color w:val="auto"/>
          <w:kern w:val="0"/>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（16）承包人未按合同约定购买保险的违约责任：除按18.6.2项约定执行外，每延迟1天，按</w:t>
      </w:r>
      <w:r>
        <w:rPr>
          <w:rFonts w:hint="eastAsia" w:ascii="宋体" w:hAnsi="宋体" w:eastAsia="宋体" w:cs="宋体"/>
          <w:color w:val="auto"/>
          <w:szCs w:val="21"/>
          <w:highlight w:val="none"/>
          <w:u w:val="single"/>
        </w:rPr>
        <w:t>500元/天</w:t>
      </w:r>
      <w:r>
        <w:rPr>
          <w:rFonts w:hint="eastAsia" w:ascii="宋体" w:hAnsi="宋体" w:eastAsia="宋体" w:cs="宋体"/>
          <w:color w:val="auto"/>
          <w:szCs w:val="21"/>
          <w:highlight w:val="none"/>
        </w:rPr>
        <w:t>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（17）发生第16.2.1项（11）目、16.2.1项（12）目、16.2.1项（13）目违约情形的违约责任：除承担由此增加的费用和工期延误的责任，承包人应向发包人支付违约金：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1）项目经理违约承担方式和计算方法：对于第16.2.1项（11）目的情形，每发现一次，根据具体情节，按</w:t>
      </w:r>
      <w:r>
        <w:rPr>
          <w:rFonts w:hint="eastAsia" w:ascii="宋体" w:hAnsi="宋体" w:eastAsia="宋体" w:cs="宋体"/>
          <w:color w:val="auto"/>
          <w:kern w:val="0"/>
          <w:szCs w:val="21"/>
          <w:highlight w:val="none"/>
          <w:u w:val="single"/>
        </w:rPr>
        <w:t>1000元/天·次</w:t>
      </w:r>
      <w:r>
        <w:rPr>
          <w:rFonts w:hint="eastAsia" w:ascii="宋体" w:hAnsi="宋体" w:eastAsia="宋体" w:cs="宋体"/>
          <w:color w:val="auto"/>
          <w:kern w:val="0"/>
          <w:szCs w:val="21"/>
          <w:highlight w:val="none"/>
        </w:rPr>
        <w:t>计算违约金；项目经理不按承诺到岗的（3.2.3项约定的情形除外），按履约保证金的</w:t>
      </w:r>
      <w:r>
        <w:rPr>
          <w:rFonts w:hint="eastAsia" w:ascii="宋体" w:hAnsi="宋体" w:eastAsia="宋体" w:cs="宋体"/>
          <w:color w:val="auto"/>
          <w:kern w:val="0"/>
          <w:szCs w:val="21"/>
          <w:highlight w:val="none"/>
          <w:u w:val="single"/>
        </w:rPr>
        <w:t>50%</w:t>
      </w:r>
      <w:r>
        <w:rPr>
          <w:rFonts w:hint="eastAsia" w:ascii="宋体" w:hAnsi="宋体" w:eastAsia="宋体" w:cs="宋体"/>
          <w:color w:val="auto"/>
          <w:kern w:val="0"/>
          <w:szCs w:val="21"/>
          <w:highlight w:val="none"/>
        </w:rPr>
        <w:t>支付违约金，并解除合同；擅自更换项目经理的，按签约合同价的</w:t>
      </w:r>
      <w:r>
        <w:rPr>
          <w:rFonts w:hint="eastAsia" w:ascii="宋体" w:hAnsi="宋体" w:eastAsia="宋体" w:cs="宋体"/>
          <w:color w:val="auto"/>
          <w:kern w:val="0"/>
          <w:szCs w:val="21"/>
          <w:highlight w:val="none"/>
          <w:u w:val="single"/>
        </w:rPr>
        <w:t>0.5%/人·次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20万</w:t>
      </w:r>
      <w:r>
        <w:rPr>
          <w:rFonts w:hint="eastAsia" w:ascii="宋体" w:hAnsi="宋体" w:eastAsia="宋体" w:cs="宋体"/>
          <w:color w:val="auto"/>
          <w:kern w:val="0"/>
          <w:szCs w:val="21"/>
          <w:highlight w:val="none"/>
        </w:rPr>
        <w:t>，累计不超过</w:t>
      </w:r>
      <w:r>
        <w:rPr>
          <w:rFonts w:hint="eastAsia" w:ascii="宋体" w:hAnsi="宋体" w:eastAsia="宋体" w:cs="宋体"/>
          <w:color w:val="auto"/>
          <w:kern w:val="0"/>
          <w:szCs w:val="21"/>
          <w:highlight w:val="none"/>
          <w:u w:val="single"/>
        </w:rPr>
        <w:t>200万</w:t>
      </w:r>
      <w:r>
        <w:rPr>
          <w:rFonts w:hint="eastAsia" w:ascii="宋体" w:hAnsi="宋体" w:eastAsia="宋体" w:cs="宋体"/>
          <w:color w:val="auto"/>
          <w:kern w:val="0"/>
          <w:szCs w:val="21"/>
          <w:highlight w:val="none"/>
        </w:rPr>
        <w:t>；项目经理被责令停止执业的，按签约合同价的</w:t>
      </w:r>
      <w:r>
        <w:rPr>
          <w:rFonts w:hint="eastAsia" w:ascii="宋体" w:hAnsi="宋体" w:eastAsia="宋体" w:cs="宋体"/>
          <w:color w:val="auto"/>
          <w:kern w:val="0"/>
          <w:szCs w:val="21"/>
          <w:highlight w:val="none"/>
          <w:u w:val="single"/>
        </w:rPr>
        <w:t>0.5%/人·次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20万</w:t>
      </w:r>
      <w:r>
        <w:rPr>
          <w:rFonts w:hint="eastAsia" w:ascii="宋体" w:hAnsi="宋体" w:eastAsia="宋体" w:cs="宋体"/>
          <w:color w:val="auto"/>
          <w:kern w:val="0"/>
          <w:szCs w:val="21"/>
          <w:highlight w:val="none"/>
        </w:rPr>
        <w:t>，累计不超过</w:t>
      </w:r>
      <w:r>
        <w:rPr>
          <w:rFonts w:hint="eastAsia" w:ascii="宋体" w:hAnsi="宋体" w:eastAsia="宋体" w:cs="宋体"/>
          <w:color w:val="auto"/>
          <w:kern w:val="0"/>
          <w:szCs w:val="21"/>
          <w:highlight w:val="none"/>
          <w:u w:val="single"/>
        </w:rPr>
        <w:t>200万</w:t>
      </w:r>
      <w:r>
        <w:rPr>
          <w:rFonts w:hint="eastAsia" w:ascii="宋体" w:hAnsi="宋体" w:eastAsia="宋体" w:cs="宋体"/>
          <w:color w:val="auto"/>
          <w:kern w:val="0"/>
          <w:szCs w:val="21"/>
          <w:highlight w:val="none"/>
        </w:rPr>
        <w:t>；项目经理被责令停止执业的，按签约合同价的</w:t>
      </w:r>
      <w:r>
        <w:rPr>
          <w:rFonts w:hint="eastAsia" w:ascii="宋体" w:hAnsi="宋体" w:eastAsia="宋体" w:cs="宋体"/>
          <w:color w:val="auto"/>
          <w:kern w:val="0"/>
          <w:szCs w:val="21"/>
          <w:highlight w:val="none"/>
          <w:u w:val="single"/>
        </w:rPr>
        <w:t>0.5%/人•次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20</w:t>
      </w:r>
      <w:r>
        <w:rPr>
          <w:rFonts w:hint="eastAsia" w:ascii="宋体" w:hAnsi="宋体" w:eastAsia="宋体" w:cs="宋体"/>
          <w:color w:val="auto"/>
          <w:kern w:val="0"/>
          <w:szCs w:val="21"/>
          <w:highlight w:val="none"/>
        </w:rPr>
        <w:t>万，累计不超过</w:t>
      </w:r>
      <w:r>
        <w:rPr>
          <w:rFonts w:hint="eastAsia" w:ascii="宋体" w:hAnsi="宋体" w:eastAsia="宋体" w:cs="宋体"/>
          <w:color w:val="auto"/>
          <w:kern w:val="0"/>
          <w:szCs w:val="21"/>
          <w:highlight w:val="none"/>
          <w:u w:val="single"/>
        </w:rPr>
        <w:t>200</w:t>
      </w:r>
      <w:r>
        <w:rPr>
          <w:rFonts w:hint="eastAsia" w:ascii="宋体" w:hAnsi="宋体" w:eastAsia="宋体" w:cs="宋体"/>
          <w:color w:val="auto"/>
          <w:kern w:val="0"/>
          <w:szCs w:val="21"/>
          <w:highlight w:val="none"/>
        </w:rPr>
        <w:t>万。</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2）主要技术负责人违约承担方式和计算方法：对于第16.2.1项（12）目的六种情形，每发现一次，根据具体情节，按</w:t>
      </w:r>
      <w:r>
        <w:rPr>
          <w:rFonts w:hint="eastAsia" w:ascii="宋体" w:hAnsi="宋体" w:eastAsia="宋体" w:cs="宋体"/>
          <w:color w:val="auto"/>
          <w:kern w:val="0"/>
          <w:szCs w:val="21"/>
          <w:highlight w:val="none"/>
          <w:u w:val="single"/>
        </w:rPr>
        <w:t>1000元/天·次</w:t>
      </w:r>
      <w:r>
        <w:rPr>
          <w:rFonts w:hint="eastAsia" w:ascii="宋体" w:hAnsi="宋体" w:eastAsia="宋体" w:cs="宋体"/>
          <w:color w:val="auto"/>
          <w:kern w:val="0"/>
          <w:szCs w:val="21"/>
          <w:highlight w:val="none"/>
        </w:rPr>
        <w:t>计算违约金；擅自更换主要技术负责人的，按签约合同价的</w:t>
      </w:r>
      <w:r>
        <w:rPr>
          <w:rFonts w:hint="eastAsia" w:ascii="宋体" w:hAnsi="宋体" w:eastAsia="宋体" w:cs="宋体"/>
          <w:color w:val="auto"/>
          <w:kern w:val="0"/>
          <w:szCs w:val="21"/>
          <w:highlight w:val="none"/>
          <w:u w:val="single"/>
        </w:rPr>
        <w:t>0.5%/人·次</w:t>
      </w:r>
      <w:r>
        <w:rPr>
          <w:rFonts w:hint="eastAsia" w:ascii="宋体" w:hAnsi="宋体" w:eastAsia="宋体" w:cs="宋体"/>
          <w:color w:val="auto"/>
          <w:kern w:val="0"/>
          <w:szCs w:val="21"/>
          <w:highlight w:val="none"/>
        </w:rPr>
        <w:t>支付违约金，每次不低于</w:t>
      </w:r>
      <w:r>
        <w:rPr>
          <w:rFonts w:hint="eastAsia" w:ascii="宋体" w:hAnsi="宋体" w:eastAsia="宋体" w:cs="宋体"/>
          <w:color w:val="auto"/>
          <w:kern w:val="0"/>
          <w:szCs w:val="21"/>
          <w:highlight w:val="none"/>
          <w:u w:val="single"/>
        </w:rPr>
        <w:t>10万</w:t>
      </w:r>
      <w:r>
        <w:rPr>
          <w:rFonts w:hint="eastAsia" w:ascii="宋体" w:hAnsi="宋体" w:eastAsia="宋体" w:cs="宋体"/>
          <w:color w:val="auto"/>
          <w:kern w:val="0"/>
          <w:szCs w:val="21"/>
          <w:highlight w:val="none"/>
        </w:rPr>
        <w:t>，累计不超过</w:t>
      </w:r>
      <w:r>
        <w:rPr>
          <w:rFonts w:hint="eastAsia" w:ascii="宋体" w:hAnsi="宋体" w:eastAsia="宋体" w:cs="宋体"/>
          <w:color w:val="auto"/>
          <w:kern w:val="0"/>
          <w:szCs w:val="21"/>
          <w:highlight w:val="none"/>
          <w:u w:val="single"/>
        </w:rPr>
        <w:t>100万</w:t>
      </w:r>
      <w:r>
        <w:rPr>
          <w:rFonts w:hint="eastAsia" w:ascii="宋体" w:hAnsi="宋体" w:eastAsia="宋体" w:cs="宋体"/>
          <w:color w:val="auto"/>
          <w:kern w:val="0"/>
          <w:szCs w:val="21"/>
          <w:highlight w:val="none"/>
        </w:rPr>
        <w:t>。</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3）主要施工管理人员违约承担方式和计算方法：对于第16.2.1项（13）目的五种情形，每发现一次，根据具体情节，按</w:t>
      </w:r>
      <w:r>
        <w:rPr>
          <w:rFonts w:hint="eastAsia" w:ascii="宋体" w:hAnsi="宋体" w:eastAsia="宋体" w:cs="宋体"/>
          <w:color w:val="auto"/>
          <w:kern w:val="0"/>
          <w:szCs w:val="21"/>
          <w:highlight w:val="none"/>
          <w:u w:val="single"/>
        </w:rPr>
        <w:t>500元/天·次</w:t>
      </w:r>
      <w:r>
        <w:rPr>
          <w:rFonts w:hint="eastAsia" w:ascii="宋体" w:hAnsi="宋体" w:eastAsia="宋体" w:cs="宋体"/>
          <w:color w:val="auto"/>
          <w:kern w:val="0"/>
          <w:szCs w:val="21"/>
          <w:highlight w:val="none"/>
        </w:rPr>
        <w:t>计算违约金。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bookmarkStart w:id="1360" w:name="_Hlk524380347"/>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应当由承包人向发包人支付的违约金，发包人可直接提取届时有效的履约担保相应金额，不足部分由承包人支付；若发包人提取履约担保相应金额，则承包人应在提取后7日内补足或提交合同约定的履约担保的金额，否则按专用合同第</w:t>
      </w:r>
      <w:r>
        <w:rPr>
          <w:rFonts w:hint="eastAsia" w:ascii="宋体" w:hAnsi="宋体" w:eastAsia="宋体" w:cs="宋体"/>
          <w:color w:val="auto"/>
          <w:kern w:val="0"/>
          <w:szCs w:val="21"/>
          <w:highlight w:val="none"/>
        </w:rPr>
        <w:t>16.2.2项第（1）目承担违约责任</w:t>
      </w:r>
      <w:r>
        <w:rPr>
          <w:rFonts w:hint="eastAsia" w:ascii="宋体" w:hAnsi="宋体" w:eastAsia="宋体" w:cs="宋体"/>
          <w:color w:val="auto"/>
          <w:szCs w:val="21"/>
          <w:highlight w:val="none"/>
        </w:rPr>
        <w:t>，并从应付或到期应付给承包人的任何款项中或采用其他方法，扣除该违约金。</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承包人必须及时纠正违约行为并采取积极措施，满足合同要求，自行承担与纠正违约行为有关的人身伤亡、罚款、索赔、损失补偿、诉讼费用及其他一切责任，工期不予顺延</w:t>
      </w:r>
      <w:r>
        <w:rPr>
          <w:rFonts w:hint="eastAsia" w:ascii="宋体" w:hAnsi="宋体" w:eastAsia="宋体" w:cs="宋体"/>
          <w:color w:val="auto"/>
          <w:kern w:val="0"/>
          <w:szCs w:val="21"/>
          <w:highlight w:val="none"/>
        </w:rPr>
        <w:t>，承担由此给</w:t>
      </w:r>
      <w:r>
        <w:rPr>
          <w:rFonts w:hint="eastAsia" w:ascii="宋体" w:hAnsi="宋体" w:eastAsia="宋体" w:cs="宋体"/>
          <w:color w:val="auto"/>
          <w:szCs w:val="21"/>
          <w:highlight w:val="none"/>
        </w:rPr>
        <w:t>发包人造成的经济损失。</w:t>
      </w:r>
    </w:p>
    <w:p>
      <w:pPr>
        <w:snapToGrid w:val="0"/>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承包人承担承包范围的工程质量、安全、环保责任，因承包人原因引起的质量、安全、环保等事故由承包人承担相应的法律后果。</w:t>
      </w:r>
    </w:p>
    <w:bookmarkEnd w:id="1360"/>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16.2.3 因承包人违约解除合同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因承包人违约并致使合同目的不能实现的，发包人有权解除合同：</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（1）未按合同约定延迟提供履约担保、质量保证金超过14天的；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（2）未按合同约定购买保险且经催告后超过56天的；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（3）因承包人原因导致开工时间累计延误超过56天的；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（4）因承包人原因导致工期延误超过90天的；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（5）发生第21.2款〔退出机制〕约定的情形的；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（6）监理人发出整改通知后，承包人在监理人限定的期限内仍不纠正违约行为的；</w:t>
      </w:r>
    </w:p>
    <w:p>
      <w:pPr>
        <w:snapToGrid w:val="0"/>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（7）承包人进入清算或者严重资不抵债且无法履行合同的；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（8）违反适用法律而被相关政府部门依法吊销营业执照、责令停业、清算或宣布破产、责令关闭的；</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（9）承包人未履行合同项下的义务构成对合同的实质性违约，并且在收到发包人要求说明其违约并予以补救的通知后56天内仍未能补救该实质性违约的；</w:t>
      </w:r>
    </w:p>
    <w:p>
      <w:pPr>
        <w:pStyle w:val="248"/>
        <w:spacing w:line="360" w:lineRule="auto"/>
        <w:jc w:val="left"/>
        <w:rPr>
          <w:rFonts w:hint="eastAsia" w:ascii="宋体" w:hAnsi="宋体" w:eastAsia="宋体" w:cs="宋体"/>
          <w:color w:val="auto"/>
          <w:kern w:val="0"/>
          <w:sz w:val="28"/>
          <w:szCs w:val="21"/>
          <w:highlight w:val="none"/>
          <w:lang w:val="en-US" w:eastAsia="zh-CN" w:bidi="ar-SA"/>
        </w:rPr>
      </w:pPr>
      <w:r>
        <w:rPr>
          <w:rFonts w:hint="eastAsia" w:ascii="宋体" w:hAnsi="宋体" w:eastAsia="宋体" w:cs="宋体"/>
          <w:color w:val="auto"/>
          <w:kern w:val="0"/>
          <w:sz w:val="28"/>
          <w:szCs w:val="21"/>
          <w:highlight w:val="none"/>
          <w:lang w:val="en-US" w:eastAsia="zh-CN" w:bidi="ar-SA"/>
        </w:rPr>
        <w:t>（10）合同约定的发包人有权解除合同的其他情形。</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16.2.4因承包人违约解除合同后的处理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因承包人违约导致合同解除的，合同当事人应在合同解除后56天内完成估价、付款和清算，并按以下约定执行：</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（1）合同解除后，按第14.2款结算审定方式确定承包人实际完成工作对应的合同价款，以及承包人已提供的材料、工程设备、施工设备和临时工程等的价值；</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（2）合同解除后，承包人应支付违约金；</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（3）合同解除后，赔偿因解除合同给发包人造成的损失；</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（4）合同解除后，承包人应按照发包人要求和监理人的指示完成现场的清理和撤离。</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因承包人违约导致解除合同的，发包人有权暂停对承包人的付款，查清各项付款和已扣款项。发包人和承包人未能就合同解除后的清算和款项支付达成一致的，按照第20条〔争议解决〕的约定处理。</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同解除后，发包人可派员进驻施工现场，另行组织人员或委托其他承包人继续完成合同工程；因继续完成工程的需要，发包人有权使用承包人在施工现场的材料、设备、临时工程、承包人文件和由承包人或以其名义编制的其他文件；发包人继续使用承包人在施工现场的材料、设备、临时工程、承包人文件和由承包人或以其名义编制的其他文件的费用承担方式由双方协商确定；发包人继续使用的行为不免除或减轻承包人应承担的违约责任，也不影响发包人根据合同享有的索赔等权利。</w:t>
      </w:r>
    </w:p>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347"/>
    <w:bookmarkEnd w:id="1348"/>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61" w:name="_Toc532377404"/>
      <w:bookmarkStart w:id="1362" w:name="_Toc351203649"/>
      <w:bookmarkStart w:id="1363" w:name="_Toc532375665"/>
      <w:bookmarkStart w:id="1364" w:name="_Hlk528928440"/>
      <w:r>
        <w:rPr>
          <w:rFonts w:hint="eastAsia" w:ascii="宋体" w:hAnsi="宋体" w:eastAsia="宋体" w:cs="宋体"/>
          <w:b/>
          <w:color w:val="auto"/>
          <w:kern w:val="2"/>
          <w:sz w:val="28"/>
          <w:szCs w:val="28"/>
          <w:highlight w:val="none"/>
          <w:lang w:val="en-US" w:eastAsia="zh-CN" w:bidi="ar-SA"/>
        </w:rPr>
        <w:t>17. 不可抗力</w:t>
      </w:r>
      <w:bookmarkEnd w:id="1361"/>
      <w:bookmarkEnd w:id="1362"/>
      <w:bookmarkEnd w:id="1363"/>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65" w:name="_Toc532375666"/>
      <w:bookmarkStart w:id="1366" w:name="_Toc532377405"/>
      <w:r>
        <w:rPr>
          <w:rFonts w:hint="eastAsia" w:ascii="宋体" w:hAnsi="宋体" w:eastAsia="宋体" w:cs="宋体"/>
          <w:b/>
          <w:color w:val="auto"/>
          <w:kern w:val="2"/>
          <w:sz w:val="28"/>
          <w:szCs w:val="28"/>
          <w:highlight w:val="none"/>
          <w:lang w:val="en-US" w:eastAsia="zh-CN" w:bidi="ar-SA"/>
        </w:rPr>
        <w:t>17.1 不可抗力的确认</w:t>
      </w:r>
      <w:bookmarkEnd w:id="1365"/>
      <w:bookmarkEnd w:id="1366"/>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除通用合同条款约定的不可抗力事件之外，视为不可抗力的其他情形：</w:t>
      </w:r>
      <w:bookmarkStart w:id="1367" w:name="_Hlk524379638"/>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（1）洪水、火山爆发、山崩、山体滑坡、泥石流、龙卷风、隧道内不可预测的突发性地质灾害等自然灾害；</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（2）骚乱、戒严、封锁、禁运、恐怖行为、等社会行为，但承包人或其分包人派遣与雇佣的人员由于合同工程施工原因引起的除外；</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（3）不能合理预见的重大交通阻滞、停运、交通事故，非双方责任引起的火灾、爆炸、船舶撞击等情形；</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（4）化学或放射性污染或核辐射；</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（5）环保治理等政府行为导致项目停工的。</w:t>
      </w:r>
      <w:bookmarkEnd w:id="1367"/>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68" w:name="_Toc532377406"/>
      <w:bookmarkStart w:id="1369" w:name="_Toc532375667"/>
      <w:bookmarkStart w:id="1370" w:name="_Toc351203610"/>
      <w:bookmarkStart w:id="1371" w:name="_Toc296503119"/>
      <w:bookmarkStart w:id="1372" w:name="_Toc296346620"/>
      <w:bookmarkStart w:id="1373" w:name="_Toc337558826"/>
      <w:r>
        <w:rPr>
          <w:rFonts w:hint="eastAsia" w:ascii="宋体" w:hAnsi="宋体" w:eastAsia="宋体" w:cs="宋体"/>
          <w:b/>
          <w:color w:val="auto"/>
          <w:kern w:val="2"/>
          <w:sz w:val="28"/>
          <w:szCs w:val="28"/>
          <w:highlight w:val="none"/>
          <w:lang w:val="en-US" w:eastAsia="zh-CN" w:bidi="ar-SA"/>
        </w:rPr>
        <w:t>17.3 不可抗力后果的承担</w:t>
      </w:r>
      <w:bookmarkEnd w:id="1368"/>
      <w:bookmarkEnd w:id="1369"/>
      <w:bookmarkEnd w:id="1370"/>
    </w:p>
    <w:bookmarkEnd w:id="1371"/>
    <w:bookmarkEnd w:id="1372"/>
    <w:bookmarkEnd w:id="1373"/>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17.3.1 不可抗力引起的后果及造成的损失由合同当事人按照法律规定及合同约定各自承担。不可抗力发生前已完成的工程应当按照合同约定进行计量支付。</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17.3.2 不可抗力导致的人员伤亡、财产损失、费用增加和（或）工期延误等后果，由合同当事人按以下原则承担：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（1）永久工程、已运至施工现场的施工材料和工程设备的损坏，以及因工程损坏造成的第三方人员伤亡和财产损失由发包人承担；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（2）承包人施工设备的损坏由承包人承担；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（3）发包人和承包人承担各自人员伤亡和财产的损失；</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（4）因不可抗力影响承包人履行合同约定的义务，已经引起或将引起工期延误的，应当顺延工期，由此导致承包人停工的费用损失由发包人和承包人合理共担；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（5）因不可抗力引起或将引起工期延误，发包人要求赶工的，由此增加的赶工费用由发包人承担；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（6）承包人在停工期间按照发包人要求照管、清理和修复工程的费用由发包人承担；</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（7）不可抗力事件发生后，合同当事人均应采取措施尽量避免和减少损失的扩大，任何一方当事人没有采取有效措施导致损失扩大的，应对扩大的损失承担责任。</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74" w:name="_Toc532375668"/>
      <w:bookmarkStart w:id="1375" w:name="_Toc532377407"/>
      <w:r>
        <w:rPr>
          <w:rFonts w:hint="eastAsia" w:ascii="宋体" w:hAnsi="宋体" w:eastAsia="宋体" w:cs="宋体"/>
          <w:b/>
          <w:color w:val="auto"/>
          <w:kern w:val="2"/>
          <w:sz w:val="28"/>
          <w:szCs w:val="28"/>
          <w:highlight w:val="none"/>
          <w:lang w:val="en-US" w:eastAsia="zh-CN" w:bidi="ar-SA"/>
        </w:rPr>
        <w:t>17.4 因不可抗力解除合同</w:t>
      </w:r>
      <w:bookmarkEnd w:id="1374"/>
      <w:bookmarkEnd w:id="1375"/>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合同解除后，发包人应在商定或确定发包人应支付款项后</w:t>
      </w:r>
      <w:r>
        <w:rPr>
          <w:rFonts w:hint="eastAsia" w:ascii="宋体" w:hAnsi="宋体" w:eastAsia="宋体" w:cs="宋体"/>
          <w:color w:val="auto"/>
          <w:szCs w:val="21"/>
          <w:highlight w:val="none"/>
          <w:u w:val="single"/>
        </w:rPr>
        <w:t>28</w:t>
      </w:r>
      <w:r>
        <w:rPr>
          <w:rFonts w:hint="eastAsia" w:ascii="宋体" w:hAnsi="宋体" w:eastAsia="宋体" w:cs="宋体"/>
          <w:color w:val="auto"/>
          <w:szCs w:val="21"/>
          <w:highlight w:val="none"/>
        </w:rPr>
        <w:t>天内完成款项的支付。</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76" w:name="_Toc532377408"/>
      <w:bookmarkStart w:id="1377" w:name="_Toc532375669"/>
      <w:bookmarkStart w:id="1378" w:name="_Toc351203650"/>
      <w:r>
        <w:rPr>
          <w:rFonts w:hint="eastAsia" w:ascii="宋体" w:hAnsi="宋体" w:eastAsia="宋体" w:cs="宋体"/>
          <w:b/>
          <w:color w:val="auto"/>
          <w:kern w:val="2"/>
          <w:sz w:val="28"/>
          <w:szCs w:val="28"/>
          <w:highlight w:val="none"/>
          <w:lang w:val="en-US" w:eastAsia="zh-CN" w:bidi="ar-SA"/>
        </w:rPr>
        <w:t>18. 保险</w:t>
      </w:r>
      <w:bookmarkEnd w:id="1376"/>
      <w:bookmarkEnd w:id="1377"/>
      <w:bookmarkEnd w:id="1378"/>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79" w:name="_Toc532377409"/>
      <w:bookmarkStart w:id="1380" w:name="_Toc532375670"/>
      <w:r>
        <w:rPr>
          <w:rFonts w:hint="eastAsia" w:ascii="宋体" w:hAnsi="宋体" w:eastAsia="宋体" w:cs="宋体"/>
          <w:b/>
          <w:color w:val="auto"/>
          <w:kern w:val="2"/>
          <w:sz w:val="28"/>
          <w:szCs w:val="28"/>
          <w:highlight w:val="none"/>
          <w:lang w:val="en-US" w:eastAsia="zh-CN" w:bidi="ar-SA"/>
        </w:rPr>
        <w:t>18.1 工程保险</w:t>
      </w:r>
      <w:bookmarkEnd w:id="1379"/>
      <w:bookmarkEnd w:id="1380"/>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关于工程保险的特别约定：发包人应投保</w:t>
      </w:r>
      <w:r>
        <w:rPr>
          <w:rFonts w:hint="eastAsia" w:ascii="宋体" w:hAnsi="宋体" w:eastAsia="宋体" w:cs="宋体"/>
          <w:color w:val="auto"/>
          <w:szCs w:val="21"/>
          <w:highlight w:val="none"/>
          <w:u w:val="single"/>
        </w:rPr>
        <w:t>建筑工程一切险或安装工程一切险</w:t>
      </w:r>
      <w:r>
        <w:rPr>
          <w:rFonts w:hint="eastAsia" w:ascii="宋体" w:hAnsi="宋体" w:eastAsia="宋体" w:cs="宋体"/>
          <w:color w:val="auto"/>
          <w:szCs w:val="21"/>
          <w:highlight w:val="none"/>
        </w:rPr>
        <w:t>；发包人委托承包人投保的，因投保产生的保险费和其他相关费用由发包人承担。</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81" w:name="_Toc532375671"/>
      <w:bookmarkStart w:id="1382" w:name="_Toc532377410"/>
      <w:r>
        <w:rPr>
          <w:rFonts w:hint="eastAsia" w:ascii="宋体" w:hAnsi="宋体" w:eastAsia="宋体" w:cs="宋体"/>
          <w:b/>
          <w:color w:val="auto"/>
          <w:kern w:val="2"/>
          <w:sz w:val="28"/>
          <w:szCs w:val="28"/>
          <w:highlight w:val="none"/>
          <w:lang w:val="en-US" w:eastAsia="zh-CN" w:bidi="ar-SA"/>
        </w:rPr>
        <w:t>18.3 其他保险</w:t>
      </w:r>
      <w:bookmarkEnd w:id="1381"/>
      <w:bookmarkEnd w:id="1382"/>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关于其他保险的约定：</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承包人是否应为其施工设备等办理财产保险：</w:t>
      </w:r>
      <w:r>
        <w:rPr>
          <w:rFonts w:hint="eastAsia" w:ascii="宋体" w:hAnsi="宋体" w:eastAsia="宋体" w:cs="宋体"/>
          <w:color w:val="auto"/>
          <w:szCs w:val="21"/>
          <w:highlight w:val="none"/>
          <w:u w:val="single"/>
        </w:rPr>
        <w:t xml:space="preserve">    /    </w:t>
      </w:r>
      <w:r>
        <w:rPr>
          <w:rFonts w:hint="eastAsia" w:ascii="宋体" w:hAnsi="宋体" w:eastAsia="宋体" w:cs="宋体"/>
          <w:color w:val="auto"/>
          <w:szCs w:val="21"/>
          <w:highlight w:val="none"/>
        </w:rPr>
        <w:t>。</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安全生产责任险：</w:t>
      </w:r>
      <w:r>
        <w:rPr>
          <w:rFonts w:hint="eastAsia" w:ascii="宋体" w:hAnsi="宋体" w:eastAsia="宋体" w:cs="宋体"/>
          <w:color w:val="auto"/>
          <w:szCs w:val="21"/>
          <w:highlight w:val="none"/>
          <w:u w:val="single"/>
        </w:rPr>
        <w:t>承包人应按《重庆市人民政府办公厅关于在高危行业领域强制推行安全生产责任保险的实施意见》（渝府办法〔2017〕182号）的要求办理安全生产责任保险</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83" w:name="_Toc532375672"/>
      <w:bookmarkStart w:id="1384" w:name="_Toc532377411"/>
      <w:r>
        <w:rPr>
          <w:rFonts w:hint="eastAsia" w:ascii="宋体" w:hAnsi="宋体" w:eastAsia="宋体" w:cs="宋体"/>
          <w:b/>
          <w:color w:val="auto"/>
          <w:kern w:val="2"/>
          <w:sz w:val="28"/>
          <w:szCs w:val="28"/>
          <w:highlight w:val="none"/>
          <w:lang w:val="en-US" w:eastAsia="zh-CN" w:bidi="ar-SA"/>
        </w:rPr>
        <w:t>18.7 通知义务</w:t>
      </w:r>
      <w:bookmarkEnd w:id="1383"/>
      <w:bookmarkEnd w:id="1384"/>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关于变更保险合同时的通知义务的约定：</w:t>
      </w:r>
      <w:r>
        <w:rPr>
          <w:rFonts w:hint="eastAsia" w:ascii="宋体" w:hAnsi="宋体" w:eastAsia="宋体" w:cs="宋体"/>
          <w:color w:val="auto"/>
          <w:szCs w:val="21"/>
          <w:highlight w:val="none"/>
          <w:u w:val="single"/>
        </w:rPr>
        <w:t>按通用合同条款执行</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85" w:name="_Toc532375673"/>
      <w:bookmarkStart w:id="1386" w:name="_Toc532377412"/>
      <w:r>
        <w:rPr>
          <w:rFonts w:hint="eastAsia" w:ascii="宋体" w:hAnsi="宋体" w:eastAsia="宋体" w:cs="宋体"/>
          <w:b/>
          <w:color w:val="auto"/>
          <w:kern w:val="2"/>
          <w:sz w:val="28"/>
          <w:szCs w:val="28"/>
          <w:highlight w:val="none"/>
          <w:lang w:val="en-US" w:eastAsia="zh-CN" w:bidi="ar-SA"/>
        </w:rPr>
        <w:t>18.8 其他</w:t>
      </w:r>
      <w:bookmarkEnd w:id="1385"/>
      <w:bookmarkEnd w:id="1386"/>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18.8.1 工程开工日前，承包人向发包人提交各项生效的保险证据和保险单副本。未按本项约定提交的，每延后1天，承包人按500元/天支付违约金。</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18.8.2 承包人保险赔偿金不足以补偿发包人损失时，</w:t>
      </w:r>
      <w:bookmarkStart w:id="1387" w:name="_Hlk524378346"/>
      <w:r>
        <w:rPr>
          <w:rFonts w:hint="eastAsia" w:ascii="宋体" w:hAnsi="宋体" w:eastAsia="宋体" w:cs="宋体"/>
          <w:color w:val="auto"/>
          <w:szCs w:val="21"/>
          <w:highlight w:val="none"/>
        </w:rPr>
        <w:t>差额由承包人负责补足</w:t>
      </w:r>
      <w:bookmarkEnd w:id="1387"/>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88" w:name="_Toc532375674"/>
      <w:bookmarkStart w:id="1389" w:name="_Toc532377413"/>
      <w:bookmarkStart w:id="1390" w:name="_Toc351203620"/>
      <w:bookmarkStart w:id="1391" w:name="_Toc296503140"/>
      <w:bookmarkStart w:id="1392" w:name="_Toc337558835"/>
      <w:bookmarkStart w:id="1393" w:name="_Toc296346641"/>
      <w:r>
        <w:rPr>
          <w:rFonts w:hint="eastAsia" w:ascii="宋体" w:hAnsi="宋体" w:eastAsia="宋体" w:cs="宋体"/>
          <w:b/>
          <w:color w:val="auto"/>
          <w:kern w:val="2"/>
          <w:sz w:val="28"/>
          <w:szCs w:val="28"/>
          <w:highlight w:val="none"/>
          <w:lang w:val="en-US" w:eastAsia="zh-CN" w:bidi="ar-SA"/>
        </w:rPr>
        <w:t>19. 索赔</w:t>
      </w:r>
      <w:bookmarkEnd w:id="1388"/>
      <w:bookmarkEnd w:id="1389"/>
      <w:bookmarkEnd w:id="1390"/>
    </w:p>
    <w:bookmarkEnd w:id="1391"/>
    <w:bookmarkEnd w:id="1392"/>
    <w:bookmarkEnd w:id="1393"/>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394" w:name="_Toc532375675"/>
      <w:bookmarkStart w:id="1395" w:name="_Toc532377414"/>
      <w:bookmarkStart w:id="1396" w:name="_Toc351203621"/>
      <w:bookmarkStart w:id="1397" w:name="_Toc337558836"/>
      <w:bookmarkStart w:id="1398" w:name="_Toc296503141"/>
      <w:bookmarkStart w:id="1399" w:name="_Toc296346642"/>
      <w:r>
        <w:rPr>
          <w:rFonts w:hint="eastAsia" w:ascii="宋体" w:hAnsi="宋体" w:eastAsia="宋体" w:cs="宋体"/>
          <w:b/>
          <w:color w:val="auto"/>
          <w:kern w:val="2"/>
          <w:sz w:val="28"/>
          <w:szCs w:val="28"/>
          <w:highlight w:val="none"/>
          <w:lang w:val="en-US" w:eastAsia="zh-CN" w:bidi="ar-SA"/>
        </w:rPr>
        <w:t>19.1 承包人的索赔</w:t>
      </w:r>
      <w:bookmarkEnd w:id="1394"/>
      <w:bookmarkEnd w:id="1395"/>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根据合同约定，承包人认为有权得到追加付款和（或）延长工期的，应按以下程序向发包人提出索赔：</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（1）承包人应在索赔事件发生后28天内，向监理人递交索赔意向通知书，并说明发生索赔事件的事由；承包人未在前述28天内发出索赔意向通知书的，丧失要求追加付款和（或）延长工期的权利；</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（2）承包人应在发出索赔意向通知书后28天内，向监理人正式递交索赔报告；索赔报告应详细说明索赔理由以及要求追加的付款金额和（或）延长的工期，并附必要的记录和证明材料；</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（3）索赔事件具有持续影响的，承包人应按监理人要求的合理时间间隔继续递交延续索赔通知，说明持续影响的实际情况和记录，列出累计的追加付款金额和（或）工期延长天数；</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（4）在索赔事件影响结束后28天内，承包人应向监理人递交最终索赔报告，说明最终要求索赔的追加付款金额和（或）延长的工期，并附必要的记录和证明材料。</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00" w:name="_Toc532377415"/>
      <w:bookmarkStart w:id="1401" w:name="_Toc532375676"/>
      <w:r>
        <w:rPr>
          <w:rFonts w:hint="eastAsia" w:ascii="宋体" w:hAnsi="宋体" w:eastAsia="宋体" w:cs="宋体"/>
          <w:b/>
          <w:color w:val="auto"/>
          <w:kern w:val="2"/>
          <w:sz w:val="28"/>
          <w:szCs w:val="28"/>
          <w:highlight w:val="none"/>
          <w:lang w:val="en-US" w:eastAsia="zh-CN" w:bidi="ar-SA"/>
        </w:rPr>
        <w:t>19.2 对承包人索赔的处理</w:t>
      </w:r>
      <w:bookmarkEnd w:id="1400"/>
      <w:bookmarkEnd w:id="1401"/>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对承包人索赔的处理如下：</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（1）监理人应在收到索赔报告后14天内完成审查并报送发包人。监理人对索赔报告存在异议的，有权要求承包人提交全部原始记录副本</w:t>
      </w:r>
      <w:r>
        <w:rPr>
          <w:rFonts w:hint="eastAsia" w:ascii="宋体" w:hAnsi="宋体" w:eastAsia="宋体" w:cs="宋体"/>
          <w:color w:val="auto"/>
          <w:szCs w:val="21"/>
          <w:highlight w:val="none"/>
        </w:rPr>
        <w:t>；</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2）发包人应在监理人收到索赔报告或有关索赔的进一步证明材料后的28天内，由监理人向承包人出具经发包人签认的索赔处理结果。发包人逾期未答复的，承包人应以书面形式催告发包人，经承包人三次（每次间隔不少于3天）书面催告后，发包人仍未按期限答复的，则视为认可承包人的索赔要求</w:t>
      </w:r>
      <w:r>
        <w:rPr>
          <w:rFonts w:hint="eastAsia" w:ascii="宋体" w:hAnsi="宋体" w:eastAsia="宋体" w:cs="宋体"/>
          <w:color w:val="auto"/>
          <w:szCs w:val="21"/>
          <w:highlight w:val="none"/>
        </w:rPr>
        <w:t>；</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（3）承包人接受索赔处理结果的，索赔款项在当期进度款中进行支付；承包人不接受索赔处理结果的，按照第20条〔争议解决〕约定处理</w:t>
      </w:r>
      <w:r>
        <w:rPr>
          <w:rFonts w:hint="eastAsia" w:ascii="宋体" w:hAnsi="宋体" w:eastAsia="宋体" w:cs="宋体"/>
          <w:color w:val="auto"/>
          <w:szCs w:val="21"/>
          <w:highlight w:val="none"/>
        </w:rPr>
        <w:t>；</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u w:val="single"/>
        </w:rPr>
        <w:t>（4）工期延误的关键线路按照经监理人、发包人审批同意的施工组织设计计算</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02" w:name="_Toc532375677"/>
      <w:bookmarkStart w:id="1403" w:name="_Toc532377416"/>
      <w:r>
        <w:rPr>
          <w:rFonts w:hint="eastAsia" w:ascii="宋体" w:hAnsi="宋体" w:eastAsia="宋体" w:cs="宋体"/>
          <w:b/>
          <w:color w:val="auto"/>
          <w:kern w:val="2"/>
          <w:sz w:val="28"/>
          <w:szCs w:val="28"/>
          <w:highlight w:val="none"/>
          <w:lang w:val="en-US" w:eastAsia="zh-CN" w:bidi="ar-SA"/>
        </w:rPr>
        <w:t>19.3发包人的索赔</w:t>
      </w:r>
      <w:bookmarkEnd w:id="1402"/>
      <w:bookmarkEnd w:id="1403"/>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根据合同约定，发包人认为有权得到赔付金额和（或）延长缺陷责任期的，监理人应向承包人发出通知并附有详细的证明。</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发包人应在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索赔事件具有持续影响的，发包人应在索赔事件影响结束后28天内，</w:t>
      </w:r>
      <w:bookmarkStart w:id="1404" w:name="_Hlk528652769"/>
      <w:r>
        <w:rPr>
          <w:rFonts w:hint="eastAsia" w:ascii="宋体" w:hAnsi="宋体" w:eastAsia="宋体" w:cs="宋体"/>
          <w:color w:val="auto"/>
          <w:szCs w:val="21"/>
          <w:highlight w:val="none"/>
        </w:rPr>
        <w:t>通过监理人向承包人正式递交最终索赔报告</w:t>
      </w:r>
      <w:bookmarkEnd w:id="1404"/>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05" w:name="_Toc532377417"/>
      <w:bookmarkStart w:id="1406" w:name="_Toc532375678"/>
      <w:r>
        <w:rPr>
          <w:rFonts w:hint="eastAsia" w:ascii="宋体" w:hAnsi="宋体" w:eastAsia="宋体" w:cs="宋体"/>
          <w:b/>
          <w:color w:val="auto"/>
          <w:kern w:val="2"/>
          <w:sz w:val="28"/>
          <w:szCs w:val="28"/>
          <w:highlight w:val="none"/>
          <w:lang w:val="en-US" w:eastAsia="zh-CN" w:bidi="ar-SA"/>
        </w:rPr>
        <w:t>19.4 对发包人索赔的处理</w:t>
      </w:r>
      <w:bookmarkEnd w:id="1405"/>
      <w:bookmarkEnd w:id="1406"/>
    </w:p>
    <w:p>
      <w:pPr>
        <w:autoSpaceDE w:val="0"/>
        <w:autoSpaceDN w:val="0"/>
        <w:spacing w:line="360" w:lineRule="auto"/>
        <w:ind w:right="140" w:rightChars="50"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对发包人索赔的处理如下：</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（1）承包人收到发包人提交的索赔报告后，应及时审查索赔报告的内容、查验发包人证明材料；</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收到索赔报告或有关索赔的进一步证明材料后28天内，将索赔处理结果答复发包人。如果承包人未在上述期限内作出答复的，监理人应以书面形式催告承包人，经监理人三次书面催告后，承包人仍未按期限答复的，则视为对发包人索赔要求的认可；</w:t>
      </w:r>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（3）承包人接受索赔处理结果的，发包人可从应支付给承包人的合同价款中扣除赔付的金额或延长缺陷责任期；发包人不接受索赔处理结果的，按第20条〔争议解决〕约定处理。</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07" w:name="_Toc532375679"/>
      <w:bookmarkStart w:id="1408" w:name="_Toc532377418"/>
      <w:bookmarkStart w:id="1409" w:name="_Hlk528928420"/>
      <w:r>
        <w:rPr>
          <w:rFonts w:hint="eastAsia" w:ascii="宋体" w:hAnsi="宋体" w:eastAsia="宋体" w:cs="宋体"/>
          <w:b/>
          <w:color w:val="auto"/>
          <w:kern w:val="2"/>
          <w:sz w:val="28"/>
          <w:szCs w:val="28"/>
          <w:highlight w:val="none"/>
          <w:lang w:val="en-US" w:eastAsia="zh-CN" w:bidi="ar-SA"/>
        </w:rPr>
        <w:t>19.5 提出索赔的期限</w:t>
      </w:r>
      <w:bookmarkEnd w:id="1407"/>
      <w:bookmarkEnd w:id="1408"/>
    </w:p>
    <w:p>
      <w:pPr>
        <w:autoSpaceDE w:val="0"/>
        <w:autoSpaceDN w:val="0"/>
        <w:spacing w:line="360" w:lineRule="auto"/>
        <w:ind w:right="140" w:rightChars="50" w:firstLine="560" w:firstLineChars="200"/>
        <w:jc w:val="left"/>
        <w:rPr>
          <w:rFonts w:hint="eastAsia" w:ascii="宋体" w:hAnsi="宋体" w:eastAsia="宋体" w:cs="宋体"/>
          <w:color w:val="auto"/>
          <w:szCs w:val="21"/>
          <w:highlight w:val="none"/>
        </w:rPr>
      </w:pPr>
      <w:bookmarkStart w:id="1410" w:name="_Hlk524298376"/>
      <w:r>
        <w:rPr>
          <w:rFonts w:hint="eastAsia" w:ascii="宋体" w:hAnsi="宋体" w:eastAsia="宋体" w:cs="宋体"/>
          <w:color w:val="auto"/>
          <w:szCs w:val="21"/>
          <w:highlight w:val="none"/>
        </w:rPr>
        <w:t>任一索赔事件发生后28天内，承包人/发包人未向对方发出索赔意向通知书的，视为其已放弃索赔权，无权再就该索赔事项提出任何索赔。</w:t>
      </w:r>
    </w:p>
    <w:bookmarkEnd w:id="1396"/>
    <w:bookmarkEnd w:id="1397"/>
    <w:bookmarkEnd w:id="1398"/>
    <w:bookmarkEnd w:id="1399"/>
    <w:bookmarkEnd w:id="1409"/>
    <w:bookmarkEnd w:id="1410"/>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11" w:name="_Toc532375680"/>
      <w:bookmarkStart w:id="1412" w:name="_Toc351203651"/>
      <w:bookmarkStart w:id="1413" w:name="_Toc532377419"/>
      <w:r>
        <w:rPr>
          <w:rFonts w:hint="eastAsia" w:ascii="宋体" w:hAnsi="宋体" w:eastAsia="宋体" w:cs="宋体"/>
          <w:b/>
          <w:color w:val="auto"/>
          <w:kern w:val="2"/>
          <w:sz w:val="28"/>
          <w:szCs w:val="28"/>
          <w:highlight w:val="none"/>
          <w:lang w:val="en-US" w:eastAsia="zh-CN" w:bidi="ar-SA"/>
        </w:rPr>
        <w:t>20. 争议解决</w:t>
      </w:r>
      <w:bookmarkEnd w:id="1411"/>
      <w:bookmarkEnd w:id="1412"/>
      <w:bookmarkEnd w:id="1413"/>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14" w:name="_Toc532377420"/>
      <w:bookmarkStart w:id="1415" w:name="_Toc532375681"/>
      <w:r>
        <w:rPr>
          <w:rFonts w:hint="eastAsia" w:ascii="宋体" w:hAnsi="宋体" w:eastAsia="宋体" w:cs="宋体"/>
          <w:b/>
          <w:color w:val="auto"/>
          <w:kern w:val="2"/>
          <w:sz w:val="28"/>
          <w:szCs w:val="28"/>
          <w:highlight w:val="none"/>
          <w:lang w:val="en-US" w:eastAsia="zh-CN" w:bidi="ar-SA"/>
        </w:rPr>
        <w:t>20.3 争议评审</w:t>
      </w:r>
      <w:bookmarkEnd w:id="1414"/>
      <w:bookmarkEnd w:id="1415"/>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合同当事人是否同意将工程争议提交争议评审小组决定：</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16" w:name="_Toc532377421"/>
      <w:bookmarkStart w:id="1417" w:name="_Toc532375682"/>
      <w:r>
        <w:rPr>
          <w:rFonts w:hint="eastAsia" w:ascii="宋体" w:hAnsi="宋体" w:eastAsia="宋体" w:cs="宋体"/>
          <w:b/>
          <w:color w:val="auto"/>
          <w:kern w:val="2"/>
          <w:sz w:val="28"/>
          <w:szCs w:val="28"/>
          <w:highlight w:val="none"/>
          <w:lang w:val="en-US" w:eastAsia="zh-CN" w:bidi="ar-SA"/>
        </w:rPr>
        <w:t>20.4 仲裁或诉讼</w:t>
      </w:r>
      <w:bookmarkEnd w:id="1416"/>
      <w:bookmarkEnd w:id="1417"/>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因合同及合同有关事项发生的争议，按下列第</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eastAsia="zh-CN"/>
        </w:rPr>
        <w:t>（</w:t>
      </w:r>
      <w:r>
        <w:rPr>
          <w:rFonts w:hint="eastAsia" w:ascii="宋体" w:hAnsi="宋体" w:eastAsia="宋体" w:cs="宋体"/>
          <w:color w:val="auto"/>
          <w:szCs w:val="21"/>
          <w:highlight w:val="none"/>
          <w:u w:val="single"/>
          <w:lang w:val="en-US" w:eastAsia="zh-CN"/>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种方式解决：</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（1）向</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仲裁委员会申请仲裁；</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（2）向</w:t>
      </w:r>
      <w:r>
        <w:rPr>
          <w:rFonts w:hint="eastAsia" w:ascii="宋体" w:hAnsi="宋体" w:eastAsia="宋体" w:cs="宋体"/>
          <w:color w:val="auto"/>
          <w:szCs w:val="21"/>
          <w:highlight w:val="none"/>
          <w:u w:val="single"/>
        </w:rPr>
        <w:t xml:space="preserve">  工程所在地   </w:t>
      </w:r>
      <w:r>
        <w:rPr>
          <w:rFonts w:hint="eastAsia" w:ascii="宋体" w:hAnsi="宋体" w:eastAsia="宋体" w:cs="宋体"/>
          <w:color w:val="auto"/>
          <w:szCs w:val="21"/>
          <w:highlight w:val="none"/>
        </w:rPr>
        <w:t>人民法院起诉。</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18" w:name="_Toc532377422"/>
      <w:bookmarkStart w:id="1419" w:name="_Toc532375683"/>
      <w:r>
        <w:rPr>
          <w:rFonts w:hint="eastAsia" w:ascii="宋体" w:hAnsi="宋体" w:eastAsia="宋体" w:cs="宋体"/>
          <w:b/>
          <w:color w:val="auto"/>
          <w:kern w:val="2"/>
          <w:sz w:val="28"/>
          <w:szCs w:val="28"/>
          <w:highlight w:val="none"/>
          <w:lang w:val="en-US" w:eastAsia="zh-CN" w:bidi="ar-SA"/>
        </w:rPr>
        <w:t>21. 补充条款</w:t>
      </w:r>
      <w:bookmarkEnd w:id="1418"/>
      <w:bookmarkEnd w:id="1419"/>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20" w:name="_Toc532375684"/>
      <w:bookmarkStart w:id="1421" w:name="_Toc532377423"/>
      <w:r>
        <w:rPr>
          <w:rFonts w:hint="eastAsia" w:ascii="宋体" w:hAnsi="宋体" w:eastAsia="宋体" w:cs="宋体"/>
          <w:b/>
          <w:color w:val="auto"/>
          <w:kern w:val="2"/>
          <w:sz w:val="28"/>
          <w:szCs w:val="28"/>
          <w:highlight w:val="none"/>
          <w:lang w:val="en-US" w:eastAsia="zh-CN" w:bidi="ar-SA"/>
        </w:rPr>
        <w:t>21.1 退出机制</w:t>
      </w:r>
      <w:bookmarkEnd w:id="1420"/>
      <w:bookmarkEnd w:id="1421"/>
    </w:p>
    <w:p>
      <w:pPr>
        <w:pStyle w:val="23"/>
        <w:spacing w:after="0" w:line="360" w:lineRule="auto"/>
        <w:ind w:firstLine="560" w:firstLineChars="20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21.1.1有下列情形之一的，发包人有权解除合同，亦有权兑付履约担保，并对承包人做清退出场处理：</w:t>
      </w:r>
    </w:p>
    <w:p>
      <w:pPr>
        <w:pStyle w:val="23"/>
        <w:spacing w:after="0" w:line="360" w:lineRule="auto"/>
        <w:ind w:firstLine="560" w:firstLineChars="20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（1）因承包人原因造成较大及以上等级生产安全事故或工程质量事故的；</w:t>
      </w:r>
    </w:p>
    <w:p>
      <w:pPr>
        <w:pStyle w:val="23"/>
        <w:spacing w:after="0" w:line="360" w:lineRule="auto"/>
        <w:ind w:firstLine="560" w:firstLineChars="20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（2）因承包人债权债务纠纷或其他纠纷导致工程无法正常施工的。</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w:t>
      </w:r>
    </w:p>
    <w:p>
      <w:pPr>
        <w:pStyle w:val="23"/>
        <w:spacing w:after="0" w:line="360" w:lineRule="auto"/>
        <w:ind w:firstLine="560" w:firstLineChars="200"/>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21.1.2有下列情形之一的，承包人有权解除合同，并按16.1.4约定执行：</w:t>
      </w:r>
    </w:p>
    <w:p>
      <w:pPr>
        <w:pStyle w:val="23"/>
        <w:spacing w:after="0"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（1）因发包人征地、拆迁、补偿、审批手续等原因致使本工程延期开工超过90天的。</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pStyle w:val="7"/>
        <w:spacing w:before="0" w:beforeAutospacing="0" w:after="0" w:afterAutospacing="0" w:line="360" w:lineRule="auto"/>
        <w:ind w:left="0" w:leftChars="0" w:firstLine="843" w:firstLineChars="300"/>
        <w:rPr>
          <w:rFonts w:hint="eastAsia" w:ascii="宋体" w:hAnsi="宋体" w:eastAsia="宋体" w:cs="宋体"/>
          <w:b/>
          <w:color w:val="auto"/>
          <w:kern w:val="2"/>
          <w:sz w:val="28"/>
          <w:szCs w:val="28"/>
          <w:highlight w:val="none"/>
          <w:lang w:val="en-US" w:eastAsia="zh-CN" w:bidi="ar-SA"/>
        </w:rPr>
      </w:pPr>
      <w:bookmarkStart w:id="1422" w:name="_Toc532375685"/>
      <w:bookmarkStart w:id="1423" w:name="_Toc532377424"/>
      <w:r>
        <w:rPr>
          <w:rFonts w:hint="eastAsia" w:ascii="宋体" w:hAnsi="宋体" w:eastAsia="宋体" w:cs="宋体"/>
          <w:b/>
          <w:color w:val="auto"/>
          <w:kern w:val="2"/>
          <w:sz w:val="28"/>
          <w:szCs w:val="28"/>
          <w:highlight w:val="none"/>
          <w:lang w:val="en-US" w:eastAsia="zh-CN" w:bidi="ar-SA"/>
        </w:rPr>
        <w:t>21.2智慧工地</w:t>
      </w:r>
      <w:bookmarkEnd w:id="1422"/>
      <w:bookmarkEnd w:id="1423"/>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工地建设可参照重庆市城乡建设委员会《关于印发“智慧工地”建设工作方案的通知》（渝建〔2017〕414号）的相关要求建设。</w:t>
      </w:r>
      <w:bookmarkEnd w:id="1364"/>
    </w:p>
    <w:p>
      <w:pPr>
        <w:pStyle w:val="7"/>
        <w:spacing w:before="0" w:beforeAutospacing="0" w:after="0" w:afterAutospacing="0" w:line="360" w:lineRule="auto"/>
        <w:ind w:left="0" w:leftChars="0" w:firstLine="843" w:firstLineChars="300"/>
        <w:rPr>
          <w:rFonts w:hint="default"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21.3低价风险担保</w:t>
      </w:r>
      <w:r>
        <w:rPr>
          <w:rFonts w:hint="eastAsia" w:ascii="宋体" w:hAnsi="宋体" w:cs="宋体"/>
          <w:b/>
          <w:color w:val="auto"/>
          <w:kern w:val="2"/>
          <w:sz w:val="28"/>
          <w:szCs w:val="28"/>
          <w:highlight w:val="none"/>
          <w:lang w:val="en-US" w:eastAsia="zh-CN" w:bidi="ar-SA"/>
        </w:rPr>
        <w:t>（如有）</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承包人提供低价风险担保的情形：采用经评审的最低投标价法的项目投标报价低于最高限价85%时。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承包人提供低价风险担保的形式、金额及期限：</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（1）低价风险担保的形式：现金或银行保函或现金+银行保函的组合；采用保函形式的，保函必须为不可撤销、不可转让且见索即付的独立保函；</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（2）低价风险担保的金额：</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szCs w:val="21"/>
          <w:highlight w:val="none"/>
        </w:rPr>
        <w:t>；</w:t>
      </w:r>
    </w:p>
    <w:p>
      <w:pPr>
        <w:tabs>
          <w:tab w:val="left" w:pos="1134"/>
        </w:tabs>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（3）低价风险担保的提交时间：</w:t>
      </w:r>
      <w:r>
        <w:rPr>
          <w:rFonts w:hint="eastAsia" w:ascii="宋体" w:hAnsi="宋体" w:eastAsia="宋体" w:cs="宋体"/>
          <w:color w:val="auto"/>
          <w:szCs w:val="21"/>
          <w:highlight w:val="none"/>
          <w:u w:val="single"/>
        </w:rPr>
        <w:t>从</w:t>
      </w:r>
      <w:r>
        <w:rPr>
          <w:rFonts w:hint="eastAsia" w:ascii="宋体" w:hAnsi="宋体" w:cs="宋体"/>
          <w:color w:val="auto"/>
          <w:szCs w:val="21"/>
          <w:highlight w:val="none"/>
          <w:u w:val="single"/>
          <w:lang w:eastAsia="zh-CN"/>
        </w:rPr>
        <w:t>采购人成交通知书</w:t>
      </w:r>
      <w:r>
        <w:rPr>
          <w:rFonts w:hint="eastAsia" w:ascii="宋体" w:hAnsi="宋体" w:eastAsia="宋体" w:cs="宋体"/>
          <w:color w:val="auto"/>
          <w:szCs w:val="21"/>
          <w:highlight w:val="none"/>
          <w:u w:val="single"/>
        </w:rPr>
        <w:t>送达拟中标人之日起    工作日内；</w:t>
      </w:r>
    </w:p>
    <w:p>
      <w:pPr>
        <w:tabs>
          <w:tab w:val="left" w:pos="1134"/>
        </w:tabs>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（4）低价风险担保的期限：</w:t>
      </w:r>
      <w:r>
        <w:rPr>
          <w:rFonts w:hint="eastAsia" w:ascii="宋体" w:hAnsi="宋体" w:eastAsia="宋体" w:cs="宋体"/>
          <w:color w:val="auto"/>
          <w:szCs w:val="21"/>
          <w:highlight w:val="none"/>
          <w:u w:val="single"/>
        </w:rPr>
        <w:t>自低价风险担保生效之日起至竣工验收合格之日止</w:t>
      </w:r>
      <w:r>
        <w:rPr>
          <w:rFonts w:hint="eastAsia" w:ascii="宋体" w:hAnsi="宋体" w:eastAsia="宋体" w:cs="宋体"/>
          <w:color w:val="auto"/>
          <w:szCs w:val="21"/>
          <w:highlight w:val="none"/>
        </w:rPr>
        <w:t>。</w:t>
      </w:r>
    </w:p>
    <w:p>
      <w:pPr>
        <w:pStyle w:val="23"/>
        <w:spacing w:after="0"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2"/>
          <w:sz w:val="28"/>
          <w:szCs w:val="21"/>
          <w:highlight w:val="none"/>
          <w:lang w:val="en-US" w:eastAsia="zh-CN" w:bidi="ar-SA"/>
        </w:rPr>
        <w:t>低价风险担保的退还时间：</w:t>
      </w:r>
      <w:r>
        <w:rPr>
          <w:rFonts w:hint="eastAsia" w:ascii="宋体" w:hAnsi="宋体" w:eastAsia="宋体" w:cs="宋体"/>
          <w:color w:val="auto"/>
          <w:kern w:val="2"/>
          <w:sz w:val="28"/>
          <w:szCs w:val="21"/>
          <w:highlight w:val="none"/>
          <w:u w:val="single"/>
          <w:lang w:val="en-US" w:eastAsia="zh-CN" w:bidi="ar-SA"/>
        </w:rPr>
        <w:t xml:space="preserve">采用现金担保的，工程竣工验收合格后14天内退还，合同履行期间允许承包人用符合要求的银行保函进行置换；采用银行保函的，工程竣工验收合格后14天内退还。采用分段退还的，低价风险担保的退还时间及方式为：        </w:t>
      </w:r>
      <w:r>
        <w:rPr>
          <w:rFonts w:hint="eastAsia" w:ascii="宋体" w:hAnsi="宋体" w:eastAsia="宋体" w:cs="宋体"/>
          <w:color w:val="auto"/>
          <w:szCs w:val="21"/>
          <w:highlight w:val="none"/>
        </w:rPr>
        <w:t>。</w:t>
      </w:r>
    </w:p>
    <w:p>
      <w:pPr>
        <w:pStyle w:val="23"/>
        <w:spacing w:after="0" w:line="360" w:lineRule="auto"/>
        <w:ind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（5）低价风险担保的扣减：</w:t>
      </w:r>
    </w:p>
    <w:p>
      <w:pPr>
        <w:pStyle w:val="23"/>
        <w:spacing w:after="0" w:line="360" w:lineRule="auto"/>
        <w:ind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①承包人在工程施工期间，以其投标时填报的工程主要材料价格低于同期工程造价管理机构发布的信息价格为由拒绝材料采购；或因其自身其他原因导致工程窝工或停工等，给发包人造成直接经济损失且拒绝承担的，按低价风险担保金额的50～100%扣减，直至解除合同；</w:t>
      </w:r>
    </w:p>
    <w:p>
      <w:pPr>
        <w:pStyle w:val="23"/>
        <w:spacing w:after="0" w:line="360" w:lineRule="auto"/>
        <w:ind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②承包人在工程施工期间或竣工验收时，工程质量不符合国家现行有关施工质量验收规范要求的，按低价风险担保金额的50～100%扣减，直至解除合同；</w:t>
      </w:r>
    </w:p>
    <w:p>
      <w:pPr>
        <w:pStyle w:val="23"/>
        <w:spacing w:after="0" w:line="360" w:lineRule="auto"/>
        <w:ind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③承包人因16.2.3项原因被解除合同的，低价风险担保将全额扣除；</w:t>
      </w:r>
    </w:p>
    <w:p>
      <w:pPr>
        <w:pStyle w:val="23"/>
        <w:spacing w:after="0" w:line="360" w:lineRule="auto"/>
        <w:ind w:firstLine="56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2"/>
          <w:sz w:val="28"/>
          <w:szCs w:val="21"/>
          <w:highlight w:val="none"/>
          <w:lang w:val="en-US" w:eastAsia="zh-CN" w:bidi="ar-SA"/>
        </w:rPr>
        <w:t>④因承包人过错导致的其他情形：</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rPr>
        <w:t>。</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r>
        <w:rPr>
          <w:rFonts w:hint="eastAsia" w:ascii="宋体" w:hAnsi="宋体" w:eastAsia="宋体" w:cs="宋体"/>
          <w:b/>
          <w:color w:val="auto"/>
          <w:kern w:val="2"/>
          <w:sz w:val="28"/>
          <w:szCs w:val="28"/>
          <w:highlight w:val="none"/>
          <w:lang w:val="en-US" w:eastAsia="zh-CN" w:bidi="ar-SA"/>
        </w:rPr>
        <w:t>21.4 关于不平衡报价的约定：</w:t>
      </w:r>
      <w:r>
        <w:rPr>
          <w:rFonts w:hint="eastAsia" w:ascii="宋体" w:hAnsi="宋体" w:eastAsia="宋体" w:cs="宋体"/>
          <w:b/>
          <w:color w:val="auto"/>
          <w:kern w:val="2"/>
          <w:sz w:val="28"/>
          <w:szCs w:val="28"/>
          <w:highlight w:val="none"/>
          <w:u w:val="single"/>
          <w:lang w:val="en-US" w:eastAsia="zh-CN" w:bidi="ar-SA"/>
        </w:rPr>
        <w:t xml:space="preserve">  本项目工程实行总价与清单单价双控制的方式实施，不允许不平衡报价</w:t>
      </w:r>
      <w:r>
        <w:rPr>
          <w:rFonts w:hint="eastAsia" w:ascii="宋体" w:hAnsi="宋体" w:eastAsia="宋体" w:cs="宋体"/>
          <w:b/>
          <w:color w:val="auto"/>
          <w:kern w:val="2"/>
          <w:sz w:val="28"/>
          <w:szCs w:val="28"/>
          <w:highlight w:val="none"/>
          <w:lang w:val="en-US" w:eastAsia="zh-CN" w:bidi="ar-SA"/>
        </w:rPr>
        <w:t xml:space="preserve">。   </w:t>
      </w:r>
    </w:p>
    <w:p>
      <w:pPr>
        <w:pageBreakBefore w:val="0"/>
        <w:widowControl w:val="0"/>
        <w:kinsoku/>
        <w:wordWrap/>
        <w:overflowPunct/>
        <w:topLinePunct w:val="0"/>
        <w:autoSpaceDE/>
        <w:autoSpaceDN/>
        <w:bidi w:val="0"/>
        <w:adjustRightInd/>
        <w:snapToGrid/>
        <w:spacing w:line="400" w:lineRule="exact"/>
        <w:ind w:firstLine="562" w:firstLineChars="200"/>
        <w:textAlignment w:val="auto"/>
        <w:outlineLvl w:val="1"/>
        <w:rPr>
          <w:rFonts w:hint="eastAsia" w:ascii="宋体" w:hAnsi="宋体" w:eastAsia="宋体" w:cs="宋体"/>
          <w:b/>
          <w:color w:val="auto"/>
          <w:kern w:val="2"/>
          <w:sz w:val="28"/>
          <w:szCs w:val="28"/>
          <w:highlight w:val="none"/>
          <w:lang w:val="zh-CN" w:eastAsia="zh-CN" w:bidi="ar-SA"/>
        </w:rPr>
      </w:pPr>
      <w:r>
        <w:rPr>
          <w:rFonts w:hint="eastAsia" w:ascii="宋体" w:hAnsi="宋体" w:eastAsia="宋体" w:cs="宋体"/>
          <w:b/>
          <w:color w:val="auto"/>
          <w:kern w:val="2"/>
          <w:sz w:val="28"/>
          <w:szCs w:val="28"/>
          <w:highlight w:val="none"/>
          <w:lang w:val="en-US" w:eastAsia="zh-CN" w:bidi="ar-SA"/>
        </w:rPr>
        <w:t>21.5</w:t>
      </w:r>
      <w:r>
        <w:rPr>
          <w:rFonts w:hint="eastAsia" w:ascii="宋体" w:hAnsi="宋体" w:eastAsia="宋体" w:cs="宋体"/>
          <w:b/>
          <w:color w:val="auto"/>
          <w:kern w:val="2"/>
          <w:sz w:val="28"/>
          <w:szCs w:val="28"/>
          <w:highlight w:val="none"/>
          <w:lang w:val="zh-CN" w:eastAsia="zh-CN" w:bidi="ar-SA"/>
        </w:rPr>
        <w:t>本工程最高限价核查范围内对设计图纸不明确的内容，经商你单位并根据《璧山新材料产业园项目一期工程电力建设工程最高限价核查相关问题及回复》,按以下原则处理：</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1、携带式接地线一组即为一套成品接地线(不用安装，放置于储物柜)。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2、工程量按设计材料汇总表(图号D101-03和D102-02)中的工程量计算(设计工程量未考虑损耗量)。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3、环网柜不纳入本次核查范围内。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4、线路部分按设计说明计算，电气部分包括高压电源点至开闭所(含开闭所设备),以及开闭所至各配电室的出线电缆，工程量详材料表图号D101-03。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5、对于现有排管暂不考虑利旧使用，考虑新建排管60m,若实际为利用现有排管，结算时按实计算利旧和新建排管长度；对现有道路拆除的材料不考虑利旧使用，穿越现有道路段总长为24.6米(其中车行道长度20.6米，人行道长度为4米);拆除路面及恢复路面的宽度按设计图示宽1.05米计算；拆除及恢复草皮按长3米×宽1.05计算，采用人工铺草皮方式实施，草皮品种为早熟禾需养护1个月；电缆管道疏通长度暂按5m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6、原有电缆沟敷设电缆时需要考虑揭盖板和盖板恢复的费用，电缆沟揭盖板和盖板恢复长度各为4.4m。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7、电缆标识牌按图号D101-0710KV中的标识图2计算。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8、图号D101-03铜接线端子DT-400数量按12个计算。</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9、BVR-185mm²铜芯线和185mm²铜端子此为电缆头接地线，工程量已包括在电缆头定额辅材中，不再单独计算。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10、设计图图号D101-03材料表二中，ZB-YJV22-8.7/15kV3×400mm²电力电缆总长为416米。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11、电缆在排管和桥架中敷设长度为排管和桥架长度1.025米，电缆总长度按材料表中长度计算。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12、弃渣外运运输距离为10km。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13、该项目混凝土其制品采用商品料，砂浆采用自拌砂浆；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14、电缆排管沟内接地扁钢的规格按50×6mm计算，底板在回填较深时不考虑配筋，底板砼强度等级为C20,CPVC电缆排管的规格调整为2×C110×5mm。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15、电缆检修井净空尺寸按2200×1300mm进行计算，沟内侧壁做法采用5mm厚1:2.5防水砂浆抹面(掺5%防水剂)。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16、坑槽开挖方式采用机械开挖。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15、外线电缆调试纳入本次核查范围内；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17、荧光灯按双管灯具吸顶安装计算。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18、开闭所内的设备、照明、空调、灭火器、风机、防雷接地纳入本次核查范围内，室内的砼设备基础不需要计算，只计算槽钢基础；室内土建及装修不纳入本次核查范围内；开闭所内试运行准备费在纳入本次核查范围内，按材料表图号D102-02工程量计算，开闭所内接地极不纳入本次核查范围内。</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19、开闭所配电箱进线、出线纳入本次核查范围内。本工程所涉及的2个开闭所的管线工程量如下：WDZCN-BYJ-4mm²配线为738 米，WDZCN-BYJ-6mm²配线为936米；SC15管道(明敷)为240 米，WDZBN-YJY-0.6/1kV-5×16mm²电力电缆为40米；SC20管道(明敷)为300米。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20、AH12、AH22开关柜的参数按系统图所示12kV,1250A,31.5kA (固封)计算。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21、直流电源箱安装方式采用壁挂。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22、柜式空调规格按3P空调计算。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23、灭火器工程量按4个灭火器箱，8具灭火器计算。 </w:t>
      </w:r>
    </w:p>
    <w:p>
      <w:pPr>
        <w:pageBreakBefore w:val="0"/>
        <w:widowControl w:val="0"/>
        <w:kinsoku/>
        <w:wordWrap/>
        <w:overflowPunct/>
        <w:topLinePunct w:val="0"/>
        <w:autoSpaceDE/>
        <w:autoSpaceDN/>
        <w:bidi w:val="0"/>
        <w:adjustRightInd/>
        <w:snapToGrid/>
        <w:spacing w:line="400" w:lineRule="exact"/>
        <w:ind w:firstLine="480" w:firstLineChars="200"/>
        <w:textAlignment w:val="auto"/>
        <w:outlineLvl w:val="9"/>
        <w:rPr>
          <w:rFonts w:hint="eastAsia" w:ascii="宋体" w:hAnsi="宋体" w:eastAsia="宋体" w:cs="宋体"/>
          <w:b w:val="0"/>
          <w:bCs w:val="0"/>
          <w:color w:val="auto"/>
          <w:sz w:val="24"/>
          <w:szCs w:val="24"/>
          <w:highlight w:val="none"/>
          <w:lang w:val="zh-CN" w:eastAsia="zh-CN"/>
        </w:rPr>
      </w:pPr>
      <w:r>
        <w:rPr>
          <w:rFonts w:hint="eastAsia" w:ascii="宋体" w:hAnsi="宋体" w:eastAsia="宋体" w:cs="宋体"/>
          <w:b w:val="0"/>
          <w:bCs w:val="0"/>
          <w:color w:val="auto"/>
          <w:sz w:val="24"/>
          <w:szCs w:val="24"/>
          <w:highlight w:val="none"/>
          <w:lang w:val="zh-CN" w:eastAsia="zh-CN"/>
        </w:rPr>
        <w:t xml:space="preserve">24、轴流风机的规格参数为600W,直径400mm。 </w:t>
      </w:r>
    </w:p>
    <w:p>
      <w:pPr>
        <w:pStyle w:val="6"/>
        <w:keepNext/>
        <w:keepLines/>
        <w:spacing w:before="156" w:beforeLines="50" w:beforeAutospacing="0" w:after="156" w:afterLines="50" w:afterAutospacing="0" w:line="360" w:lineRule="auto"/>
        <w:ind w:firstLine="562" w:firstLineChars="200"/>
        <w:jc w:val="both"/>
        <w:rPr>
          <w:rFonts w:hint="eastAsia" w:ascii="宋体" w:hAnsi="宋体" w:eastAsia="宋体" w:cs="宋体"/>
          <w:b/>
          <w:color w:val="auto"/>
          <w:kern w:val="2"/>
          <w:sz w:val="28"/>
          <w:szCs w:val="28"/>
          <w:highlight w:val="none"/>
          <w:lang w:val="en-US" w:eastAsia="zh-CN" w:bidi="ar-SA"/>
        </w:rPr>
      </w:pPr>
      <w:bookmarkStart w:id="1424" w:name="baidusnap7"/>
      <w:bookmarkEnd w:id="1424"/>
      <w:bookmarkStart w:id="1425" w:name="baidusnap3"/>
      <w:bookmarkEnd w:id="1425"/>
      <w:bookmarkStart w:id="1426" w:name="_Toc532375686"/>
      <w:bookmarkStart w:id="1427" w:name="_Toc532377425"/>
      <w:bookmarkStart w:id="1428" w:name="_Toc351203652"/>
      <w:r>
        <w:rPr>
          <w:rFonts w:hint="eastAsia" w:ascii="宋体" w:hAnsi="宋体" w:eastAsia="宋体" w:cs="宋体"/>
          <w:b/>
          <w:color w:val="auto"/>
          <w:kern w:val="2"/>
          <w:sz w:val="28"/>
          <w:szCs w:val="28"/>
          <w:highlight w:val="none"/>
          <w:lang w:val="en-US" w:eastAsia="zh-CN" w:bidi="ar-SA"/>
        </w:rPr>
        <w:t>22. 合同附件</w:t>
      </w:r>
      <w:bookmarkEnd w:id="1426"/>
      <w:bookmarkEnd w:id="1427"/>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以下附件是本合同的有效组成部分：</w:t>
      </w:r>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附件1：工程质量保修书</w:t>
      </w:r>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附件2：主要建设工程文件目录</w:t>
      </w:r>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附件3：承包人项目管理机构组成表</w:t>
      </w:r>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附件4：履约担保（如有）</w:t>
      </w:r>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附件5：专业工程暂估价表</w:t>
      </w:r>
    </w:p>
    <w:p>
      <w:pPr>
        <w:spacing w:line="360" w:lineRule="auto"/>
        <w:ind w:right="140" w:rightChars="50" w:firstLine="560" w:firstLineChars="200"/>
        <w:jc w:val="left"/>
        <w:rPr>
          <w:rFonts w:hint="eastAsia" w:ascii="宋体" w:hAnsi="宋体" w:eastAsia="宋体" w:cs="宋体"/>
          <w:color w:val="auto"/>
          <w:kern w:val="2"/>
          <w:sz w:val="28"/>
          <w:szCs w:val="21"/>
          <w:highlight w:val="none"/>
          <w:lang w:val="en-US" w:eastAsia="zh-CN" w:bidi="ar-SA"/>
        </w:rPr>
      </w:pPr>
      <w:r>
        <w:rPr>
          <w:rFonts w:hint="eastAsia" w:ascii="宋体" w:hAnsi="宋体" w:eastAsia="宋体" w:cs="宋体"/>
          <w:color w:val="auto"/>
          <w:kern w:val="2"/>
          <w:sz w:val="28"/>
          <w:szCs w:val="21"/>
          <w:highlight w:val="none"/>
          <w:lang w:val="en-US" w:eastAsia="zh-CN" w:bidi="ar-SA"/>
        </w:rPr>
        <w:t>附件6：廉洁从业协议</w:t>
      </w:r>
    </w:p>
    <w:p>
      <w:pPr>
        <w:spacing w:line="360" w:lineRule="auto"/>
        <w:ind w:right="140" w:rightChars="50" w:firstLine="560" w:firstLineChars="200"/>
        <w:jc w:val="left"/>
        <w:rPr>
          <w:rFonts w:hint="eastAsia" w:ascii="宋体" w:hAnsi="宋体" w:eastAsia="宋体" w:cs="宋体"/>
          <w:color w:val="auto"/>
          <w:highlight w:val="none"/>
        </w:rPr>
      </w:pPr>
      <w:r>
        <w:rPr>
          <w:rFonts w:hint="eastAsia" w:ascii="宋体" w:hAnsi="宋体" w:eastAsia="宋体" w:cs="宋体"/>
          <w:color w:val="auto"/>
          <w:kern w:val="2"/>
          <w:sz w:val="28"/>
          <w:szCs w:val="21"/>
          <w:highlight w:val="none"/>
          <w:lang w:val="en-US" w:eastAsia="zh-CN" w:bidi="ar-SA"/>
        </w:rPr>
        <w:t>附件7：安全管理协议</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农民工工资</w:t>
      </w:r>
      <w:r>
        <w:rPr>
          <w:rFonts w:hint="eastAsia" w:ascii="宋体" w:hAnsi="宋体" w:eastAsia="宋体" w:cs="宋体"/>
          <w:color w:val="auto"/>
          <w:szCs w:val="21"/>
          <w:highlight w:val="none"/>
        </w:rPr>
        <w:t>补充协议</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：低价风险担保保函示范文本（独立保函）（如有）</w:t>
      </w:r>
    </w:p>
    <w:p>
      <w:pPr>
        <w:spacing w:line="360" w:lineRule="auto"/>
        <w:ind w:right="140" w:rightChars="50"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项目竣工结算审计资料清单</w:t>
      </w:r>
    </w:p>
    <w:bookmarkEnd w:id="1428"/>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w:t>
      </w:r>
      <w:bookmarkStart w:id="1429" w:name="_Toc267261693"/>
      <w:bookmarkStart w:id="1430" w:name="_Toc296346727"/>
      <w:bookmarkStart w:id="1431" w:name="_Toc296503226"/>
      <w:bookmarkStart w:id="1432" w:name="_Toc296891266"/>
      <w:bookmarkStart w:id="1433" w:name="_Toc296347225"/>
      <w:bookmarkStart w:id="1434" w:name="_Toc296891054"/>
      <w:bookmarkStart w:id="1435" w:name="_Toc296944565"/>
      <w:r>
        <w:rPr>
          <w:rFonts w:hint="eastAsia" w:ascii="宋体" w:hAnsi="宋体" w:eastAsia="宋体" w:cs="宋体"/>
          <w:color w:val="auto"/>
          <w:szCs w:val="21"/>
          <w:highlight w:val="none"/>
        </w:rPr>
        <w:t>件1：</w:t>
      </w:r>
      <w:bookmarkEnd w:id="1429"/>
      <w:bookmarkEnd w:id="1430"/>
      <w:bookmarkEnd w:id="1431"/>
      <w:bookmarkEnd w:id="1432"/>
      <w:bookmarkEnd w:id="1433"/>
      <w:bookmarkEnd w:id="1434"/>
      <w:bookmarkEnd w:id="1435"/>
    </w:p>
    <w:p>
      <w:pPr>
        <w:spacing w:before="156" w:beforeLines="50" w:after="156" w:afterLines="50"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工程质量保修书</w:t>
      </w:r>
    </w:p>
    <w:p>
      <w:pPr>
        <w:snapToGrid w:val="0"/>
        <w:spacing w:line="360" w:lineRule="auto"/>
        <w:ind w:firstLine="56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56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发包人和承包人根据《中华人民共和国建筑法》和《建设工程质量管理条例》，经协商一致就</w:t>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（工程全称）签订工程质量保修书。</w:t>
      </w:r>
    </w:p>
    <w:p>
      <w:pPr>
        <w:spacing w:line="360" w:lineRule="auto"/>
        <w:ind w:firstLine="560" w:firstLineChars="200"/>
        <w:rPr>
          <w:rFonts w:hint="eastAsia" w:ascii="宋体" w:hAnsi="宋体" w:eastAsia="宋体" w:cs="宋体"/>
          <w:color w:val="auto"/>
          <w:szCs w:val="21"/>
          <w:highlight w:val="none"/>
        </w:rPr>
      </w:pPr>
      <w:bookmarkStart w:id="1436" w:name="_Toc532375687"/>
      <w:r>
        <w:rPr>
          <w:rFonts w:hint="eastAsia" w:ascii="宋体" w:hAnsi="宋体" w:eastAsia="宋体" w:cs="宋体"/>
          <w:color w:val="auto"/>
          <w:szCs w:val="21"/>
          <w:highlight w:val="none"/>
        </w:rPr>
        <w:t>一、工程质量保修范围和内容</w:t>
      </w:r>
      <w:bookmarkEnd w:id="1436"/>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承包人在质量保修期内，按照有关法律规定和合同约定，承担工程质量保修责任。</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承包人承包范围内容均属质量保修范围内容；其中：</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1.属于设计原因造成的质量问题，承包人负责维修，不留隐患，费用由发包人承担；</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2.属于施工造成的质量问题，承包人负责维修，不留隐患；</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3.属于业主使用不当造成的质量问题，配合抢修，费用由发包人承担。</w:t>
      </w:r>
    </w:p>
    <w:p>
      <w:pPr>
        <w:spacing w:line="360" w:lineRule="auto"/>
        <w:ind w:firstLine="560" w:firstLineChars="200"/>
        <w:rPr>
          <w:rFonts w:hint="eastAsia" w:ascii="宋体" w:hAnsi="宋体" w:eastAsia="宋体" w:cs="宋体"/>
          <w:color w:val="auto"/>
          <w:szCs w:val="21"/>
          <w:highlight w:val="none"/>
        </w:rPr>
      </w:pPr>
      <w:bookmarkStart w:id="1437" w:name="_Toc532375688"/>
      <w:r>
        <w:rPr>
          <w:rFonts w:hint="eastAsia" w:ascii="宋体" w:hAnsi="宋体" w:eastAsia="宋体" w:cs="宋体"/>
          <w:color w:val="auto"/>
          <w:szCs w:val="21"/>
          <w:highlight w:val="none"/>
        </w:rPr>
        <w:t>二、质量保修期</w:t>
      </w:r>
      <w:bookmarkEnd w:id="1437"/>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根据《建设工程质量管理条例》及有关规定，本工程质量保修期约定如下：</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1.基础设施工程、房屋建筑的地基基础工程和主体结构工程，为设计文件规定的该工程的合理使用年限；</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2.屋面防水工程、有防水要求的卫生间、房间和外墙面的防渗漏，为5年；</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3.供热与供冷系统，为2个采暖期、供冷期；</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4.电气管线、给排水管道、设备安装和装修工程，为2年；</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5.其他项目保修期限：2年；</w:t>
      </w:r>
      <w:r>
        <w:rPr>
          <w:rFonts w:hint="eastAsia" w:ascii="宋体" w:hAnsi="宋体" w:eastAsia="宋体" w:cs="宋体"/>
          <w:i/>
          <w:color w:val="auto"/>
          <w:szCs w:val="21"/>
          <w:highlight w:val="none"/>
        </w:rPr>
        <w:t>[提示：如有不同，根据具体情况修改]</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建设工程的保修期，自工程竣工验收合格之日起计算。</w:t>
      </w:r>
    </w:p>
    <w:p>
      <w:pPr>
        <w:spacing w:line="360" w:lineRule="auto"/>
        <w:ind w:firstLine="560" w:firstLineChars="200"/>
        <w:rPr>
          <w:rFonts w:hint="eastAsia" w:ascii="宋体" w:hAnsi="宋体" w:eastAsia="宋体" w:cs="宋体"/>
          <w:color w:val="auto"/>
          <w:szCs w:val="21"/>
          <w:highlight w:val="none"/>
        </w:rPr>
      </w:pPr>
      <w:bookmarkStart w:id="1438" w:name="_Toc532375689"/>
      <w:r>
        <w:rPr>
          <w:rFonts w:hint="eastAsia" w:ascii="宋体" w:hAnsi="宋体" w:eastAsia="宋体" w:cs="宋体"/>
          <w:color w:val="auto"/>
          <w:szCs w:val="21"/>
          <w:highlight w:val="none"/>
        </w:rPr>
        <w:t>三、质量保修责任</w:t>
      </w:r>
      <w:bookmarkEnd w:id="1438"/>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1.属于保修范围、内容的项目，承包人应当在接到保修通知之日起7天内派人保修。承包人不在约定期限内派人保修的，发包人可以委托他人修理。</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2.发生紧急事故需抢修的，承包人在接到事故通知后，应当立即到达事故现场抢修。</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4.质量保修完成后，由发包人组织验收。</w:t>
      </w:r>
    </w:p>
    <w:p>
      <w:pPr>
        <w:spacing w:line="360" w:lineRule="auto"/>
        <w:ind w:firstLine="560" w:firstLineChars="200"/>
        <w:rPr>
          <w:rFonts w:hint="eastAsia" w:ascii="宋体" w:hAnsi="宋体" w:eastAsia="宋体" w:cs="宋体"/>
          <w:color w:val="auto"/>
          <w:szCs w:val="21"/>
          <w:highlight w:val="none"/>
        </w:rPr>
      </w:pPr>
      <w:bookmarkStart w:id="1439" w:name="_Toc532375690"/>
      <w:r>
        <w:rPr>
          <w:rFonts w:hint="eastAsia" w:ascii="宋体" w:hAnsi="宋体" w:eastAsia="宋体" w:cs="宋体"/>
          <w:color w:val="auto"/>
          <w:szCs w:val="21"/>
          <w:highlight w:val="none"/>
        </w:rPr>
        <w:t>四、保修费用</w:t>
      </w:r>
      <w:bookmarkEnd w:id="1439"/>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保修费用由质量缺陷的责任方承担。</w:t>
      </w:r>
    </w:p>
    <w:p>
      <w:pPr>
        <w:spacing w:line="360" w:lineRule="auto"/>
        <w:ind w:firstLine="560" w:firstLineChars="200"/>
        <w:rPr>
          <w:rFonts w:hint="eastAsia" w:ascii="宋体" w:hAnsi="宋体" w:eastAsia="宋体" w:cs="宋体"/>
          <w:color w:val="auto"/>
          <w:szCs w:val="21"/>
          <w:highlight w:val="none"/>
        </w:rPr>
      </w:pPr>
      <w:bookmarkStart w:id="1440" w:name="_Toc532375691"/>
      <w:r>
        <w:rPr>
          <w:rFonts w:hint="eastAsia" w:ascii="宋体" w:hAnsi="宋体" w:eastAsia="宋体" w:cs="宋体"/>
          <w:color w:val="auto"/>
          <w:szCs w:val="21"/>
          <w:highlight w:val="none"/>
        </w:rPr>
        <w:t>五、双方约定的其他工程质量保修事项</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u w:val="single"/>
        </w:rPr>
        <w:t>按国家相关法律和规定执行</w:t>
      </w:r>
      <w:r>
        <w:rPr>
          <w:rFonts w:hint="eastAsia" w:ascii="宋体" w:hAnsi="宋体" w:eastAsia="宋体" w:cs="宋体"/>
          <w:color w:val="auto"/>
          <w:szCs w:val="21"/>
          <w:highlight w:val="none"/>
        </w:rPr>
        <w:t>。</w:t>
      </w:r>
      <w:bookmarkEnd w:id="1440"/>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本工程质量保修书由发包人、承包人在工程竣工验收前共同签署，作为施工合同附件，其有效期限至保修期满。</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六、本文件生效</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本工程质量保修书经发包人与承包人盖章后生效。</w:t>
      </w:r>
    </w:p>
    <w:p>
      <w:pPr>
        <w:pStyle w:val="23"/>
        <w:spacing w:line="360" w:lineRule="auto"/>
        <w:ind w:firstLine="640" w:firstLineChars="200"/>
        <w:rPr>
          <w:rFonts w:hint="eastAsia" w:ascii="宋体" w:hAnsi="宋体" w:eastAsia="宋体" w:cs="宋体"/>
          <w:color w:val="auto"/>
          <w:szCs w:val="21"/>
          <w:highlight w:val="none"/>
        </w:rPr>
      </w:pP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发包人：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（盖单位公章）</w:t>
      </w:r>
    </w:p>
    <w:p>
      <w:pPr>
        <w:spacing w:line="360" w:lineRule="auto"/>
        <w:ind w:firstLine="560" w:firstLineChars="200"/>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spacing w:line="360" w:lineRule="auto"/>
        <w:ind w:firstLine="560" w:firstLineChars="200"/>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承包人：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（盖单位公章）</w:t>
      </w:r>
    </w:p>
    <w:p>
      <w:pPr>
        <w:spacing w:line="360" w:lineRule="auto"/>
        <w:ind w:firstLine="560" w:firstLineChars="200"/>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snapToGrid w:val="0"/>
          <w:color w:val="auto"/>
          <w:kern w:val="0"/>
          <w:szCs w:val="21"/>
          <w:highlight w:val="none"/>
        </w:rPr>
      </w:pPr>
    </w:p>
    <w:p>
      <w:pPr>
        <w:spacing w:line="360" w:lineRule="auto"/>
        <w:ind w:firstLine="560" w:firstLineChars="200"/>
        <w:rPr>
          <w:rFonts w:hint="eastAsia" w:ascii="宋体" w:hAnsi="宋体" w:eastAsia="宋体" w:cs="宋体"/>
          <w:bCs/>
          <w:color w:val="auto"/>
          <w:kern w:val="0"/>
          <w:szCs w:val="21"/>
          <w:highlight w:val="none"/>
        </w:rPr>
      </w:pPr>
      <w:r>
        <w:rPr>
          <w:rFonts w:hint="eastAsia" w:ascii="宋体" w:hAnsi="宋体" w:eastAsia="宋体" w:cs="宋体"/>
          <w:snapToGrid w:val="0"/>
          <w:color w:val="auto"/>
          <w:kern w:val="0"/>
          <w:szCs w:val="21"/>
          <w:highlight w:val="none"/>
        </w:rPr>
        <w:t>法定代表人或其委托代理人：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（签名）</w:t>
      </w:r>
    </w:p>
    <w:p>
      <w:pPr>
        <w:spacing w:line="360" w:lineRule="auto"/>
        <w:ind w:firstLine="558" w:firstLineChars="200"/>
        <w:rPr>
          <w:rFonts w:hint="eastAsia" w:ascii="宋体" w:hAnsi="宋体" w:eastAsia="宋体" w:cs="宋体"/>
          <w:snapToGrid w:val="0"/>
          <w:color w:val="auto"/>
          <w:spacing w:val="1"/>
          <w:w w:val="99"/>
          <w:kern w:val="0"/>
          <w:position w:val="-2"/>
          <w:szCs w:val="21"/>
          <w:highlight w:val="none"/>
        </w:rPr>
      </w:pPr>
    </w:p>
    <w:p>
      <w:pPr>
        <w:spacing w:line="360" w:lineRule="auto"/>
        <w:ind w:firstLine="558" w:firstLineChars="200"/>
        <w:rPr>
          <w:rFonts w:hint="eastAsia" w:ascii="宋体" w:hAnsi="宋体" w:eastAsia="宋体" w:cs="宋体"/>
          <w:snapToGrid w:val="0"/>
          <w:color w:val="auto"/>
          <w:spacing w:val="1"/>
          <w:w w:val="99"/>
          <w:kern w:val="0"/>
          <w:position w:val="-2"/>
          <w:szCs w:val="21"/>
          <w:highlight w:val="none"/>
        </w:rPr>
      </w:pPr>
    </w:p>
    <w:p>
      <w:pPr>
        <w:spacing w:line="360" w:lineRule="auto"/>
        <w:ind w:firstLine="560" w:firstLineChars="20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签约时间：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附件2：</w:t>
      </w:r>
    </w:p>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主要建设工程文件目录</w:t>
      </w:r>
    </w:p>
    <w:tbl>
      <w:tblPr>
        <w:tblStyle w:val="60"/>
        <w:tblW w:w="9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536"/>
        <w:gridCol w:w="1418"/>
        <w:gridCol w:w="1418"/>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3536"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文件名称</w:t>
            </w:r>
          </w:p>
        </w:tc>
        <w:tc>
          <w:tcPr>
            <w:tcW w:w="1418"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套数</w:t>
            </w:r>
          </w:p>
        </w:tc>
        <w:tc>
          <w:tcPr>
            <w:tcW w:w="1418" w:type="dxa"/>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移交时间</w:t>
            </w:r>
          </w:p>
        </w:tc>
        <w:tc>
          <w:tcPr>
            <w:tcW w:w="2917" w:type="dxa"/>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责任人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2917"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3536"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1418" w:type="dxa"/>
          </w:tcPr>
          <w:p>
            <w:pPr>
              <w:spacing w:line="400" w:lineRule="exact"/>
              <w:ind w:firstLine="560" w:firstLineChars="200"/>
              <w:rPr>
                <w:rFonts w:hint="eastAsia" w:ascii="宋体" w:hAnsi="宋体" w:eastAsia="宋体" w:cs="宋体"/>
                <w:color w:val="auto"/>
                <w:szCs w:val="21"/>
                <w:highlight w:val="none"/>
              </w:rPr>
            </w:pPr>
          </w:p>
        </w:tc>
        <w:tc>
          <w:tcPr>
            <w:tcW w:w="2917" w:type="dxa"/>
          </w:tcPr>
          <w:p>
            <w:pPr>
              <w:spacing w:line="400" w:lineRule="exact"/>
              <w:ind w:firstLine="560" w:firstLineChars="200"/>
              <w:rPr>
                <w:rFonts w:hint="eastAsia" w:ascii="宋体" w:hAnsi="宋体" w:eastAsia="宋体" w:cs="宋体"/>
                <w:color w:val="auto"/>
                <w:szCs w:val="21"/>
                <w:highlight w:val="none"/>
              </w:rPr>
            </w:pPr>
          </w:p>
        </w:tc>
      </w:tr>
    </w:tbl>
    <w:p>
      <w:pPr>
        <w:spacing w:line="360" w:lineRule="auto"/>
        <w:ind w:firstLine="560" w:firstLineChars="200"/>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w:t>
      </w:r>
      <w:bookmarkStart w:id="1441" w:name="_Toc296346729"/>
      <w:bookmarkStart w:id="1442" w:name="_Toc296944567"/>
      <w:bookmarkStart w:id="1443" w:name="_Toc296891268"/>
      <w:bookmarkStart w:id="1444" w:name="_Toc267261699"/>
      <w:bookmarkStart w:id="1445" w:name="_Toc296503228"/>
      <w:bookmarkStart w:id="1446" w:name="_Toc296347227"/>
      <w:bookmarkStart w:id="1447" w:name="_Toc296891056"/>
      <w:r>
        <w:rPr>
          <w:rFonts w:hint="eastAsia" w:ascii="宋体" w:hAnsi="宋体" w:eastAsia="宋体" w:cs="宋体"/>
          <w:color w:val="auto"/>
          <w:szCs w:val="21"/>
          <w:highlight w:val="none"/>
        </w:rPr>
        <w:t>件3：</w:t>
      </w:r>
    </w:p>
    <w:bookmarkEnd w:id="1441"/>
    <w:bookmarkEnd w:id="1442"/>
    <w:bookmarkEnd w:id="1443"/>
    <w:bookmarkEnd w:id="1444"/>
    <w:bookmarkEnd w:id="1445"/>
    <w:bookmarkEnd w:id="1446"/>
    <w:bookmarkEnd w:id="1447"/>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承包人项目管理机构组成表</w:t>
      </w:r>
    </w:p>
    <w:tbl>
      <w:tblPr>
        <w:tblStyle w:val="60"/>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    称</w:t>
            </w:r>
          </w:p>
        </w:tc>
        <w:tc>
          <w:tcPr>
            <w:tcW w:w="1418"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13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134"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4252"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主要资历、经验及承担过的项目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7" w:hRule="atLeast"/>
          <w:jc w:val="center"/>
        </w:trPr>
        <w:tc>
          <w:tcPr>
            <w:tcW w:w="9809" w:type="dxa"/>
            <w:gridSpan w:val="5"/>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项目主管</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vAlign w:val="center"/>
          </w:tcPr>
          <w:p>
            <w:p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二、现场人员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项目经理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项目副经理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技术负责人</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造价管理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质量管理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材料管理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计划管理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安全管理</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vAlign w:val="center"/>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其他人员</w:t>
            </w: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7" w:hRule="atLeast"/>
          <w:jc w:val="center"/>
        </w:trPr>
        <w:tc>
          <w:tcPr>
            <w:tcW w:w="1871" w:type="dxa"/>
            <w:vMerge w:val="continue"/>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0" w:hRule="atLeast"/>
          <w:jc w:val="center"/>
        </w:trPr>
        <w:tc>
          <w:tcPr>
            <w:tcW w:w="1871" w:type="dxa"/>
            <w:vMerge w:val="continue"/>
            <w:vAlign w:val="center"/>
          </w:tcPr>
          <w:p>
            <w:pPr>
              <w:spacing w:line="400" w:lineRule="exact"/>
              <w:ind w:firstLine="560" w:firstLineChars="200"/>
              <w:rPr>
                <w:rFonts w:hint="eastAsia" w:ascii="宋体" w:hAnsi="宋体" w:eastAsia="宋体" w:cs="宋体"/>
                <w:color w:val="auto"/>
                <w:szCs w:val="21"/>
                <w:highlight w:val="none"/>
              </w:rPr>
            </w:pPr>
          </w:p>
        </w:tc>
        <w:tc>
          <w:tcPr>
            <w:tcW w:w="1418"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1134" w:type="dxa"/>
            <w:vAlign w:val="center"/>
          </w:tcPr>
          <w:p>
            <w:pPr>
              <w:spacing w:line="400" w:lineRule="exact"/>
              <w:ind w:firstLine="560" w:firstLineChars="200"/>
              <w:rPr>
                <w:rFonts w:hint="eastAsia" w:ascii="宋体" w:hAnsi="宋体" w:eastAsia="宋体" w:cs="宋体"/>
                <w:color w:val="auto"/>
                <w:szCs w:val="21"/>
                <w:highlight w:val="none"/>
              </w:rPr>
            </w:pPr>
          </w:p>
        </w:tc>
        <w:tc>
          <w:tcPr>
            <w:tcW w:w="4252" w:type="dxa"/>
            <w:vAlign w:val="center"/>
          </w:tcPr>
          <w:p>
            <w:pPr>
              <w:spacing w:line="400" w:lineRule="exact"/>
              <w:ind w:firstLine="560" w:firstLineChars="200"/>
              <w:rPr>
                <w:rFonts w:hint="eastAsia" w:ascii="宋体" w:hAnsi="宋体" w:eastAsia="宋体" w:cs="宋体"/>
                <w:color w:val="auto"/>
                <w:szCs w:val="21"/>
                <w:highlight w:val="none"/>
              </w:rPr>
            </w:pPr>
          </w:p>
        </w:tc>
      </w:tr>
    </w:tbl>
    <w:p>
      <w:pPr>
        <w:spacing w:line="48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br w:type="page"/>
      </w:r>
      <w:bookmarkStart w:id="1448" w:name="_Toc267261701"/>
      <w:r>
        <w:rPr>
          <w:rFonts w:hint="eastAsia" w:ascii="宋体" w:hAnsi="宋体" w:eastAsia="宋体" w:cs="宋体"/>
          <w:color w:val="auto"/>
          <w:szCs w:val="21"/>
          <w:highlight w:val="none"/>
        </w:rPr>
        <w:t>附</w:t>
      </w:r>
      <w:bookmarkStart w:id="1449" w:name="_Toc296347230"/>
      <w:bookmarkStart w:id="1450" w:name="_Toc296346732"/>
      <w:bookmarkStart w:id="1451" w:name="_Toc296891271"/>
      <w:bookmarkStart w:id="1452" w:name="_Toc296891059"/>
      <w:bookmarkStart w:id="1453" w:name="_Toc296944570"/>
      <w:bookmarkStart w:id="1454" w:name="_Toc296503231"/>
      <w:r>
        <w:rPr>
          <w:rFonts w:hint="eastAsia" w:ascii="宋体" w:hAnsi="宋体" w:eastAsia="宋体" w:cs="宋体"/>
          <w:color w:val="auto"/>
          <w:szCs w:val="21"/>
          <w:highlight w:val="none"/>
        </w:rPr>
        <w:t>件4：</w:t>
      </w:r>
      <w:r>
        <w:rPr>
          <w:rFonts w:hint="eastAsia" w:ascii="宋体" w:hAnsi="宋体" w:eastAsia="宋体" w:cs="宋体"/>
          <w:color w:val="auto"/>
          <w:szCs w:val="21"/>
          <w:highlight w:val="none"/>
          <w:lang w:val="en-US" w:eastAsia="zh-CN"/>
        </w:rPr>
        <w:t>履约担保（如有）</w:t>
      </w:r>
    </w:p>
    <w:bookmarkEnd w:id="1448"/>
    <w:bookmarkEnd w:id="1449"/>
    <w:bookmarkEnd w:id="1450"/>
    <w:bookmarkEnd w:id="1451"/>
    <w:bookmarkEnd w:id="1452"/>
    <w:bookmarkEnd w:id="1453"/>
    <w:bookmarkEnd w:id="1454"/>
    <w:p>
      <w:pPr>
        <w:keepNext w:val="0"/>
        <w:keepLines w:val="0"/>
        <w:pageBreakBefore w:val="0"/>
        <w:kinsoku/>
        <w:overflowPunct/>
        <w:topLinePunct w:val="0"/>
        <w:autoSpaceDE/>
        <w:autoSpaceDN/>
        <w:bidi w:val="0"/>
        <w:adjustRightInd/>
        <w:snapToGrid/>
        <w:spacing w:line="360" w:lineRule="auto"/>
        <w:ind w:right="0" w:rightChars="0"/>
        <w:jc w:val="center"/>
        <w:textAlignment w:val="auto"/>
        <w:outlineLvl w:val="9"/>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履约保函示范文本</w:t>
      </w:r>
    </w:p>
    <w:p>
      <w:pPr>
        <w:keepNext w:val="0"/>
        <w:keepLines w:val="0"/>
        <w:pageBreakBefore w:val="0"/>
        <w:kinsoku/>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color w:val="auto"/>
          <w:sz w:val="28"/>
          <w:szCs w:val="28"/>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申请人：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地</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受益人：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地</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开立人：</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地</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址：</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8"/>
          <w:szCs w:val="28"/>
          <w:highlight w:val="none"/>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（受益人名称）：</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鉴于</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eastAsia="zh-CN"/>
        </w:rPr>
        <w:t>（</w:t>
      </w:r>
      <w:r>
        <w:rPr>
          <w:rFonts w:hint="eastAsia" w:ascii="宋体" w:hAnsi="宋体" w:eastAsia="宋体" w:cs="宋体"/>
          <w:color w:val="auto"/>
          <w:kern w:val="2"/>
          <w:sz w:val="28"/>
          <w:szCs w:val="28"/>
          <w:highlight w:val="none"/>
        </w:rPr>
        <w:t>以下简称“受益人”）与</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（以下简称“申请人”）就工程</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（以下简称“本工程”）施工和有关事项协商一致，根据本工程</w:t>
      </w:r>
      <w:r>
        <w:rPr>
          <w:rFonts w:hint="eastAsia" w:ascii="宋体" w:hAnsi="宋体" w:cs="宋体"/>
          <w:color w:val="auto"/>
          <w:kern w:val="2"/>
          <w:sz w:val="28"/>
          <w:szCs w:val="28"/>
          <w:highlight w:val="none"/>
          <w:lang w:eastAsia="zh-CN"/>
        </w:rPr>
        <w:t>成交通知书</w:t>
      </w:r>
      <w:r>
        <w:rPr>
          <w:rFonts w:hint="eastAsia" w:ascii="宋体" w:hAnsi="宋体" w:eastAsia="宋体" w:cs="宋体"/>
          <w:color w:val="auto"/>
          <w:kern w:val="2"/>
          <w:sz w:val="28"/>
          <w:szCs w:val="28"/>
          <w:highlight w:val="none"/>
        </w:rPr>
        <w:t>、</w:t>
      </w:r>
      <w:r>
        <w:rPr>
          <w:rFonts w:hint="eastAsia" w:ascii="宋体" w:hAnsi="宋体" w:cs="宋体"/>
          <w:color w:val="auto"/>
          <w:kern w:val="2"/>
          <w:sz w:val="28"/>
          <w:szCs w:val="28"/>
          <w:highlight w:val="none"/>
          <w:lang w:eastAsia="zh-CN"/>
        </w:rPr>
        <w:t>磋商文件</w:t>
      </w:r>
      <w:r>
        <w:rPr>
          <w:rFonts w:hint="eastAsia" w:ascii="宋体" w:hAnsi="宋体" w:eastAsia="宋体" w:cs="宋体"/>
          <w:color w:val="auto"/>
          <w:kern w:val="2"/>
          <w:sz w:val="28"/>
          <w:szCs w:val="28"/>
          <w:highlight w:val="none"/>
        </w:rPr>
        <w:t>和</w:t>
      </w:r>
      <w:r>
        <w:rPr>
          <w:rFonts w:hint="eastAsia" w:ascii="宋体" w:hAnsi="宋体" w:cs="宋体"/>
          <w:color w:val="auto"/>
          <w:kern w:val="2"/>
          <w:sz w:val="28"/>
          <w:szCs w:val="28"/>
          <w:highlight w:val="none"/>
          <w:lang w:eastAsia="zh-CN"/>
        </w:rPr>
        <w:t>响应文件</w:t>
      </w:r>
      <w:r>
        <w:rPr>
          <w:rFonts w:hint="eastAsia" w:ascii="宋体" w:hAnsi="宋体" w:eastAsia="宋体" w:cs="宋体"/>
          <w:color w:val="auto"/>
          <w:kern w:val="2"/>
          <w:sz w:val="28"/>
          <w:szCs w:val="28"/>
          <w:highlight w:val="none"/>
        </w:rPr>
        <w:t>，了解到申请人为本工程项下之承包人、受益人为本工程项下之发包人，基于申请人的请求，我方（即“开立人”）同意就申请人履行本工程依据</w:t>
      </w:r>
      <w:r>
        <w:rPr>
          <w:rFonts w:hint="eastAsia" w:ascii="宋体" w:hAnsi="宋体" w:cs="宋体"/>
          <w:color w:val="auto"/>
          <w:kern w:val="2"/>
          <w:sz w:val="28"/>
          <w:szCs w:val="28"/>
          <w:highlight w:val="none"/>
          <w:lang w:eastAsia="zh-CN"/>
        </w:rPr>
        <w:t>成交通知书</w:t>
      </w:r>
      <w:r>
        <w:rPr>
          <w:rFonts w:hint="eastAsia" w:ascii="宋体" w:hAnsi="宋体" w:eastAsia="宋体" w:cs="宋体"/>
          <w:color w:val="auto"/>
          <w:kern w:val="2"/>
          <w:sz w:val="28"/>
          <w:szCs w:val="28"/>
          <w:highlight w:val="none"/>
        </w:rPr>
        <w:t>、</w:t>
      </w:r>
      <w:r>
        <w:rPr>
          <w:rFonts w:hint="eastAsia" w:ascii="宋体" w:hAnsi="宋体" w:cs="宋体"/>
          <w:color w:val="auto"/>
          <w:kern w:val="2"/>
          <w:sz w:val="28"/>
          <w:szCs w:val="28"/>
          <w:highlight w:val="none"/>
          <w:lang w:eastAsia="zh-CN"/>
        </w:rPr>
        <w:t>磋商文件</w:t>
      </w:r>
      <w:r>
        <w:rPr>
          <w:rFonts w:hint="eastAsia" w:ascii="宋体" w:hAnsi="宋体" w:eastAsia="宋体" w:cs="宋体"/>
          <w:color w:val="auto"/>
          <w:kern w:val="2"/>
          <w:sz w:val="28"/>
          <w:szCs w:val="28"/>
          <w:highlight w:val="none"/>
        </w:rPr>
        <w:t>和</w:t>
      </w:r>
      <w:r>
        <w:rPr>
          <w:rFonts w:hint="eastAsia" w:ascii="宋体" w:hAnsi="宋体" w:cs="宋体"/>
          <w:color w:val="auto"/>
          <w:kern w:val="2"/>
          <w:sz w:val="28"/>
          <w:szCs w:val="28"/>
          <w:highlight w:val="none"/>
          <w:lang w:eastAsia="zh-CN"/>
        </w:rPr>
        <w:t>响应文件</w:t>
      </w:r>
      <w:r>
        <w:rPr>
          <w:rFonts w:hint="eastAsia" w:ascii="宋体" w:hAnsi="宋体" w:eastAsia="宋体" w:cs="宋体"/>
          <w:color w:val="auto"/>
          <w:kern w:val="2"/>
          <w:sz w:val="28"/>
          <w:szCs w:val="28"/>
          <w:highlight w:val="none"/>
        </w:rPr>
        <w:t>签订的</w:t>
      </w:r>
      <w:r>
        <w:rPr>
          <w:rFonts w:hint="eastAsia" w:ascii="宋体" w:hAnsi="宋体" w:eastAsia="宋体" w:cs="宋体"/>
          <w:color w:val="auto"/>
          <w:kern w:val="2"/>
          <w:sz w:val="28"/>
          <w:szCs w:val="28"/>
          <w:highlight w:val="none"/>
          <w:u w:val="single"/>
        </w:rPr>
        <w:t>《        》</w:t>
      </w:r>
      <w:r>
        <w:rPr>
          <w:rFonts w:hint="eastAsia" w:ascii="宋体" w:hAnsi="宋体" w:eastAsia="宋体" w:cs="宋体"/>
          <w:color w:val="auto"/>
          <w:kern w:val="2"/>
          <w:sz w:val="28"/>
          <w:szCs w:val="28"/>
          <w:highlight w:val="none"/>
        </w:rPr>
        <w:t>（以下简称“基础合同”）约定的义务，向贵方提供不可撤销、不可转让的见索即付保函（以下简称“本保函”）。</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一、本保函担保范围：承包人未按照基础合同的约定履行义务，应当向贵方承担的违约责任和赔偿因此造成的损失、利息、律师费、诉讼费用等实现债权的费用。</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二、本保函担保金额最高不超过人民币（大写）</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元（¥</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spacing w:val="6"/>
          <w:kern w:val="2"/>
          <w:sz w:val="28"/>
          <w:szCs w:val="28"/>
          <w:highlight w:val="none"/>
        </w:rPr>
      </w:pPr>
      <w:r>
        <w:rPr>
          <w:rFonts w:hint="eastAsia" w:ascii="宋体" w:hAnsi="宋体" w:eastAsia="宋体" w:cs="宋体"/>
          <w:color w:val="auto"/>
          <w:kern w:val="2"/>
          <w:sz w:val="28"/>
          <w:szCs w:val="28"/>
          <w:highlight w:val="none"/>
        </w:rPr>
        <w:t>三、</w:t>
      </w:r>
      <w:r>
        <w:rPr>
          <w:rFonts w:hint="eastAsia" w:ascii="宋体" w:hAnsi="宋体" w:eastAsia="宋体" w:cs="宋体"/>
          <w:color w:val="auto"/>
          <w:spacing w:val="6"/>
          <w:kern w:val="2"/>
          <w:sz w:val="28"/>
          <w:szCs w:val="28"/>
          <w:highlight w:val="none"/>
        </w:rPr>
        <w:t>本保函有效期自</w:t>
      </w:r>
      <w:r>
        <w:rPr>
          <w:rFonts w:hint="eastAsia" w:ascii="宋体" w:hAnsi="宋体" w:eastAsia="宋体" w:cs="宋体"/>
          <w:color w:val="auto"/>
          <w:spacing w:val="6"/>
          <w:kern w:val="2"/>
          <w:sz w:val="28"/>
          <w:szCs w:val="28"/>
          <w:highlight w:val="none"/>
          <w:lang w:eastAsia="zh-CN"/>
        </w:rPr>
        <w:t>受益人与申请人签订的合同生效之日</w:t>
      </w:r>
      <w:r>
        <w:rPr>
          <w:rFonts w:hint="eastAsia" w:ascii="宋体" w:hAnsi="宋体" w:eastAsia="宋体" w:cs="宋体"/>
          <w:color w:val="auto"/>
          <w:spacing w:val="0"/>
          <w:kern w:val="2"/>
          <w:sz w:val="28"/>
          <w:szCs w:val="28"/>
          <w:highlight w:val="none"/>
          <w:lang w:eastAsia="zh-CN"/>
        </w:rPr>
        <w:t>起至合同约定的工期截止日后</w:t>
      </w:r>
      <w:r>
        <w:rPr>
          <w:rFonts w:hint="eastAsia" w:ascii="宋体" w:hAnsi="宋体" w:eastAsia="宋体" w:cs="宋体"/>
          <w:color w:val="auto"/>
          <w:spacing w:val="0"/>
          <w:kern w:val="2"/>
          <w:sz w:val="28"/>
          <w:szCs w:val="28"/>
          <w:highlight w:val="none"/>
          <w:u w:val="single"/>
          <w:lang w:val="en-US" w:eastAsia="zh-CN"/>
        </w:rPr>
        <w:t xml:space="preserve">  </w:t>
      </w:r>
      <w:r>
        <w:rPr>
          <w:rFonts w:hint="eastAsia" w:ascii="宋体" w:hAnsi="宋体" w:eastAsia="宋体" w:cs="宋体"/>
          <w:color w:val="auto"/>
          <w:spacing w:val="0"/>
          <w:kern w:val="2"/>
          <w:sz w:val="28"/>
          <w:szCs w:val="28"/>
          <w:highlight w:val="none"/>
        </w:rPr>
        <w:t>天</w:t>
      </w:r>
      <w:r>
        <w:rPr>
          <w:rFonts w:hint="eastAsia" w:ascii="宋体" w:hAnsi="宋体" w:eastAsia="宋体" w:cs="宋体"/>
          <w:color w:val="auto"/>
          <w:spacing w:val="0"/>
          <w:kern w:val="2"/>
          <w:sz w:val="28"/>
          <w:szCs w:val="28"/>
          <w:highlight w:val="none"/>
          <w:lang w:eastAsia="zh-CN"/>
        </w:rPr>
        <w:t>，最迟不超过</w:t>
      </w:r>
      <w:r>
        <w:rPr>
          <w:rFonts w:hint="eastAsia" w:ascii="宋体" w:hAnsi="宋体" w:eastAsia="宋体" w:cs="宋体"/>
          <w:color w:val="auto"/>
          <w:spacing w:val="0"/>
          <w:kern w:val="2"/>
          <w:sz w:val="28"/>
          <w:szCs w:val="28"/>
          <w:highlight w:val="none"/>
          <w:u w:val="single"/>
          <w:lang w:val="en-US" w:eastAsia="zh-CN"/>
        </w:rPr>
        <w:t xml:space="preserve">  </w:t>
      </w:r>
      <w:r>
        <w:rPr>
          <w:rFonts w:hint="eastAsia" w:ascii="宋体" w:hAnsi="宋体" w:eastAsia="宋体" w:cs="宋体"/>
          <w:color w:val="auto"/>
          <w:spacing w:val="0"/>
          <w:kern w:val="2"/>
          <w:sz w:val="28"/>
          <w:szCs w:val="28"/>
          <w:highlight w:val="none"/>
          <w:lang w:val="en-US" w:eastAsia="zh-CN"/>
        </w:rPr>
        <w:t>年</w:t>
      </w:r>
      <w:r>
        <w:rPr>
          <w:rFonts w:hint="eastAsia" w:ascii="宋体" w:hAnsi="宋体" w:eastAsia="宋体" w:cs="宋体"/>
          <w:color w:val="auto"/>
          <w:spacing w:val="0"/>
          <w:kern w:val="2"/>
          <w:sz w:val="28"/>
          <w:szCs w:val="28"/>
          <w:highlight w:val="none"/>
          <w:u w:val="single"/>
          <w:lang w:val="en-US" w:eastAsia="zh-CN"/>
        </w:rPr>
        <w:t xml:space="preserve">  </w:t>
      </w:r>
      <w:r>
        <w:rPr>
          <w:rFonts w:hint="eastAsia" w:ascii="宋体" w:hAnsi="宋体" w:eastAsia="宋体" w:cs="宋体"/>
          <w:color w:val="auto"/>
          <w:spacing w:val="0"/>
          <w:kern w:val="2"/>
          <w:sz w:val="28"/>
          <w:szCs w:val="28"/>
          <w:highlight w:val="none"/>
          <w:lang w:val="en-US" w:eastAsia="zh-CN"/>
        </w:rPr>
        <w:t>月</w:t>
      </w:r>
      <w:r>
        <w:rPr>
          <w:rFonts w:hint="eastAsia" w:ascii="宋体" w:hAnsi="宋体" w:eastAsia="宋体" w:cs="宋体"/>
          <w:color w:val="auto"/>
          <w:spacing w:val="0"/>
          <w:kern w:val="2"/>
          <w:sz w:val="28"/>
          <w:szCs w:val="28"/>
          <w:highlight w:val="none"/>
          <w:u w:val="single"/>
          <w:lang w:val="en-US" w:eastAsia="zh-CN"/>
        </w:rPr>
        <w:t xml:space="preserve">  </w:t>
      </w:r>
      <w:r>
        <w:rPr>
          <w:rFonts w:hint="eastAsia" w:ascii="宋体" w:hAnsi="宋体" w:eastAsia="宋体" w:cs="宋体"/>
          <w:color w:val="auto"/>
          <w:spacing w:val="0"/>
          <w:kern w:val="2"/>
          <w:sz w:val="28"/>
          <w:szCs w:val="28"/>
          <w:highlight w:val="none"/>
          <w:lang w:val="en-US" w:eastAsia="zh-CN"/>
        </w:rPr>
        <w:t>日。</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四、我方承诺，在收到受益人发来的书面</w:t>
      </w:r>
      <w:r>
        <w:rPr>
          <w:rFonts w:hint="eastAsia" w:ascii="宋体" w:hAnsi="宋体" w:eastAsia="宋体" w:cs="宋体"/>
          <w:color w:val="auto"/>
          <w:kern w:val="2"/>
          <w:sz w:val="28"/>
          <w:szCs w:val="28"/>
          <w:highlight w:val="none"/>
          <w:lang w:eastAsia="zh-CN"/>
        </w:rPr>
        <w:t>索赔</w:t>
      </w:r>
      <w:r>
        <w:rPr>
          <w:rFonts w:hint="eastAsia" w:ascii="宋体" w:hAnsi="宋体" w:eastAsia="宋体" w:cs="宋体"/>
          <w:color w:val="auto"/>
          <w:kern w:val="2"/>
          <w:sz w:val="28"/>
          <w:szCs w:val="28"/>
          <w:highlight w:val="none"/>
        </w:rPr>
        <w:t>通知</w:t>
      </w:r>
      <w:r>
        <w:rPr>
          <w:rFonts w:hint="eastAsia" w:ascii="宋体" w:hAnsi="宋体" w:eastAsia="宋体" w:cs="宋体"/>
          <w:color w:val="auto"/>
          <w:kern w:val="2"/>
          <w:sz w:val="28"/>
          <w:szCs w:val="28"/>
          <w:highlight w:val="none"/>
          <w:lang w:eastAsia="zh-CN"/>
        </w:rPr>
        <w:t>和本保函原件</w:t>
      </w:r>
      <w:r>
        <w:rPr>
          <w:rFonts w:hint="eastAsia" w:ascii="宋体" w:hAnsi="宋体" w:eastAsia="宋体" w:cs="宋体"/>
          <w:color w:val="auto"/>
          <w:kern w:val="2"/>
          <w:sz w:val="28"/>
          <w:szCs w:val="28"/>
          <w:highlight w:val="none"/>
        </w:rPr>
        <w:t>后的</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个工作日内无条件支付至受益人指定账户，前述书面</w:t>
      </w:r>
      <w:r>
        <w:rPr>
          <w:rFonts w:hint="eastAsia" w:ascii="宋体" w:hAnsi="宋体" w:eastAsia="宋体" w:cs="宋体"/>
          <w:color w:val="auto"/>
          <w:kern w:val="2"/>
          <w:sz w:val="28"/>
          <w:szCs w:val="28"/>
          <w:highlight w:val="none"/>
          <w:lang w:eastAsia="zh-CN"/>
        </w:rPr>
        <w:t>索赔</w:t>
      </w:r>
      <w:r>
        <w:rPr>
          <w:rFonts w:hint="eastAsia" w:ascii="宋体" w:hAnsi="宋体" w:eastAsia="宋体" w:cs="宋体"/>
          <w:color w:val="auto"/>
          <w:kern w:val="2"/>
          <w:sz w:val="28"/>
          <w:szCs w:val="28"/>
          <w:highlight w:val="none"/>
        </w:rPr>
        <w:t>通知即为付款要求之单据，且应满足以下要求：</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（1）</w:t>
      </w:r>
      <w:r>
        <w:rPr>
          <w:rFonts w:hint="eastAsia" w:ascii="宋体" w:hAnsi="宋体" w:eastAsia="宋体" w:cs="宋体"/>
          <w:color w:val="auto"/>
          <w:kern w:val="2"/>
          <w:sz w:val="28"/>
          <w:szCs w:val="28"/>
          <w:highlight w:val="none"/>
          <w:lang w:eastAsia="zh-CN"/>
        </w:rPr>
        <w:t>索赔</w:t>
      </w:r>
      <w:r>
        <w:rPr>
          <w:rFonts w:hint="eastAsia" w:ascii="宋体" w:hAnsi="宋体" w:eastAsia="宋体" w:cs="宋体"/>
          <w:color w:val="auto"/>
          <w:kern w:val="2"/>
          <w:sz w:val="28"/>
          <w:szCs w:val="28"/>
          <w:highlight w:val="none"/>
        </w:rPr>
        <w:t>通知到达的日期在本保函的有效期内；</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（2）载明要求支付的金额；</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（3）载明申请人违反合同义务的条款和内容；</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（4）声明不存在合同文件约定或我国法律规定免除申请人或开立人支付责任的情形；</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（5）</w:t>
      </w:r>
      <w:r>
        <w:rPr>
          <w:rFonts w:hint="eastAsia" w:ascii="宋体" w:hAnsi="宋体" w:eastAsia="宋体" w:cs="宋体"/>
          <w:color w:val="auto"/>
          <w:kern w:val="2"/>
          <w:sz w:val="28"/>
          <w:szCs w:val="28"/>
          <w:highlight w:val="none"/>
          <w:lang w:eastAsia="zh-CN"/>
        </w:rPr>
        <w:t>索赔</w:t>
      </w:r>
      <w:r>
        <w:rPr>
          <w:rFonts w:hint="eastAsia" w:ascii="宋体" w:hAnsi="宋体" w:eastAsia="宋体" w:cs="宋体"/>
          <w:color w:val="auto"/>
          <w:kern w:val="2"/>
          <w:sz w:val="28"/>
          <w:szCs w:val="28"/>
          <w:highlight w:val="none"/>
        </w:rPr>
        <w:t>通知应在本保函有效期内到达的地址是：</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lang w:eastAsia="zh-CN"/>
        </w:rPr>
        <w:t>受益人发出的书面索赔通知应由其为鉴明受益人法定代表人（负责人）或授权代理人签名或盖个人名章并加盖公章。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五、本保函项下的权利不得转让，不得设定担保。贵方未经我方书面同意转让本保函或其项下任何权利，对我方不发生法律效力。</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六、与本保函有关的基础合同不成立、不生效、无效、被撤销、被解除，不影响本保函的独立有效。</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七、贵方应在本保函到期后的</w:t>
      </w:r>
      <w:r>
        <w:rPr>
          <w:rFonts w:hint="eastAsia" w:ascii="宋体" w:hAnsi="宋体" w:eastAsia="宋体" w:cs="宋体"/>
          <w:color w:val="auto"/>
          <w:kern w:val="2"/>
          <w:sz w:val="28"/>
          <w:szCs w:val="28"/>
          <w:highlight w:val="none"/>
          <w:lang w:val="en-US" w:eastAsia="zh-CN"/>
        </w:rPr>
        <w:t>七个工作</w:t>
      </w:r>
      <w:r>
        <w:rPr>
          <w:rFonts w:hint="eastAsia" w:ascii="宋体" w:hAnsi="宋体" w:eastAsia="宋体" w:cs="宋体"/>
          <w:color w:val="auto"/>
          <w:kern w:val="2"/>
          <w:sz w:val="28"/>
          <w:szCs w:val="28"/>
          <w:highlight w:val="none"/>
        </w:rPr>
        <w:t>日内将本保函正本退回我方注销，但是不论贵方是否按此要求将本保函正本退回我方，我方在本保函项下的义务和责任均在保函有效期到期后自动消灭。</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八、本保函适用的法律为中华人民共和国法律，争议裁判管辖地为中华人民共和国</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九、本保函自我方法定代表人或授权代表</w:t>
      </w:r>
      <w:r>
        <w:rPr>
          <w:rFonts w:hint="eastAsia" w:ascii="宋体" w:hAnsi="宋体" w:eastAsia="宋体" w:cs="宋体"/>
          <w:color w:val="auto"/>
          <w:kern w:val="2"/>
          <w:sz w:val="28"/>
          <w:szCs w:val="28"/>
          <w:highlight w:val="none"/>
          <w:lang w:eastAsia="zh-CN"/>
        </w:rPr>
        <w:t>签名</w:t>
      </w:r>
      <w:r>
        <w:rPr>
          <w:rFonts w:hint="eastAsia" w:ascii="宋体" w:hAnsi="宋体" w:eastAsia="宋体" w:cs="宋体"/>
          <w:color w:val="auto"/>
          <w:kern w:val="2"/>
          <w:sz w:val="28"/>
          <w:szCs w:val="28"/>
          <w:highlight w:val="none"/>
        </w:rPr>
        <w:t>或盖个人名章并加盖公章或合同专用章之日起生效。</w:t>
      </w:r>
    </w:p>
    <w:p>
      <w:pPr>
        <w:keepNext w:val="0"/>
        <w:keepLines w:val="0"/>
        <w:pageBreakBefore w:val="0"/>
        <w:widowControl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u w:val="none"/>
        </w:rPr>
      </w:pPr>
      <w:r>
        <w:rPr>
          <w:rFonts w:hint="eastAsia" w:ascii="宋体" w:hAnsi="宋体" w:eastAsia="宋体" w:cs="宋体"/>
          <w:color w:val="auto"/>
          <w:kern w:val="2"/>
          <w:sz w:val="28"/>
          <w:szCs w:val="28"/>
          <w:highlight w:val="none"/>
          <w:lang w:val="en-US" w:eastAsia="zh-CN"/>
        </w:rPr>
        <w:t>十、</w:t>
      </w:r>
      <w:r>
        <w:rPr>
          <w:rFonts w:hint="eastAsia" w:ascii="宋体" w:hAnsi="宋体" w:eastAsia="宋体" w:cs="宋体"/>
          <w:color w:val="auto"/>
          <w:kern w:val="2"/>
          <w:sz w:val="28"/>
          <w:szCs w:val="28"/>
          <w:highlight w:val="none"/>
          <w:lang w:eastAsia="zh-CN"/>
        </w:rPr>
        <w:t>本保函在重庆市辖区范围内的核验地点：</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none"/>
          <w:lang w:eastAsia="zh-CN"/>
        </w:rPr>
        <w:t>；核验方式：</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none"/>
          <w:lang w:val="en-US" w:eastAsia="zh-CN"/>
        </w:rPr>
        <w:t>。</w:t>
      </w:r>
    </w:p>
    <w:p>
      <w:pPr>
        <w:keepNext w:val="0"/>
        <w:keepLines w:val="0"/>
        <w:pageBreakBefore w:val="0"/>
        <w:widowControl w:val="0"/>
        <w:shd w:val="clear"/>
        <w:kinsoku/>
        <w:wordWrap/>
        <w:topLinePunct w:val="0"/>
        <w:autoSpaceDE/>
        <w:autoSpaceDN/>
        <w:bidi w:val="0"/>
        <w:snapToGrid/>
        <w:spacing w:beforeLines="0" w:after="0" w:line="360" w:lineRule="auto"/>
        <w:jc w:val="both"/>
        <w:rPr>
          <w:rFonts w:hint="eastAsia" w:ascii="宋体" w:hAnsi="宋体" w:eastAsia="宋体" w:cs="宋体"/>
          <w:color w:val="auto"/>
          <w:kern w:val="2"/>
          <w:sz w:val="28"/>
          <w:szCs w:val="28"/>
          <w:highlight w:val="none"/>
          <w:lang w:val="en-US" w:eastAsia="zh-CN" w:bidi="ar-SA"/>
        </w:rPr>
      </w:pP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 xml:space="preserve">开 立 人：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（公章）</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法定代表人（或授权代表）：</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rPr>
        <w:t>（</w:t>
      </w:r>
      <w:r>
        <w:rPr>
          <w:rFonts w:hint="eastAsia" w:ascii="宋体" w:hAnsi="宋体" w:eastAsia="宋体" w:cs="宋体"/>
          <w:color w:val="auto"/>
          <w:kern w:val="2"/>
          <w:sz w:val="28"/>
          <w:szCs w:val="28"/>
          <w:highlight w:val="none"/>
          <w:lang w:eastAsia="zh-CN"/>
        </w:rPr>
        <w:t>签名或盖个人名章</w:t>
      </w:r>
      <w:r>
        <w:rPr>
          <w:rFonts w:hint="eastAsia" w:ascii="宋体" w:hAnsi="宋体" w:eastAsia="宋体" w:cs="宋体"/>
          <w:color w:val="auto"/>
          <w:kern w:val="2"/>
          <w:sz w:val="28"/>
          <w:szCs w:val="28"/>
          <w:highlight w:val="none"/>
        </w:rPr>
        <w:t>）</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u w:val="single"/>
          <w:lang w:val="en-US" w:eastAsia="zh-CN"/>
        </w:rPr>
      </w:pPr>
      <w:r>
        <w:rPr>
          <w:rFonts w:hint="eastAsia" w:ascii="宋体" w:hAnsi="宋体" w:eastAsia="宋体" w:cs="宋体"/>
          <w:color w:val="auto"/>
          <w:kern w:val="2"/>
          <w:sz w:val="28"/>
          <w:szCs w:val="28"/>
          <w:highlight w:val="none"/>
        </w:rPr>
        <w:t xml:space="preserve">地   </w:t>
      </w:r>
      <w:r>
        <w:rPr>
          <w:rFonts w:hint="eastAsia" w:ascii="宋体" w:hAnsi="宋体" w:eastAsia="宋体" w:cs="宋体"/>
          <w:color w:val="auto"/>
          <w:kern w:val="2"/>
          <w:sz w:val="28"/>
          <w:szCs w:val="28"/>
          <w:highlight w:val="none"/>
          <w:lang w:val="en-US" w:eastAsia="zh-CN"/>
        </w:rPr>
        <w:t xml:space="preserve"> </w:t>
      </w:r>
      <w:r>
        <w:rPr>
          <w:rFonts w:hint="eastAsia" w:ascii="宋体" w:hAnsi="宋体" w:eastAsia="宋体" w:cs="宋体"/>
          <w:color w:val="auto"/>
          <w:kern w:val="2"/>
          <w:sz w:val="28"/>
          <w:szCs w:val="28"/>
          <w:highlight w:val="none"/>
        </w:rPr>
        <w:t>址：</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邮政编码：</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电    话：</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p>
    <w:p>
      <w:pPr>
        <w:keepNext w:val="0"/>
        <w:keepLines w:val="0"/>
        <w:pageBreakBefore w:val="0"/>
        <w:shd w:val="clear"/>
        <w:kinsoku/>
        <w:wordWrap/>
        <w:overflowPunct/>
        <w:topLinePunct w:val="0"/>
        <w:autoSpaceDE/>
        <w:autoSpaceDN/>
        <w:bidi w:val="0"/>
        <w:adjustRightInd/>
        <w:snapToGrid/>
        <w:spacing w:beforeLines="0" w:line="360" w:lineRule="auto"/>
        <w:ind w:right="0" w:rightChars="0" w:firstLine="560" w:firstLineChars="200"/>
        <w:textAlignment w:val="auto"/>
        <w:outlineLvl w:val="9"/>
        <w:rPr>
          <w:rFonts w:hint="eastAsia" w:ascii="宋体" w:hAnsi="宋体" w:eastAsia="宋体" w:cs="宋体"/>
          <w:color w:val="auto"/>
          <w:kern w:val="2"/>
          <w:sz w:val="28"/>
          <w:szCs w:val="28"/>
          <w:highlight w:val="none"/>
        </w:rPr>
      </w:pPr>
      <w:r>
        <w:rPr>
          <w:rFonts w:hint="eastAsia" w:ascii="宋体" w:hAnsi="宋体" w:eastAsia="宋体" w:cs="宋体"/>
          <w:color w:val="auto"/>
          <w:kern w:val="2"/>
          <w:sz w:val="28"/>
          <w:szCs w:val="28"/>
          <w:highlight w:val="none"/>
        </w:rPr>
        <w:t>传    真：</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r>
        <w:rPr>
          <w:rFonts w:hint="eastAsia" w:ascii="宋体" w:hAnsi="宋体" w:eastAsia="宋体" w:cs="宋体"/>
          <w:color w:val="auto"/>
          <w:kern w:val="2"/>
          <w:sz w:val="28"/>
          <w:szCs w:val="28"/>
          <w:highlight w:val="none"/>
          <w:u w:val="single"/>
          <w:lang w:val="en-US" w:eastAsia="zh-CN"/>
        </w:rPr>
        <w:t xml:space="preserve">          </w:t>
      </w:r>
      <w:r>
        <w:rPr>
          <w:rFonts w:hint="eastAsia" w:ascii="宋体" w:hAnsi="宋体" w:eastAsia="宋体" w:cs="宋体"/>
          <w:color w:val="auto"/>
          <w:kern w:val="2"/>
          <w:sz w:val="28"/>
          <w:szCs w:val="28"/>
          <w:highlight w:val="none"/>
          <w:u w:val="single"/>
        </w:rPr>
        <w:t xml:space="preserve"> </w:t>
      </w:r>
    </w:p>
    <w:p>
      <w:pPr>
        <w:spacing w:line="360" w:lineRule="auto"/>
        <w:ind w:firstLine="560" w:firstLineChars="200"/>
        <w:jc w:val="left"/>
        <w:outlineLvl w:val="9"/>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 xml:space="preserve">开立时间：    年    月    </w:t>
      </w:r>
      <w:r>
        <w:rPr>
          <w:rFonts w:hint="eastAsia" w:ascii="宋体" w:hAnsi="宋体" w:eastAsia="宋体" w:cs="宋体"/>
          <w:color w:val="auto"/>
          <w:sz w:val="28"/>
          <w:szCs w:val="28"/>
          <w:highlight w:val="none"/>
          <w:lang w:eastAsia="zh-CN"/>
        </w:rPr>
        <w:t>日</w:t>
      </w:r>
    </w:p>
    <w:p>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附件5：</w:t>
      </w:r>
    </w:p>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专业工程暂估价表</w:t>
      </w:r>
    </w:p>
    <w:tbl>
      <w:tblPr>
        <w:tblStyle w:val="60"/>
        <w:tblW w:w="95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
        <w:gridCol w:w="1984"/>
        <w:gridCol w:w="510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984" w:type="dxa"/>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专业工程名称</w:t>
            </w:r>
          </w:p>
        </w:tc>
        <w:tc>
          <w:tcPr>
            <w:tcW w:w="5103" w:type="dxa"/>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工程内容</w:t>
            </w:r>
          </w:p>
        </w:tc>
        <w:tc>
          <w:tcPr>
            <w:tcW w:w="1560" w:type="dxa"/>
          </w:tcPr>
          <w:p>
            <w:pPr>
              <w:spacing w:line="4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879" w:type="dxa"/>
          </w:tcPr>
          <w:p>
            <w:pPr>
              <w:spacing w:line="400" w:lineRule="exact"/>
              <w:ind w:firstLine="560" w:firstLineChars="200"/>
              <w:rPr>
                <w:rFonts w:hint="eastAsia" w:ascii="宋体" w:hAnsi="宋体" w:eastAsia="宋体" w:cs="宋体"/>
                <w:color w:val="auto"/>
                <w:szCs w:val="21"/>
                <w:highlight w:val="none"/>
              </w:rPr>
            </w:pPr>
          </w:p>
        </w:tc>
        <w:tc>
          <w:tcPr>
            <w:tcW w:w="1984" w:type="dxa"/>
          </w:tcPr>
          <w:p>
            <w:pPr>
              <w:spacing w:line="400" w:lineRule="exact"/>
              <w:ind w:firstLine="560" w:firstLineChars="200"/>
              <w:rPr>
                <w:rFonts w:hint="eastAsia" w:ascii="宋体" w:hAnsi="宋体" w:eastAsia="宋体" w:cs="宋体"/>
                <w:color w:val="auto"/>
                <w:szCs w:val="21"/>
                <w:highlight w:val="none"/>
              </w:rPr>
            </w:pPr>
          </w:p>
        </w:tc>
        <w:tc>
          <w:tcPr>
            <w:tcW w:w="5103" w:type="dxa"/>
          </w:tcPr>
          <w:p>
            <w:pPr>
              <w:spacing w:line="400" w:lineRule="exact"/>
              <w:ind w:firstLine="560" w:firstLineChars="200"/>
              <w:rPr>
                <w:rFonts w:hint="eastAsia" w:ascii="宋体" w:hAnsi="宋体" w:eastAsia="宋体" w:cs="宋体"/>
                <w:color w:val="auto"/>
                <w:szCs w:val="21"/>
                <w:highlight w:val="none"/>
              </w:rPr>
            </w:pPr>
          </w:p>
        </w:tc>
        <w:tc>
          <w:tcPr>
            <w:tcW w:w="1560" w:type="dxa"/>
          </w:tcPr>
          <w:p>
            <w:pPr>
              <w:spacing w:line="400" w:lineRule="exact"/>
              <w:ind w:firstLine="560" w:firstLineChars="20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526" w:type="dxa"/>
            <w:gridSpan w:val="4"/>
          </w:tcPr>
          <w:p>
            <w:pPr>
              <w:spacing w:line="400" w:lineRule="exact"/>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小计：</w:t>
            </w:r>
          </w:p>
        </w:tc>
      </w:tr>
    </w:tbl>
    <w:p>
      <w:pPr>
        <w:spacing w:line="360" w:lineRule="auto"/>
        <w:ind w:firstLine="560" w:firstLineChars="200"/>
        <w:rPr>
          <w:rFonts w:hint="eastAsia" w:ascii="宋体" w:hAnsi="宋体" w:eastAsia="宋体" w:cs="宋体"/>
          <w:color w:val="auto"/>
          <w:szCs w:val="21"/>
          <w:highlight w:val="none"/>
        </w:rPr>
      </w:pPr>
    </w:p>
    <w:p>
      <w:pPr>
        <w:pStyle w:val="23"/>
        <w:spacing w:line="360" w:lineRule="auto"/>
        <w:rPr>
          <w:rFonts w:hint="eastAsia" w:ascii="宋体" w:hAnsi="宋体" w:eastAsia="宋体" w:cs="宋体"/>
          <w:color w:val="auto"/>
          <w:szCs w:val="21"/>
          <w:highlight w:val="none"/>
        </w:rPr>
      </w:pPr>
    </w:p>
    <w:p>
      <w:pPr>
        <w:spacing w:line="48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w:t>
      </w:r>
    </w:p>
    <w:p>
      <w:pPr>
        <w:spacing w:before="156" w:beforeLines="50" w:after="156" w:afterLines="50"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廉洁从业协议</w:t>
      </w:r>
    </w:p>
    <w:p>
      <w:pPr>
        <w:snapToGrid w:val="0"/>
        <w:spacing w:line="360" w:lineRule="auto"/>
        <w:ind w:firstLine="56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56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国家有关部门以及有关工程建设、廉政建设的规定，为做好工程建设中的党风廉政建设，保证工程建设高效优质，保证建设资金的安全和有效使用以及投资效益，建设工程的项目法人（以下简称“发包人”）与承包人（以下简称“承包人”），特订立如下协议。</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1. 发包人承包人的权利和义务</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（1）严格遵守党的政策规定和国家有关法律法规及相关部门的有关规定。</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（2）严格执行工程的合同文件，自觉按合同办事。</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（3）双方的业务活动坚持公开、公正、诚信、透明的原则（法律认定的商业秘密和合同文件另有规定除外），不得损害国家和集体利益，违反工程建设管理规章制度。</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（4）建立健全廉政制度，开展廉政教育，设立廉政告示牌，公布举报电话，监督并认真查处违法违纪行为。</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（5）发现对方在业务活动中有违反廉政规定的行为，有及时提醒对方纠正的权利和义务。</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（6）发现对方严重违反协议义务条款的行为，有向其上级有关部门举报、建议给予处理并要求告知处理结果的权利。</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发包人的义务</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（1）发包人及其工作人员不得索要或接受承包人的礼金、有价证券和贵重物品，不得在承包人报销任何应由发包人或发包人工作人员个人支付的费用等。</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（2）发包人工作人员不得参加承包人安排的超标准宴请和娱乐活动；不得接受承包人提供的通讯工具、交通工具和高档办公用品等。</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（3）发包人及其工作人员不得要求或者接受承包人为其住房装修、婚丧嫁娶活动、配偶子女的工作安排以及出国出境、旅游等提供方便等。</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（4）发包人工作人员及其配偶、子女不得从事与发包人工程有关的材料设备供应、工程分包、劳务等经济活动等。</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（5）发包人及其工作人员不得以任何理由向承包人推荐分包单位或推销材料，不得要求承包人购买合同规定外的材料和设备。</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（6）发包人工作人员要秉公办事，不准营私舞弊，不准利用职权从事各种个人有偿中介活动和安排个人施工队伍。</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承包人义务</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（1）承包人不得以任何理由向发包人及其工作人员行贿或馈赠礼金、有价证券、贵重礼品。</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（2）承包人不得以任何名义为发包人及其工作人员报销应由发包人单位或个人支付的任何费用。</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（3）承包人不得以任何理由安排发包人工作人员参加超标准宴请及娱乐活动。</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（4）承包人不得为发包人单位和个人购置或提供通讯工具、交通工具和高档办公用品等。</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违约责任</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（1）发包人及其工作人员违反合同第1、2条，按管理权限，依据有关规定给予党纪、政纪或组织处理；涉嫌犯罪的，移交司法机关追究刑事责任；给承包人单位造成经济损失的，应予以赔偿。</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（2）承包人及其工作人员违反合同第1、3条，按管理权限，依据有关规定给予党纪、政纪或组织处理；给发包人单位造成经济损失的，应予以赔偿。</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双方约定：协议由双方或双方上级单位的纪检监察机关负责监督执行。由发包人或发包人上级单位的纪检监察机关约请承包人或承包人上级单位纪检监察机关对合同执行情况进行检查，提出在协议规定范围内的裁定意见。</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协议有效期为甲乙双方签署之日起至该工程项目竣工验收后止。</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7.协议作为工程施工合同的附件，与工程施工合同具有同等的法律效力，经合同双方签署立即生效。</w:t>
      </w:r>
    </w:p>
    <w:p>
      <w:pPr>
        <w:spacing w:line="360" w:lineRule="auto"/>
        <w:ind w:firstLine="56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（以下无正文）</w:t>
      </w:r>
    </w:p>
    <w:p>
      <w:pPr>
        <w:spacing w:line="360" w:lineRule="auto"/>
        <w:rPr>
          <w:rFonts w:hint="eastAsia" w:ascii="宋体" w:hAnsi="宋体" w:eastAsia="宋体" w:cs="宋体"/>
          <w:color w:val="auto"/>
          <w:szCs w:val="21"/>
          <w:highlight w:val="none"/>
        </w:rPr>
      </w:pPr>
    </w:p>
    <w:p>
      <w:pPr>
        <w:pStyle w:val="23"/>
        <w:spacing w:line="360" w:lineRule="auto"/>
        <w:rPr>
          <w:rFonts w:hint="eastAsia" w:ascii="宋体" w:hAnsi="宋体" w:eastAsia="宋体" w:cs="宋体"/>
          <w:color w:val="auto"/>
          <w:szCs w:val="21"/>
          <w:highlight w:val="none"/>
        </w:rPr>
      </w:pPr>
    </w:p>
    <w:p>
      <w:pPr>
        <w:pStyle w:val="23"/>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     方：                         乙     方：</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法定代表人                          法定代表人                      </w:t>
      </w: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或其授权的代理人：                  或授权的代理人：</w:t>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p>
    <w:p>
      <w:pPr>
        <w:spacing w:before="156" w:beforeLines="50" w:after="156" w:afterLines="50" w:line="480" w:lineRule="auto"/>
        <w:jc w:val="center"/>
        <w:rPr>
          <w:rFonts w:hint="eastAsia" w:ascii="宋体" w:hAnsi="宋体" w:eastAsia="宋体" w:cs="宋体"/>
          <w:color w:val="auto"/>
          <w:szCs w:val="21"/>
          <w:highlight w:val="none"/>
        </w:rPr>
      </w:pPr>
      <w:bookmarkStart w:id="1455" w:name="_Toc239510288"/>
      <w:bookmarkStart w:id="1456" w:name="_Toc247431422"/>
      <w:bookmarkStart w:id="1457" w:name="_Toc435689499"/>
      <w:bookmarkStart w:id="1458" w:name="_Toc336680145"/>
      <w:bookmarkStart w:id="1459" w:name="_Toc435690184"/>
      <w:bookmarkStart w:id="1460" w:name="_Toc448406299"/>
      <w:r>
        <w:rPr>
          <w:rFonts w:hint="eastAsia" w:ascii="宋体" w:hAnsi="宋体" w:eastAsia="宋体" w:cs="宋体"/>
          <w:color w:val="auto"/>
          <w:szCs w:val="21"/>
          <w:highlight w:val="none"/>
        </w:rPr>
        <w:t>安全管理协议</w:t>
      </w:r>
      <w:bookmarkEnd w:id="1455"/>
      <w:bookmarkEnd w:id="1456"/>
      <w:bookmarkEnd w:id="1457"/>
      <w:bookmarkEnd w:id="1458"/>
      <w:bookmarkEnd w:id="1459"/>
      <w:bookmarkEnd w:id="1460"/>
    </w:p>
    <w:p>
      <w:pPr>
        <w:snapToGrid w:val="0"/>
        <w:spacing w:line="360" w:lineRule="auto"/>
        <w:ind w:firstLine="56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发包人（全称）：</w:t>
      </w:r>
      <w:r>
        <w:rPr>
          <w:rFonts w:hint="eastAsia" w:ascii="宋体" w:hAnsi="宋体" w:eastAsia="宋体" w:cs="宋体"/>
          <w:color w:val="auto"/>
          <w:szCs w:val="21"/>
          <w:highlight w:val="none"/>
          <w:u w:val="single"/>
        </w:rPr>
        <w:t xml:space="preserve">                             </w:t>
      </w:r>
    </w:p>
    <w:p>
      <w:pPr>
        <w:snapToGrid w:val="0"/>
        <w:spacing w:line="360" w:lineRule="auto"/>
        <w:ind w:firstLine="562" w:firstLineChars="200"/>
        <w:rPr>
          <w:rFonts w:hint="eastAsia" w:ascii="宋体" w:hAnsi="宋体" w:eastAsia="宋体" w:cs="宋体"/>
          <w:b/>
          <w:color w:val="auto"/>
          <w:szCs w:val="21"/>
          <w:highlight w:val="none"/>
          <w:u w:val="single"/>
        </w:rPr>
      </w:pPr>
      <w:r>
        <w:rPr>
          <w:rFonts w:hint="eastAsia" w:ascii="宋体" w:hAnsi="宋体" w:eastAsia="宋体" w:cs="宋体"/>
          <w:b/>
          <w:color w:val="auto"/>
          <w:szCs w:val="21"/>
          <w:highlight w:val="none"/>
        </w:rPr>
        <w:t>承包人（全称）：</w:t>
      </w:r>
      <w:r>
        <w:rPr>
          <w:rFonts w:hint="eastAsia" w:ascii="宋体" w:hAnsi="宋体" w:eastAsia="宋体" w:cs="宋体"/>
          <w:color w:val="auto"/>
          <w:szCs w:val="21"/>
          <w:highlight w:val="none"/>
          <w:u w:val="single"/>
        </w:rPr>
        <w:t xml:space="preserve">                  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为了确保实现</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安全生产目标，进一步明确双方的安全管理责任，加强安全生产管理工作的协调、管理力度，</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（以下简称“发包人”）与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以下简称“承包人”）依据国家安全生产相关的法律、法规和安全方面的强制性国家标准或行业标准，双方同意签订该协议作为正式合同安全管理方面的补充规定，并承诺本协议具有与合同相同的法律效力。具体条款如下：</w:t>
      </w:r>
    </w:p>
    <w:p>
      <w:pPr>
        <w:spacing w:line="360" w:lineRule="auto"/>
        <w:ind w:firstLine="560" w:firstLineChars="200"/>
        <w:rPr>
          <w:rFonts w:hint="eastAsia" w:ascii="宋体" w:hAnsi="宋体" w:eastAsia="宋体" w:cs="宋体"/>
          <w:color w:val="auto"/>
          <w:szCs w:val="21"/>
          <w:highlight w:val="none"/>
        </w:rPr>
      </w:pPr>
      <w:bookmarkStart w:id="1461" w:name="_Toc239510289"/>
      <w:bookmarkStart w:id="1462" w:name="_Toc247418263"/>
      <w:bookmarkStart w:id="1463" w:name="_Toc532375700"/>
      <w:bookmarkStart w:id="1464" w:name="_Toc247431423"/>
      <w:r>
        <w:rPr>
          <w:rFonts w:hint="eastAsia" w:ascii="宋体" w:hAnsi="宋体" w:eastAsia="宋体" w:cs="宋体"/>
          <w:color w:val="auto"/>
          <w:szCs w:val="21"/>
          <w:highlight w:val="none"/>
        </w:rPr>
        <w:t>一、协议有效期限</w:t>
      </w:r>
      <w:bookmarkEnd w:id="1461"/>
      <w:bookmarkEnd w:id="1462"/>
      <w:bookmarkEnd w:id="1463"/>
      <w:bookmarkEnd w:id="1464"/>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本协议中所涉及的安全管理责任自合同签订之日起开始生效，至合同工程全部完工验收且经发包人与承包人签订移交协议生效后之日终止。</w:t>
      </w:r>
    </w:p>
    <w:p>
      <w:pPr>
        <w:spacing w:line="360" w:lineRule="auto"/>
        <w:ind w:firstLine="560" w:firstLineChars="200"/>
        <w:rPr>
          <w:rFonts w:hint="eastAsia" w:ascii="宋体" w:hAnsi="宋体" w:eastAsia="宋体" w:cs="宋体"/>
          <w:color w:val="auto"/>
          <w:szCs w:val="21"/>
          <w:highlight w:val="none"/>
        </w:rPr>
      </w:pPr>
      <w:bookmarkStart w:id="1465" w:name="_Toc239510290"/>
      <w:bookmarkStart w:id="1466" w:name="_Toc247431424"/>
      <w:bookmarkStart w:id="1467" w:name="_Toc247418264"/>
      <w:bookmarkStart w:id="1468" w:name="_Toc532375701"/>
      <w:r>
        <w:rPr>
          <w:rFonts w:hint="eastAsia" w:ascii="宋体" w:hAnsi="宋体" w:eastAsia="宋体" w:cs="宋体"/>
          <w:color w:val="auto"/>
          <w:szCs w:val="21"/>
          <w:highlight w:val="none"/>
        </w:rPr>
        <w:t>二、责任目标</w:t>
      </w:r>
      <w:bookmarkEnd w:id="1465"/>
      <w:bookmarkEnd w:id="1466"/>
      <w:bookmarkEnd w:id="1467"/>
      <w:bookmarkEnd w:id="1468"/>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（一）承包人承诺承担和履行合同和发包人所规定的安全责任，且满足要求。</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（二）承包人的安全控制目标是确保本工程在实施过程中：</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1．不发生人身重伤事故；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2．不发生火灾事故；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3．不发生负有同等及以上事故责任的造成人身重伤的一般交通事故；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4．不发生集体食物中毒事件（同时5人及以上的食物中毒）；</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5．不发生流行性传染病 （无甲型传染病、其他常见传染病未形成多人同时患病）；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6．不发生重大环境污染事件（生活、工业垃圾及其他污染物造成环境污染和大面积水土流失）；</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7．不发生对施工区附近生产、生活造成重大影响的事件（如造成重大设备损坏、重大财产损失、人员伤害等）；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8．不发生治安保卫事件（构成刑事拘留及以上的事件、盗窃直接损失超过1万元人民币的事件）。</w:t>
      </w:r>
    </w:p>
    <w:p>
      <w:pPr>
        <w:spacing w:line="360" w:lineRule="auto"/>
        <w:ind w:firstLine="560" w:firstLineChars="200"/>
        <w:jc w:val="left"/>
        <w:rPr>
          <w:rFonts w:hint="eastAsia" w:ascii="宋体" w:hAnsi="宋体" w:eastAsia="宋体" w:cs="宋体"/>
          <w:color w:val="auto"/>
          <w:szCs w:val="21"/>
          <w:highlight w:val="none"/>
        </w:rPr>
      </w:pPr>
      <w:bookmarkStart w:id="1469" w:name="_Toc247418265"/>
      <w:bookmarkStart w:id="1470" w:name="_Toc247431425"/>
      <w:bookmarkStart w:id="1471" w:name="_Toc239510291"/>
      <w:r>
        <w:rPr>
          <w:rFonts w:hint="eastAsia" w:ascii="宋体" w:hAnsi="宋体" w:eastAsia="宋体" w:cs="宋体"/>
          <w:color w:val="auto"/>
          <w:szCs w:val="21"/>
          <w:highlight w:val="none"/>
        </w:rPr>
        <w:t>（三）承包人承诺在施工中控制以下安全事故的发生：</w:t>
      </w:r>
      <w:bookmarkEnd w:id="1469"/>
      <w:bookmarkEnd w:id="1470"/>
      <w:bookmarkEnd w:id="147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1．人员轻伤事故。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2．负有同等及以上事故责任的人身轻伤交通事故。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3．其他安全未遂事故和异常事件。</w:t>
      </w:r>
    </w:p>
    <w:p>
      <w:pPr>
        <w:spacing w:line="360" w:lineRule="auto"/>
        <w:ind w:firstLine="560" w:firstLineChars="200"/>
        <w:rPr>
          <w:rFonts w:hint="eastAsia" w:ascii="宋体" w:hAnsi="宋体" w:eastAsia="宋体" w:cs="宋体"/>
          <w:color w:val="auto"/>
          <w:szCs w:val="21"/>
          <w:highlight w:val="none"/>
        </w:rPr>
      </w:pPr>
      <w:bookmarkStart w:id="1472" w:name="_Toc532375702"/>
      <w:bookmarkStart w:id="1473" w:name="_Toc247418266"/>
      <w:bookmarkStart w:id="1474" w:name="_Toc247431426"/>
      <w:bookmarkStart w:id="1475" w:name="_Toc239510292"/>
      <w:r>
        <w:rPr>
          <w:rFonts w:hint="eastAsia" w:ascii="宋体" w:hAnsi="宋体" w:eastAsia="宋体" w:cs="宋体"/>
          <w:color w:val="auto"/>
          <w:szCs w:val="21"/>
          <w:highlight w:val="none"/>
        </w:rPr>
        <w:t>三、安全责任</w:t>
      </w:r>
      <w:bookmarkEnd w:id="1472"/>
      <w:bookmarkEnd w:id="1473"/>
      <w:bookmarkEnd w:id="1474"/>
      <w:bookmarkEnd w:id="147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1．承包人负有安全生产的管理责任和直接责任。</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2．承包人的法人或签署合同的公司总经理或受委托的代理人对合同安全负有全面的领导责任。</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3．承包人项目经理对施工现场的安全工作负有全面的直接领导责任。</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4．承包人保证执行“谁施工、谁负责”的施工安全原则。</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5．承包人保证服从发包人对安全工作的统一协调和管理。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6．承包人保证对本工程项目安全生产条件及其管理资源自行投入，保证安全资金的专款专用。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7．承包人保证建立本工程项目的安全管理体系及安全保证体系（注：项目安全管理大纲/手册、管理性的程序文件等）。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8．承包人保证现场的安全管理专职人员必须持有建设主管部门安全生产培训考核合格证书。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9．承包人保证为现场所有工作人员（含分包商员工及劳务人员）配备符合国家标准的有承包人和/或其下属分包商标志的个人基本劳动保护用品。</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10．承包人保证按照国家法律规定为现场所有工作人员（含分包商员工及劳务人员）购买意外伤害保险。</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11．承包人保证施工生活营地（包括自建的和租用的营地）满足消防、安全用电、卫生防疫、防暴雨、防雷击等方面的安全要求。</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12．承包人保证对带入现场的设备、工具、材料按照国家法规和标准进行检测、试验，并持有法定部门出具的检验证书。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13．承包人保证制订施工现场的文明施工措施，保护环境、树木和植被，保持施工现场的良好秩序和整洁的作业环境。</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14．承包人负责在施工过程中与当地政府、周边群众及其他承包商保持良好的沟通和交流。承包人遇到与周边群众发生纠纷时，应负责协调工作，确保工程能够顺利进行。</w:t>
      </w:r>
    </w:p>
    <w:p>
      <w:pPr>
        <w:spacing w:line="360" w:lineRule="auto"/>
        <w:ind w:firstLine="560" w:firstLineChars="200"/>
        <w:rPr>
          <w:rFonts w:hint="eastAsia" w:ascii="宋体" w:hAnsi="宋体" w:eastAsia="宋体" w:cs="宋体"/>
          <w:color w:val="auto"/>
          <w:szCs w:val="21"/>
          <w:highlight w:val="none"/>
        </w:rPr>
      </w:pPr>
      <w:bookmarkStart w:id="1476" w:name="_Toc239510293"/>
      <w:bookmarkStart w:id="1477" w:name="_Toc532375703"/>
      <w:bookmarkStart w:id="1478" w:name="_Toc247418267"/>
      <w:bookmarkStart w:id="1479" w:name="_Toc247431427"/>
      <w:r>
        <w:rPr>
          <w:rFonts w:hint="eastAsia" w:ascii="宋体" w:hAnsi="宋体" w:eastAsia="宋体" w:cs="宋体"/>
          <w:color w:val="auto"/>
          <w:szCs w:val="21"/>
          <w:highlight w:val="none"/>
        </w:rPr>
        <w:t>四、接口及协调</w:t>
      </w:r>
      <w:bookmarkEnd w:id="1476"/>
      <w:bookmarkEnd w:id="1477"/>
      <w:bookmarkEnd w:id="1478"/>
      <w:bookmarkEnd w:id="1479"/>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1．发包人委托监理公司对该工程实施监理，监理公司在安全管理方面代表发包人行使监督检查职能，承包人必须给予配合和支持。</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2．承包人人员、车辆的出入，带入现场的设备、机具、材料，在现场使用的或直接管理的办公、生活、生产性设施的安全管理须满足发包人现场管理的基本要求。</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3．承包人应指定专职安全管理人员与发包人委托的监理公司接口，参与安全协调和管理。安全协调和管理的内容包括职业健康、工业安全、消防安全、卫生防疫、交通安全、环境保护、治安保卫等各方面。</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的专职安全管理人员应具备协调安全工作的能力和授权。发包人委托的监理公司有权对专职安全管理人员的能力和权力做出评价，对于不能胜任的专职安全管理人员，发包人委托的监理公司有权要求承包人换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5．承包人指定的专职安全管理人员应与发包人委托的监理公司建立联系，在业务上接受发包人委托的监理公司的协调和指导。</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6．开工后承包人的专职安全管理人员应按照发包人委托的监理公司的规定，定期报送安全月度快报、季报、年报和各种专项事故报告等。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7．在工程实体未全部正式移交发包人施工管理部门之前，承包人依旧对施工范围内的安全管理负责。</w:t>
      </w:r>
    </w:p>
    <w:p>
      <w:pPr>
        <w:spacing w:line="360" w:lineRule="auto"/>
        <w:ind w:firstLine="560" w:firstLineChars="200"/>
        <w:rPr>
          <w:rFonts w:hint="eastAsia" w:ascii="宋体" w:hAnsi="宋体" w:eastAsia="宋体" w:cs="宋体"/>
          <w:color w:val="auto"/>
          <w:szCs w:val="21"/>
          <w:highlight w:val="none"/>
        </w:rPr>
      </w:pPr>
      <w:bookmarkStart w:id="1480" w:name="_Toc532375704"/>
      <w:bookmarkStart w:id="1481" w:name="_Toc247418268"/>
      <w:bookmarkStart w:id="1482" w:name="_Toc247431428"/>
      <w:bookmarkStart w:id="1483" w:name="_Toc239510294"/>
      <w:r>
        <w:rPr>
          <w:rFonts w:hint="eastAsia" w:ascii="宋体" w:hAnsi="宋体" w:eastAsia="宋体" w:cs="宋体"/>
          <w:color w:val="auto"/>
          <w:szCs w:val="21"/>
          <w:highlight w:val="none"/>
        </w:rPr>
        <w:t>五、安全资质审查</w:t>
      </w:r>
      <w:bookmarkEnd w:id="1480"/>
      <w:bookmarkEnd w:id="1481"/>
      <w:bookmarkEnd w:id="1482"/>
      <w:bookmarkEnd w:id="1483"/>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承包人在项目开工前5个工作天内向发包人委托的监理公司提供以下安全资质供审查和存档：</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1．企业安全生产许可证书复印件。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2．企业近三年的施工简历及安全施工业绩证明文件。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3．企业主要安全管理人员（包括项目经理、专职安全管理人员）经建设主管部门安全生产知识考核合格证书。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4．特种作业人员资格证书。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5．项目安全管理机构及其人员配备（承包人必须配有专职的安全员）。</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6．适用于项目的安全管理体系及保证体系文件（安全管理大纲及管理程序文件）。</w:t>
      </w:r>
    </w:p>
    <w:p>
      <w:pPr>
        <w:spacing w:line="360" w:lineRule="auto"/>
        <w:ind w:firstLine="560" w:firstLineChars="200"/>
        <w:rPr>
          <w:rFonts w:hint="eastAsia" w:ascii="宋体" w:hAnsi="宋体" w:eastAsia="宋体" w:cs="宋体"/>
          <w:color w:val="auto"/>
          <w:szCs w:val="21"/>
          <w:highlight w:val="none"/>
        </w:rPr>
      </w:pPr>
      <w:bookmarkStart w:id="1484" w:name="_Toc247418269"/>
      <w:bookmarkStart w:id="1485" w:name="_Toc247431429"/>
      <w:bookmarkStart w:id="1486" w:name="_Toc532375705"/>
      <w:bookmarkStart w:id="1487" w:name="_Toc239510295"/>
      <w:r>
        <w:rPr>
          <w:rFonts w:hint="eastAsia" w:ascii="宋体" w:hAnsi="宋体" w:eastAsia="宋体" w:cs="宋体"/>
          <w:color w:val="auto"/>
          <w:szCs w:val="21"/>
          <w:highlight w:val="none"/>
        </w:rPr>
        <w:t>六、人员基本素质</w:t>
      </w:r>
      <w:bookmarkEnd w:id="1484"/>
      <w:bookmarkEnd w:id="1485"/>
      <w:bookmarkEnd w:id="1486"/>
      <w:bookmarkEnd w:id="1487"/>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承包人提供的人员必须满足下列要求：</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1．身体健康，无影响工作的精神疾病、无传染病和其他重大疾病；承包人需对其雇用的施工人员签发健康声明并保证其健康。其中体检证明材料（县级以上医院）和健康声明作为人员办理入场证件的必备材料。</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2．无刑事案件牵连。</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3．无吸毒、酗酒、赌博、嫖娼等恶习及违法行为。</w:t>
      </w:r>
    </w:p>
    <w:p>
      <w:pPr>
        <w:spacing w:line="360" w:lineRule="auto"/>
        <w:ind w:firstLine="560" w:firstLineChars="200"/>
        <w:rPr>
          <w:rFonts w:hint="eastAsia" w:ascii="宋体" w:hAnsi="宋体" w:eastAsia="宋体" w:cs="宋体"/>
          <w:color w:val="auto"/>
          <w:szCs w:val="21"/>
          <w:highlight w:val="none"/>
        </w:rPr>
      </w:pPr>
      <w:bookmarkStart w:id="1488" w:name="_Toc532375706"/>
      <w:bookmarkStart w:id="1489" w:name="_Toc247418270"/>
      <w:bookmarkStart w:id="1490" w:name="_Toc247431430"/>
      <w:bookmarkStart w:id="1491" w:name="_Toc239510296"/>
      <w:r>
        <w:rPr>
          <w:rFonts w:hint="eastAsia" w:ascii="宋体" w:hAnsi="宋体" w:eastAsia="宋体" w:cs="宋体"/>
          <w:color w:val="auto"/>
          <w:szCs w:val="21"/>
          <w:highlight w:val="none"/>
        </w:rPr>
        <w:t>七、劳动保护</w:t>
      </w:r>
      <w:bookmarkEnd w:id="1488"/>
      <w:bookmarkEnd w:id="1489"/>
      <w:bookmarkEnd w:id="1490"/>
      <w:bookmarkEnd w:id="149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1．承包人负责为本单位任何用工形式的员工提供个人劳动保护用品（包括工作服、安全帽、安全鞋等）。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2．承包人负责向特殊工种的员工提供特殊劳动保护，否则不得从事特殊工种作业。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3．发包人委托的监理公司有权检查承包人的个人劳动保护用品是否符合国家的相应标准。</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 承包人在特殊风险场所作业而需要特殊防护用品或安全仪表时，必须在上述防护用品全部到位后才能开工。</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5．承包人应配备临时安全围栏、警示带、警告标志、防火布等集体防护用品。</w:t>
      </w:r>
    </w:p>
    <w:p>
      <w:pPr>
        <w:spacing w:line="360" w:lineRule="auto"/>
        <w:ind w:firstLine="560" w:firstLineChars="200"/>
        <w:rPr>
          <w:rFonts w:hint="eastAsia" w:ascii="宋体" w:hAnsi="宋体" w:eastAsia="宋体" w:cs="宋体"/>
          <w:color w:val="auto"/>
          <w:szCs w:val="21"/>
          <w:highlight w:val="none"/>
        </w:rPr>
      </w:pPr>
      <w:bookmarkStart w:id="1492" w:name="_Toc239510297"/>
      <w:bookmarkStart w:id="1493" w:name="_Toc247431431"/>
      <w:bookmarkStart w:id="1494" w:name="_Toc247418271"/>
      <w:bookmarkStart w:id="1495" w:name="_Toc532375707"/>
      <w:r>
        <w:rPr>
          <w:rFonts w:hint="eastAsia" w:ascii="宋体" w:hAnsi="宋体" w:eastAsia="宋体" w:cs="宋体"/>
          <w:color w:val="auto"/>
          <w:szCs w:val="21"/>
          <w:highlight w:val="none"/>
        </w:rPr>
        <w:t>八、施工机具与材料</w:t>
      </w:r>
      <w:bookmarkEnd w:id="1492"/>
      <w:bookmarkEnd w:id="1493"/>
      <w:bookmarkEnd w:id="1494"/>
      <w:bookmarkEnd w:id="149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1．承包人对带入现场的施工机械和工器具的安全负责。</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2．对于承包人带入现场的特殊工器具，如起重设备、索具、机动车辆、压缩气瓶等，承包人必须按国家法规和标准进行检测、试验，并持有法定部门出具的检验证书。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3．对于不属于法定检测的工器具，承包人也必须建立相应的管理、检测制度，这些工器具包括登高工具、脚手架材料、电动工具、安全防护设备及用具等。</w:t>
      </w:r>
    </w:p>
    <w:p>
      <w:pPr>
        <w:spacing w:line="360" w:lineRule="auto"/>
        <w:ind w:firstLine="560" w:firstLineChars="200"/>
        <w:rPr>
          <w:rFonts w:hint="eastAsia" w:ascii="宋体" w:hAnsi="宋体" w:eastAsia="宋体" w:cs="宋体"/>
          <w:color w:val="auto"/>
          <w:szCs w:val="21"/>
          <w:highlight w:val="none"/>
        </w:rPr>
      </w:pPr>
      <w:bookmarkStart w:id="1496" w:name="_Toc239510298"/>
      <w:bookmarkStart w:id="1497" w:name="_Toc247431432"/>
      <w:bookmarkStart w:id="1498" w:name="_Toc247418272"/>
      <w:bookmarkStart w:id="1499" w:name="_Toc532375708"/>
      <w:r>
        <w:rPr>
          <w:rFonts w:hint="eastAsia" w:ascii="宋体" w:hAnsi="宋体" w:eastAsia="宋体" w:cs="宋体"/>
          <w:color w:val="auto"/>
          <w:szCs w:val="21"/>
          <w:highlight w:val="none"/>
        </w:rPr>
        <w:t>九、开工前安全条件检查</w:t>
      </w:r>
      <w:bookmarkEnd w:id="1496"/>
      <w:bookmarkEnd w:id="1497"/>
      <w:bookmarkEnd w:id="1498"/>
      <w:bookmarkEnd w:id="1499"/>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发包人委托的监理公司将在合同生效后，工程项目正式开工5个工作日前，依据合同安全条款的要求逐项对承包人安全准备情况进行检查。不满足开工安全条件时，承包人将不得开工，由此产生的工期和成本的影响，由承包人自行负责。</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开工前安全条件检查的基本内容包括：安全管理体系建设、安全资金投入、危险源识别和安全风险分析、施工机械的安全状况、安全工器具和材料、安全培训教材和教员、专职安全人员的到岗情况、培训的有效性、人员控制、个人劳动保护用品配备等内容。</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3．发包人委托的监理公司检查发现的缺陷，承包人应在规定期限内完成整改。对于重大缺陷，发包人委托的监理公司有权要求承包人推迟开工，由此对工期产生的影响或经济损失，由承包人承担。</w:t>
      </w:r>
    </w:p>
    <w:p>
      <w:pPr>
        <w:spacing w:line="360" w:lineRule="auto"/>
        <w:ind w:firstLine="560" w:firstLineChars="200"/>
        <w:rPr>
          <w:rFonts w:hint="eastAsia" w:ascii="宋体" w:hAnsi="宋体" w:eastAsia="宋体" w:cs="宋体"/>
          <w:color w:val="auto"/>
          <w:szCs w:val="21"/>
          <w:highlight w:val="none"/>
        </w:rPr>
      </w:pPr>
      <w:bookmarkStart w:id="1500" w:name="_Toc239510299"/>
      <w:bookmarkStart w:id="1501" w:name="_Toc247418273"/>
      <w:bookmarkStart w:id="1502" w:name="_Toc532375709"/>
      <w:bookmarkStart w:id="1503" w:name="_Toc247431433"/>
      <w:r>
        <w:rPr>
          <w:rFonts w:hint="eastAsia" w:ascii="宋体" w:hAnsi="宋体" w:eastAsia="宋体" w:cs="宋体"/>
          <w:color w:val="auto"/>
          <w:szCs w:val="21"/>
          <w:highlight w:val="none"/>
        </w:rPr>
        <w:t>十、安全监督</w:t>
      </w:r>
      <w:bookmarkEnd w:id="1500"/>
      <w:bookmarkEnd w:id="1501"/>
      <w:bookmarkEnd w:id="1502"/>
      <w:bookmarkEnd w:id="1503"/>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1．承包人应配备有满足项目安全管理需要的专职安全管理人员。</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2．承包人的专职安全管理人员必须持建设主管部门颁发的安全生产知识考核合格证书。</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3．承包人的专职安全管理人员在业务上接受发包人委托的监理公司和发包人安全管理部门的协调和指导。</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4．承包人应建立班前安全交底制度；施工期间坚持开展安全检查和日常安全监督并形成相应的记录。</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5．承包人应在每个作业区任命兼职安全员，赋予兼职安全员相应的授权和义务，并对兼职安全员进行定期考核。</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6．承包人应接受和配合发包人专业部门及委托的监理公司的监督与安全评价。</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7．发包人和委托的监理公司有权对承包人履行安全管理协议的情况进行监督，并有权对违章行为实行停工和处罚，处罚情况将通知承包人。涉及经济处罚时将直接通知合同管理部门从合同结算中扣除。</w:t>
      </w:r>
    </w:p>
    <w:p>
      <w:pPr>
        <w:spacing w:line="360" w:lineRule="auto"/>
        <w:ind w:firstLine="560" w:firstLineChars="200"/>
        <w:rPr>
          <w:rFonts w:hint="eastAsia" w:ascii="宋体" w:hAnsi="宋体" w:eastAsia="宋体" w:cs="宋体"/>
          <w:color w:val="auto"/>
          <w:szCs w:val="21"/>
          <w:highlight w:val="none"/>
        </w:rPr>
      </w:pPr>
      <w:bookmarkStart w:id="1504" w:name="_Toc247418274"/>
      <w:bookmarkStart w:id="1505" w:name="_Toc532375710"/>
      <w:bookmarkStart w:id="1506" w:name="_Toc239510300"/>
      <w:bookmarkStart w:id="1507" w:name="_Toc247431434"/>
      <w:r>
        <w:rPr>
          <w:rFonts w:hint="eastAsia" w:ascii="宋体" w:hAnsi="宋体" w:eastAsia="宋体" w:cs="宋体"/>
          <w:color w:val="auto"/>
          <w:szCs w:val="21"/>
          <w:highlight w:val="none"/>
        </w:rPr>
        <w:t>十一、安全培训与授权</w:t>
      </w:r>
      <w:bookmarkEnd w:id="1504"/>
      <w:bookmarkEnd w:id="1505"/>
      <w:bookmarkEnd w:id="1506"/>
      <w:bookmarkEnd w:id="1507"/>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1．承包人所有特殊工种人员必须持证上岗，发包人和发包人委托的监理公司有权对其进行抽查。承包人要建立特殊工种定期培训和检查计划，这些工种包括但不限于：机动车驾驶员、焊工、起重工、电工等。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2．承包人应在特殊工种之外的其他工种中，筛选出高风险工种，并对其开展针对性的专题安全培训。</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3．承包人应组织 “入场培训”和考核。发包人委托的监理公司有权监督培训、考核情况或组织抽查考核。</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4．承包人应建立安全培训和考核机制，编制培训教材和培训滚动计划。承包人应组织安全考试/考核，建立培训考核记录，发包人委托的监理公司有权查看这些记录。</w:t>
      </w:r>
    </w:p>
    <w:p>
      <w:pPr>
        <w:spacing w:line="360" w:lineRule="auto"/>
        <w:ind w:firstLine="560" w:firstLineChars="200"/>
        <w:rPr>
          <w:rFonts w:hint="eastAsia" w:ascii="宋体" w:hAnsi="宋体" w:eastAsia="宋体" w:cs="宋体"/>
          <w:color w:val="auto"/>
          <w:szCs w:val="21"/>
          <w:highlight w:val="none"/>
        </w:rPr>
      </w:pPr>
      <w:bookmarkStart w:id="1508" w:name="_Toc239510301"/>
      <w:bookmarkStart w:id="1509" w:name="_Toc247431435"/>
      <w:bookmarkStart w:id="1510" w:name="_Toc247418275"/>
      <w:bookmarkStart w:id="1511" w:name="_Toc532375711"/>
      <w:r>
        <w:rPr>
          <w:rFonts w:hint="eastAsia" w:ascii="宋体" w:hAnsi="宋体" w:eastAsia="宋体" w:cs="宋体"/>
          <w:color w:val="auto"/>
          <w:szCs w:val="21"/>
          <w:highlight w:val="none"/>
        </w:rPr>
        <w:t>十二、职业健康与卫生防疫</w:t>
      </w:r>
      <w:bookmarkEnd w:id="1508"/>
      <w:bookmarkEnd w:id="1509"/>
      <w:bookmarkEnd w:id="1510"/>
      <w:bookmarkEnd w:id="1511"/>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1．承包人应有特殊健康检查制度，预防有禁忌症患者从事有关职业，如恐高症患者不得从事高空作业，患有心血管疾病的人员不得从事繁重的体力劳动，特殊工种人员的体检应符合国家的规定。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2．承包人应保证卫生防疫基本设施的投入，以满足医疗、急救的要求，建立外部医疗支持渠道。</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建立卫生防疫措施计划，做好生活区和施工区的卫生防疫工作；制定和执行保证饮水卫生、饮食卫生、环境卫生和预防集体食物中毒的措施；有灭蚊、灭鼠和消毒的专项工作计划；有针对性地制订预防SARS、禽流感、疟疾、霍乱、肠道传染病、肝炎、H1N1流感等疾病的措施。</w:t>
      </w:r>
    </w:p>
    <w:p>
      <w:pPr>
        <w:spacing w:line="360" w:lineRule="auto"/>
        <w:ind w:firstLine="560" w:firstLineChars="200"/>
        <w:rPr>
          <w:rFonts w:hint="eastAsia" w:ascii="宋体" w:hAnsi="宋体" w:eastAsia="宋体" w:cs="宋体"/>
          <w:color w:val="auto"/>
          <w:szCs w:val="21"/>
          <w:highlight w:val="none"/>
        </w:rPr>
      </w:pPr>
      <w:bookmarkStart w:id="1512" w:name="_Toc247431436"/>
      <w:bookmarkStart w:id="1513" w:name="_Toc532375712"/>
      <w:bookmarkStart w:id="1514" w:name="_Toc247418276"/>
      <w:bookmarkStart w:id="1515" w:name="_Toc239510302"/>
      <w:r>
        <w:rPr>
          <w:rFonts w:hint="eastAsia" w:ascii="宋体" w:hAnsi="宋体" w:eastAsia="宋体" w:cs="宋体"/>
          <w:color w:val="auto"/>
          <w:szCs w:val="21"/>
          <w:highlight w:val="none"/>
        </w:rPr>
        <w:t>十三、文明施工与环保要求</w:t>
      </w:r>
      <w:bookmarkEnd w:id="1512"/>
      <w:bookmarkEnd w:id="1513"/>
      <w:bookmarkEnd w:id="1514"/>
      <w:bookmarkEnd w:id="1515"/>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1．承包人需制订施工现场的文明施工措施，保持良好的施工现场秩序。施工现场的物料堆放要摆放整齐，安全标志和宣传标志要清楚醒目，废料、废物要分类收集，安全通道要畅通。</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2．承包人作业时应避免建筑材料抛洒、飞扬、流淌；应尽可能降低噪音、震动。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3．承包人应根据实际需要，在施工现场布置临时卫生设施（洗手间、卫生间等），施工作业不破坏环境卫生，不污染现场环境。</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4．承包人在施工中应充分重视对环境的保护，保护绿色植被，保护古树。施工如需伤害古树，必须报告发包人委托的监理公司，在未得到指令前，禁止擅自伤害古树。</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及时清理现场废物和垃圾。工业废料与生活垃圾必须分开，有害废物与普通废物必须分开（如油品废物、电池灯管等，必须单独收集、存放）；禁止在非指定场所乱倒、乱堆垃圾。禁止违章处理危险化学品和工业垃圾。</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6．承包人在施工中应禁止向环境，排放工业污水、生活污水、废油或其他有害物质。</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承包人在施工中应防止水土流失，应及时对裸露的地基、边坡、开挖出来的沙/土以及砂、石、水泥等建筑材料予以保护，防止风刮扬尘，雨水冲刷，流入下水道、排洪沟。如因防护不及时而造成大量水土流失、淤塞道路、沟道或污染环境的，承包人应承担清淤、清扫以及相应的赔偿责任。</w:t>
      </w:r>
    </w:p>
    <w:p>
      <w:pPr>
        <w:spacing w:line="360" w:lineRule="auto"/>
        <w:ind w:firstLine="560" w:firstLineChars="200"/>
        <w:rPr>
          <w:rFonts w:hint="eastAsia" w:ascii="宋体" w:hAnsi="宋体" w:eastAsia="宋体" w:cs="宋体"/>
          <w:color w:val="auto"/>
          <w:szCs w:val="21"/>
          <w:highlight w:val="none"/>
        </w:rPr>
      </w:pPr>
      <w:bookmarkStart w:id="1516" w:name="_Toc247431437"/>
      <w:bookmarkStart w:id="1517" w:name="_Toc239510303"/>
      <w:bookmarkStart w:id="1518" w:name="_Toc247418277"/>
      <w:bookmarkStart w:id="1519" w:name="_Toc532375713"/>
      <w:r>
        <w:rPr>
          <w:rFonts w:hint="eastAsia" w:ascii="宋体" w:hAnsi="宋体" w:eastAsia="宋体" w:cs="宋体"/>
          <w:color w:val="auto"/>
          <w:szCs w:val="21"/>
          <w:highlight w:val="none"/>
        </w:rPr>
        <w:t>十四、工程风险管理与事故预防</w:t>
      </w:r>
      <w:bookmarkEnd w:id="1516"/>
      <w:bookmarkEnd w:id="1517"/>
      <w:bookmarkEnd w:id="1518"/>
      <w:bookmarkEnd w:id="1519"/>
    </w:p>
    <w:p>
      <w:pPr>
        <w:spacing w:line="360" w:lineRule="auto"/>
        <w:ind w:firstLine="560" w:firstLineChars="200"/>
        <w:jc w:val="left"/>
        <w:rPr>
          <w:rFonts w:hint="eastAsia" w:ascii="宋体" w:hAnsi="宋体" w:eastAsia="宋体" w:cs="宋体"/>
          <w:color w:val="auto"/>
          <w:szCs w:val="21"/>
          <w:highlight w:val="none"/>
        </w:rPr>
      </w:pPr>
      <w:bookmarkStart w:id="1520" w:name="_Toc247431438"/>
      <w:bookmarkStart w:id="1521" w:name="_Toc247418278"/>
      <w:bookmarkStart w:id="1522" w:name="_Toc239510304"/>
      <w:r>
        <w:rPr>
          <w:rFonts w:hint="eastAsia" w:ascii="宋体" w:hAnsi="宋体" w:eastAsia="宋体" w:cs="宋体"/>
          <w:color w:val="auto"/>
          <w:szCs w:val="21"/>
          <w:highlight w:val="none"/>
        </w:rPr>
        <w:t>（一）基本要求</w:t>
      </w:r>
      <w:bookmarkEnd w:id="1520"/>
      <w:bookmarkEnd w:id="1521"/>
      <w:bookmarkEnd w:id="1522"/>
    </w:p>
    <w:p>
      <w:pPr>
        <w:spacing w:line="360" w:lineRule="auto"/>
        <w:ind w:firstLine="560" w:firstLineChars="200"/>
        <w:jc w:val="left"/>
        <w:rPr>
          <w:rFonts w:hint="eastAsia" w:ascii="宋体" w:hAnsi="宋体" w:eastAsia="宋体" w:cs="宋体"/>
          <w:color w:val="auto"/>
          <w:szCs w:val="21"/>
          <w:highlight w:val="none"/>
        </w:rPr>
      </w:pPr>
      <w:bookmarkStart w:id="1523" w:name="_Toc532375714"/>
      <w:r>
        <w:rPr>
          <w:rFonts w:hint="eastAsia" w:ascii="宋体" w:hAnsi="宋体" w:eastAsia="宋体" w:cs="宋体"/>
          <w:color w:val="auto"/>
          <w:szCs w:val="21"/>
          <w:highlight w:val="none"/>
        </w:rPr>
        <w:t>1．承包人应对施工过程进行全面、深入的危险源识别和风险分析。在施工安全组织设计中提供危险源及重要危险源清单、作业风险分析报告，该报告应包括（但不限于）如下信息：</w:t>
      </w:r>
      <w:bookmarkEnd w:id="1523"/>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（1）高风险作业和工种清单：作业名称、类别和数量、主要事故风险。</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（2）施工能源和机械的种类、数量和主要事故风险。</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（3）施工作业条件的类型和主要事故风险。</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（4）主要工艺过程（或施工活动）的类别及其相关的事故风险。</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（5）主要火灾危险（可燃物、点火源）。</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（6）主要自然灾害（洪水、大风、雷暴、暴雨、地质灾害等）。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（7）主要环境保护事件（有害垃圾、机械的跑冒滴漏、原材料流失、水土流失等）。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（8）其他。</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2．承包人应针对识别出的危险源制定有针对性的事故预防措施并确保在施工中得到有效落实。</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3．承包人应建立日常施工活动的动态作业风险分析和安全交底制度。该制度应明确规定风险分析的方法、责任和交底的内容、时间及记录。</w:t>
      </w:r>
    </w:p>
    <w:p>
      <w:pPr>
        <w:spacing w:line="360" w:lineRule="auto"/>
        <w:ind w:firstLine="560" w:firstLineChars="200"/>
        <w:jc w:val="left"/>
        <w:rPr>
          <w:rFonts w:hint="eastAsia" w:ascii="宋体" w:hAnsi="宋体" w:eastAsia="宋体" w:cs="宋体"/>
          <w:color w:val="auto"/>
          <w:szCs w:val="21"/>
          <w:highlight w:val="none"/>
        </w:rPr>
      </w:pPr>
      <w:bookmarkStart w:id="1524" w:name="_Toc247431439"/>
      <w:bookmarkStart w:id="1525" w:name="_Toc239510305"/>
      <w:bookmarkStart w:id="1526" w:name="_Toc247418279"/>
      <w:r>
        <w:rPr>
          <w:rFonts w:hint="eastAsia" w:ascii="宋体" w:hAnsi="宋体" w:eastAsia="宋体" w:cs="宋体"/>
          <w:color w:val="auto"/>
          <w:szCs w:val="21"/>
          <w:highlight w:val="none"/>
        </w:rPr>
        <w:t>（二）现场作业基本安全条件</w:t>
      </w:r>
      <w:bookmarkEnd w:id="1524"/>
      <w:bookmarkEnd w:id="1525"/>
      <w:bookmarkEnd w:id="1526"/>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包人应规定现场作业的基本安全条件，包括照明条件、通风条件、作业平台和通道条件、物料堆放条件、供电供水条件、吸烟点、休息点等，并对临边现场、道路上作业现场、立体交叉作业现场、地面坑洞和沟道、夜间作业现场等的基本安全条件做出规定。</w:t>
      </w:r>
    </w:p>
    <w:p>
      <w:pPr>
        <w:spacing w:line="360" w:lineRule="auto"/>
        <w:ind w:firstLine="560" w:firstLineChars="200"/>
        <w:rPr>
          <w:rFonts w:hint="eastAsia" w:ascii="宋体" w:hAnsi="宋体" w:eastAsia="宋体" w:cs="宋体"/>
          <w:color w:val="auto"/>
          <w:szCs w:val="21"/>
          <w:highlight w:val="none"/>
        </w:rPr>
      </w:pPr>
      <w:bookmarkStart w:id="1527" w:name="_Toc247431440"/>
      <w:bookmarkStart w:id="1528" w:name="_Toc239510306"/>
      <w:bookmarkStart w:id="1529" w:name="_Toc247418280"/>
      <w:bookmarkStart w:id="1530" w:name="_Toc532375715"/>
      <w:r>
        <w:rPr>
          <w:rFonts w:hint="eastAsia" w:ascii="宋体" w:hAnsi="宋体" w:eastAsia="宋体" w:cs="宋体"/>
          <w:color w:val="auto"/>
          <w:szCs w:val="21"/>
          <w:highlight w:val="none"/>
        </w:rPr>
        <w:t>十五、事故报告与应急救援</w:t>
      </w:r>
      <w:bookmarkEnd w:id="1527"/>
      <w:bookmarkEnd w:id="1528"/>
      <w:bookmarkEnd w:id="1529"/>
      <w:bookmarkEnd w:id="1530"/>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1．承包人应制定对于未遂事故及以上级别的安全事件和事故，定期报送安全月度快报、季报、年报和各种专项事故报告等。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2．承包人应建立安全事故统计记录、未遂事故统计记录、违章统计记录，并根据统计情况进行分析，并就分析结果制定相应的预防措施。</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3．承包人应建立事故应急救援机制，明确事故处置的基本原则，即现场发生事故时，首先抢救生命，向救援组织报警，并采取措施限制事故扩大。</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4．承包人应建立相应的应急响应组织，以便能迅速处理突发意外。</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5．承包人应建立专项应急响应预案，包括重大人身伤亡事故的救护预案、火灾响应预案、“四防”预案（防风、防冻、防雷、防暴雨）、重大疫病防护预案、环境污染防护预案、地质灾害防护预案等。</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6．承包人应对应急预案进行适当演练，保证应急预案的可操作性。</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7．在工地的其他施工单位发生重大事故时，承包人应无条件立即配合、支持事故抢险。</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8．承包人必须为事故处置支付各项费用，包括受伤者的抚恤、补偿等费用，并按合同要求赔偿对发包人造成的损失。</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9．由于发包人原因而造成的事故，发包人应负责按事故的具体损失情况给予承包人经济赔偿。</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10．涉及承包人员工的伤害事故，承包人除要报告发包人委托的监理公司外，还应负责按照国家、行业和本单位上级公司的要求，上报事故。</w:t>
      </w:r>
    </w:p>
    <w:p>
      <w:pPr>
        <w:spacing w:line="360" w:lineRule="auto"/>
        <w:ind w:firstLine="560" w:firstLineChars="200"/>
        <w:rPr>
          <w:rFonts w:hint="eastAsia" w:ascii="宋体" w:hAnsi="宋体" w:eastAsia="宋体" w:cs="宋体"/>
          <w:color w:val="auto"/>
          <w:szCs w:val="21"/>
          <w:highlight w:val="none"/>
        </w:rPr>
      </w:pPr>
      <w:bookmarkStart w:id="1531" w:name="_Toc239510307"/>
      <w:bookmarkStart w:id="1532" w:name="_Toc247431441"/>
      <w:bookmarkStart w:id="1533" w:name="_Toc247418281"/>
      <w:bookmarkStart w:id="1534" w:name="_Toc532375716"/>
      <w:r>
        <w:rPr>
          <w:rFonts w:hint="eastAsia" w:ascii="宋体" w:hAnsi="宋体" w:eastAsia="宋体" w:cs="宋体"/>
          <w:color w:val="auto"/>
          <w:szCs w:val="21"/>
          <w:highlight w:val="none"/>
        </w:rPr>
        <w:t>十六、安全业绩考核</w:t>
      </w:r>
      <w:bookmarkEnd w:id="1531"/>
      <w:bookmarkEnd w:id="1532"/>
      <w:bookmarkEnd w:id="1533"/>
      <w:bookmarkEnd w:id="1534"/>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为了落实安全管理的责任，承包人在施工过程中发生安全事故时，承包人除应按国家有关规定承担责任和处罚外，发包人还将按照以下标准进行考核：</w:t>
      </w:r>
    </w:p>
    <w:tbl>
      <w:tblPr>
        <w:tblStyle w:val="60"/>
        <w:tblW w:w="7005" w:type="dxa"/>
        <w:jc w:val="center"/>
        <w:tblLayout w:type="fixed"/>
        <w:tblCellMar>
          <w:top w:w="0" w:type="dxa"/>
          <w:left w:w="0" w:type="dxa"/>
          <w:bottom w:w="0" w:type="dxa"/>
          <w:right w:w="0" w:type="dxa"/>
        </w:tblCellMar>
      </w:tblPr>
      <w:tblGrid>
        <w:gridCol w:w="3240"/>
        <w:gridCol w:w="3765"/>
      </w:tblGrid>
      <w:tr>
        <w:tblPrEx>
          <w:tblCellMar>
            <w:top w:w="0" w:type="dxa"/>
            <w:left w:w="0" w:type="dxa"/>
            <w:bottom w:w="0" w:type="dxa"/>
            <w:right w:w="0" w:type="dxa"/>
          </w:tblCellMar>
        </w:tblPrEx>
        <w:trPr>
          <w:trHeight w:val="18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事件类型</w:t>
            </w:r>
          </w:p>
        </w:tc>
        <w:tc>
          <w:tcPr>
            <w:tcW w:w="376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违约金额</w:t>
            </w:r>
          </w:p>
        </w:tc>
      </w:tr>
      <w:tr>
        <w:tblPrEx>
          <w:tblCellMar>
            <w:top w:w="0" w:type="dxa"/>
            <w:left w:w="0" w:type="dxa"/>
            <w:bottom w:w="0" w:type="dxa"/>
            <w:right w:w="0" w:type="dxa"/>
          </w:tblCellMar>
        </w:tblPrEx>
        <w:trPr>
          <w:trHeight w:val="281"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较大事故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签约合同价</w:t>
            </w:r>
            <w:r>
              <w:rPr>
                <w:rFonts w:hint="eastAsia" w:ascii="宋体" w:hAnsi="宋体" w:eastAsia="宋体" w:cs="宋体"/>
                <w:color w:val="auto"/>
                <w:szCs w:val="21"/>
                <w:highlight w:val="none"/>
              </w:rPr>
              <w:t>的0.5‰</w:t>
            </w:r>
          </w:p>
        </w:tc>
      </w:tr>
      <w:tr>
        <w:tblPrEx>
          <w:tblCellMar>
            <w:top w:w="0" w:type="dxa"/>
            <w:left w:w="0" w:type="dxa"/>
            <w:bottom w:w="0" w:type="dxa"/>
            <w:right w:w="0" w:type="dxa"/>
          </w:tblCellMar>
        </w:tblPrEx>
        <w:trPr>
          <w:trHeight w:val="274"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签约合同价的2‰</w:t>
            </w:r>
          </w:p>
        </w:tc>
      </w:tr>
      <w:tr>
        <w:tblPrEx>
          <w:tblCellMar>
            <w:top w:w="0" w:type="dxa"/>
            <w:left w:w="0" w:type="dxa"/>
            <w:bottom w:w="0" w:type="dxa"/>
            <w:right w:w="0" w:type="dxa"/>
          </w:tblCellMar>
        </w:tblPrEx>
        <w:trPr>
          <w:trHeight w:val="138" w:hRule="atLeast"/>
          <w:jc w:val="center"/>
        </w:trPr>
        <w:tc>
          <w:tcPr>
            <w:tcW w:w="324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特别重大事故</w:t>
            </w:r>
          </w:p>
        </w:tc>
        <w:tc>
          <w:tcPr>
            <w:tcW w:w="3765" w:type="dxa"/>
            <w:tcBorders>
              <w:top w:val="single" w:color="auto" w:sz="8" w:space="0"/>
              <w:left w:val="nil"/>
              <w:bottom w:val="single" w:color="auto" w:sz="8" w:space="0"/>
              <w:right w:val="single" w:color="auto" w:sz="8" w:space="0"/>
            </w:tcBorders>
            <w:vAlign w:val="center"/>
          </w:tcPr>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签约合同价的4‰</w:t>
            </w:r>
          </w:p>
        </w:tc>
      </w:tr>
    </w:tbl>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（1）较大事故，是指造成3人以上10人以下死亡，或者10人以上50人以下重伤，或者1000万元以上5000万元以下直接经济损失的事故；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（2）重大事故，是指造成10人以上30人以下死亡，或者50人以上100人以下重伤，或者5000万元以上1亿元以下直接经济损失的事故；</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（3）特别重大事故，是指造成30人以上死亡，或者100人以上重伤（包括急性工业中毒，下同），或者1亿元以上直接经济损失的事故；</w:t>
      </w:r>
    </w:p>
    <w:p>
      <w:pPr>
        <w:spacing w:line="276"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（4）所称的“以上”包括本数，所称的“以下”不包括本数。</w:t>
      </w:r>
    </w:p>
    <w:p>
      <w:pPr>
        <w:spacing w:line="276"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发包人委托的监理公司负责对承包人的安全业绩进行考核。每次合同支付前，承包人提交自我安全业绩评估报告，然后交发包人委托的监理公司评价。发包人委托的监理公司在签署评价意见后，将作为合同支付依据之一，同时也作为是否可接受承包人再次参加发包人项目投标的依据之一。 </w:t>
      </w:r>
    </w:p>
    <w:p>
      <w:pPr>
        <w:spacing w:line="276" w:lineRule="auto"/>
        <w:ind w:firstLine="560" w:firstLineChars="200"/>
        <w:rPr>
          <w:rFonts w:hint="eastAsia" w:ascii="宋体" w:hAnsi="宋体" w:eastAsia="宋体" w:cs="宋体"/>
          <w:color w:val="auto"/>
          <w:szCs w:val="21"/>
          <w:highlight w:val="none"/>
        </w:rPr>
      </w:pPr>
      <w:bookmarkStart w:id="1535" w:name="_Toc239510308"/>
      <w:bookmarkStart w:id="1536" w:name="_Toc532375717"/>
      <w:bookmarkStart w:id="1537" w:name="_Toc247431442"/>
      <w:bookmarkStart w:id="1538" w:name="_Toc247418282"/>
      <w:r>
        <w:rPr>
          <w:rFonts w:hint="eastAsia" w:ascii="宋体" w:hAnsi="宋体" w:eastAsia="宋体" w:cs="宋体"/>
          <w:color w:val="auto"/>
          <w:szCs w:val="21"/>
          <w:highlight w:val="none"/>
        </w:rPr>
        <w:t>十七、协议条款的修订</w:t>
      </w:r>
      <w:bookmarkEnd w:id="1535"/>
      <w:bookmarkEnd w:id="1536"/>
      <w:bookmarkEnd w:id="1537"/>
      <w:bookmarkEnd w:id="1538"/>
    </w:p>
    <w:p>
      <w:pPr>
        <w:spacing w:line="276"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在项目实施过程中，经双方友好协商，本协议的有关条款也可做出相应的修改。</w:t>
      </w:r>
    </w:p>
    <w:p>
      <w:pPr>
        <w:spacing w:line="276"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本工程安全管理协议，由发包人、承包人双方在施工承包合同签订后7天内共同签署，作为施工合同附件。</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  包  人（</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u w:val="single"/>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或其委托代理人（签名）：</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pPr>
        <w:spacing w:line="360" w:lineRule="auto"/>
        <w:ind w:firstLine="560" w:firstLineChars="200"/>
        <w:jc w:val="left"/>
        <w:rPr>
          <w:rFonts w:hint="eastAsia" w:ascii="宋体" w:hAnsi="宋体" w:eastAsia="宋体" w:cs="宋体"/>
          <w:color w:val="auto"/>
          <w:szCs w:val="21"/>
          <w:highlight w:val="none"/>
        </w:rPr>
      </w:pP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承  包  人（</w:t>
      </w:r>
      <w:r>
        <w:rPr>
          <w:rFonts w:hint="eastAsia" w:ascii="宋体" w:hAnsi="宋体" w:eastAsia="宋体" w:cs="宋体"/>
          <w:color w:val="auto"/>
          <w:szCs w:val="21"/>
          <w:highlight w:val="none"/>
          <w:lang w:val="en-US" w:eastAsia="zh-CN"/>
        </w:rPr>
        <w:t>单位</w:t>
      </w:r>
      <w:r>
        <w:rPr>
          <w:rFonts w:hint="eastAsia" w:ascii="宋体" w:hAnsi="宋体" w:eastAsia="宋体" w:cs="宋体"/>
          <w:color w:val="auto"/>
          <w:szCs w:val="21"/>
          <w:highlight w:val="none"/>
        </w:rPr>
        <w:t>公章）：</w:t>
      </w:r>
      <w:r>
        <w:rPr>
          <w:rFonts w:hint="eastAsia" w:ascii="宋体" w:hAnsi="宋体" w:eastAsia="宋体" w:cs="宋体"/>
          <w:color w:val="auto"/>
          <w:szCs w:val="21"/>
          <w:highlight w:val="none"/>
          <w:u w:val="single"/>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法定代表人（签名）：</w:t>
      </w:r>
      <w:r>
        <w:rPr>
          <w:rFonts w:hint="eastAsia" w:ascii="宋体" w:hAnsi="宋体" w:eastAsia="宋体" w:cs="宋体"/>
          <w:color w:val="auto"/>
          <w:szCs w:val="21"/>
          <w:highlight w:val="none"/>
          <w:u w:val="single"/>
        </w:rPr>
        <w:t xml:space="preserve">                       </w:t>
      </w:r>
    </w:p>
    <w:p>
      <w:pPr>
        <w:spacing w:line="360" w:lineRule="auto"/>
        <w:ind w:firstLine="56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或其委托代理人（签名）：</w:t>
      </w:r>
      <w:r>
        <w:rPr>
          <w:rFonts w:hint="eastAsia" w:ascii="宋体" w:hAnsi="宋体" w:eastAsia="宋体" w:cs="宋体"/>
          <w:color w:val="auto"/>
          <w:szCs w:val="21"/>
          <w:highlight w:val="none"/>
          <w:u w:val="single"/>
        </w:rPr>
        <w:t xml:space="preserve">                   </w:t>
      </w:r>
    </w:p>
    <w:p>
      <w:pPr>
        <w:snapToGri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br w:type="page"/>
      </w: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p>
    <w:p>
      <w:pPr>
        <w:jc w:val="center"/>
        <w:rPr>
          <w:rFonts w:hint="eastAsia"/>
          <w:color w:val="auto"/>
          <w:sz w:val="44"/>
          <w:szCs w:val="44"/>
          <w:highlight w:val="none"/>
        </w:rPr>
      </w:pPr>
      <w:r>
        <w:rPr>
          <w:rFonts w:hint="eastAsia" w:ascii="宋体" w:hAnsi="宋体" w:eastAsia="宋体" w:cs="宋体"/>
          <w:color w:val="auto"/>
          <w:szCs w:val="21"/>
          <w:highlight w:val="none"/>
          <w:lang w:val="en-US" w:eastAsia="zh-CN"/>
        </w:rPr>
        <w:t>农民工工资</w:t>
      </w:r>
      <w:r>
        <w:rPr>
          <w:rFonts w:hint="eastAsia" w:ascii="宋体" w:hAnsi="宋体" w:eastAsia="宋体" w:cs="宋体"/>
          <w:color w:val="auto"/>
          <w:szCs w:val="21"/>
          <w:highlight w:val="none"/>
        </w:rPr>
        <w:t>补充协议</w:t>
      </w:r>
    </w:p>
    <w:p>
      <w:pPr>
        <w:jc w:val="both"/>
        <w:rPr>
          <w:rFonts w:hint="eastAsia" w:ascii="宋体" w:hAnsi="宋体" w:eastAsia="宋体" w:cs="宋体"/>
          <w:color w:val="auto"/>
          <w:szCs w:val="21"/>
          <w:highlight w:val="none"/>
          <w:lang w:val="en-US" w:eastAsia="zh-CN"/>
        </w:rPr>
      </w:pPr>
    </w:p>
    <w:p>
      <w:pPr>
        <w:spacing w:line="360" w:lineRule="auto"/>
        <w:ind w:firstLine="560" w:firstLineChars="200"/>
        <w:jc w:val="left"/>
        <w:rPr>
          <w:rFonts w:hint="default"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甲方:</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 xml:space="preserve">            </w:t>
      </w:r>
    </w:p>
    <w:p>
      <w:pPr>
        <w:spacing w:line="360" w:lineRule="auto"/>
        <w:ind w:firstLine="560" w:firstLineChars="200"/>
        <w:jc w:val="left"/>
        <w:rPr>
          <w:rFonts w:hint="default" w:eastAsiaTheme="minorEastAsia"/>
          <w:color w:val="auto"/>
          <w:sz w:val="28"/>
          <w:szCs w:val="28"/>
          <w:highlight w:val="none"/>
          <w:u w:val="single"/>
          <w:lang w:val="en-US" w:eastAsia="zh-CN"/>
        </w:rPr>
      </w:pPr>
      <w:r>
        <w:rPr>
          <w:rFonts w:hint="eastAsia" w:ascii="宋体" w:hAnsi="宋体" w:eastAsia="宋体" w:cs="宋体"/>
          <w:color w:val="auto"/>
          <w:szCs w:val="21"/>
          <w:highlight w:val="none"/>
        </w:rPr>
        <w:t>乙方:</w:t>
      </w:r>
      <w:r>
        <w:rPr>
          <w:rFonts w:hint="eastAsia" w:ascii="宋体" w:hAnsi="宋体" w:eastAsia="宋体" w:cs="宋体"/>
          <w:color w:val="auto"/>
          <w:szCs w:val="21"/>
          <w:highlight w:val="none"/>
          <w:u w:val="single"/>
          <w:lang w:val="en-US" w:eastAsia="zh-CN"/>
        </w:rPr>
        <w:t xml:space="preserve">                          </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甲乙双方于</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日就</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项目(以下简称“本项目”)签订了《建设工程施工合同》。施工合同约定，工程进度款按节点支付，农民工工资按实支付。故未明确农民工工资专用账户信息、人工费占工程款的支付比例:</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按渝建发(2017)13号文第四条规定:“建设单位应按照合同约定及时确认施工总承包企业已完工产值，以不低于当月已完工产值的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作为当月人工费(工资款)，单独拨付至施工总承包企业的工资专用账户对应项目中(若人工费数额大于当月已完工产值的</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时，按实际人工费数额拨付:若人工费数额小于当月已完工产值的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时，按当月已完工产值的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拨付)。”经协商一致双方签订补充协议如下:</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首次工程款人工费支付比例为经审核应支付累计产值的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，以后每月按实名制管理办法核定当月人工费，并与经审核的当月产值的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进行比较，若人工费数额大于当月已完工产值的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时，按实际人工费数额拨付;若人工费数额小于当月已完工产值的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时，按当月已完工产值的</w:t>
      </w:r>
      <w:r>
        <w:rPr>
          <w:rFonts w:hint="eastAsia" w:ascii="宋体" w:hAnsi="宋体" w:eastAsia="宋体" w:cs="宋体"/>
          <w:color w:val="auto"/>
          <w:szCs w:val="21"/>
          <w:highlight w:val="none"/>
          <w:u w:val="single"/>
          <w:lang w:val="en-US" w:eastAsia="zh-CN"/>
        </w:rPr>
        <w:t xml:space="preserve">  </w:t>
      </w:r>
      <w:r>
        <w:rPr>
          <w:rFonts w:hint="eastAsia" w:ascii="宋体" w:hAnsi="宋体" w:cs="宋体"/>
          <w:color w:val="auto"/>
          <w:szCs w:val="21"/>
          <w:highlight w:val="none"/>
          <w:u w:val="single"/>
          <w:lang w:val="en-US" w:eastAsia="zh-CN"/>
        </w:rPr>
        <w:t>25%</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拨付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每月25日前拨付农民工工资，如遇节假日或周末提前发放</w:t>
      </w:r>
      <w:r>
        <w:rPr>
          <w:rFonts w:hint="eastAsia" w:ascii="宋体" w:hAnsi="宋体" w:eastAsia="宋体" w:cs="宋体"/>
          <w:color w:val="auto"/>
          <w:szCs w:val="21"/>
          <w:highlight w:val="none"/>
        </w:rPr>
        <w:t>。</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农民工工资专用账户信息:账户名:</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;开户行:</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该补充协议一式捌份，甲乙双方各执肆份，作为《建设工程施工合同》的组成部分，双方签署即生效。</w:t>
      </w: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p>
    <w:p>
      <w:pPr>
        <w:ind w:firstLine="560" w:firstLineChars="200"/>
        <w:rPr>
          <w:rFonts w:hint="eastAsia"/>
          <w:color w:val="auto"/>
          <w:sz w:val="28"/>
          <w:szCs w:val="28"/>
          <w:highlight w:val="none"/>
        </w:rPr>
      </w:pP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发包人：                            承包人：</w:t>
      </w:r>
    </w:p>
    <w:p>
      <w:pPr>
        <w:spacing w:line="360" w:lineRule="auto"/>
        <w:ind w:firstLine="56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法定代表人或委托代理人:</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法定代表人或委托代理人:</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统一社会信用代码：                   统一社会信用代码：</w:t>
      </w:r>
    </w:p>
    <w:p>
      <w:pPr>
        <w:spacing w:line="360" w:lineRule="auto"/>
        <w:ind w:firstLine="56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纳税人识别号：                       纳税人识别号：</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地址                                 地址</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电话                                 电话</w:t>
      </w:r>
    </w:p>
    <w:p>
      <w:pPr>
        <w:spacing w:line="360" w:lineRule="auto"/>
        <w:ind w:firstLine="560" w:firstLineChars="2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银行账户                             银行账户</w:t>
      </w:r>
    </w:p>
    <w:p>
      <w:pPr>
        <w:spacing w:line="360" w:lineRule="auto"/>
        <w:ind w:firstLine="56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账号                                 账号</w:t>
      </w:r>
    </w:p>
    <w:p>
      <w:pPr>
        <w:spacing w:line="360" w:lineRule="auto"/>
        <w:ind w:firstLine="56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时  间：     年    月    日          时  间：   年    月   日</w:t>
      </w: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p>
    <w:p>
      <w:pPr>
        <w:spacing w:line="48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农民工工资</w:t>
      </w:r>
      <w:r>
        <w:rPr>
          <w:rFonts w:hint="eastAsia" w:ascii="宋体" w:hAnsi="宋体" w:eastAsia="宋体" w:cs="宋体"/>
          <w:color w:val="auto"/>
          <w:szCs w:val="21"/>
          <w:highlight w:val="none"/>
        </w:rPr>
        <w:t>补充协议附件1：</w:t>
      </w:r>
    </w:p>
    <w:p>
      <w:pPr>
        <w:widowControl/>
        <w:snapToGrid w:val="0"/>
        <w:spacing w:after="100" w:afterAutospacing="1" w:line="48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关于农民工工资发放情况的说明表</w:t>
      </w:r>
    </w:p>
    <w:tbl>
      <w:tblPr>
        <w:tblStyle w:val="60"/>
        <w:tblW w:w="84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37" w:type="dxa"/>
            <w:gridSpan w:val="2"/>
          </w:tcPr>
          <w:p>
            <w:pPr>
              <w:widowControl/>
              <w:snapToGrid w:val="0"/>
              <w:spacing w:after="100" w:afterAutospacing="1" w:line="40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2236" w:type="dxa"/>
          </w:tcPr>
          <w:p>
            <w:pPr>
              <w:widowControl/>
              <w:snapToGrid w:val="0"/>
              <w:spacing w:after="100" w:afterAutospacing="1"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施工单位：</w:t>
            </w:r>
          </w:p>
        </w:tc>
        <w:tc>
          <w:tcPr>
            <w:tcW w:w="6201" w:type="dxa"/>
          </w:tcPr>
          <w:p>
            <w:pPr>
              <w:widowControl/>
              <w:snapToGrid w:val="0"/>
              <w:spacing w:after="100" w:afterAutospacing="1" w:line="40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6" w:type="dxa"/>
          </w:tcPr>
          <w:p>
            <w:pPr>
              <w:widowControl/>
              <w:snapToGrid w:val="0"/>
              <w:spacing w:after="100" w:afterAutospacing="1" w:line="40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w:t>
            </w:r>
          </w:p>
        </w:tc>
        <w:tc>
          <w:tcPr>
            <w:tcW w:w="6201" w:type="dxa"/>
          </w:tcPr>
          <w:p>
            <w:pPr>
              <w:widowControl/>
              <w:snapToGrid w:val="0"/>
              <w:spacing w:after="100" w:afterAutospacing="1" w:line="400" w:lineRule="exact"/>
              <w:rPr>
                <w:rFonts w:hint="eastAsia" w:ascii="宋体" w:hAnsi="宋体" w:eastAsia="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5" w:hRule="atLeast"/>
          <w:jc w:val="center"/>
        </w:trPr>
        <w:tc>
          <w:tcPr>
            <w:tcW w:w="8437" w:type="dxa"/>
            <w:gridSpan w:val="2"/>
          </w:tcPr>
          <w:p>
            <w:pPr>
              <w:widowControl/>
              <w:snapToGrid w:val="0"/>
              <w:spacing w:after="100" w:afterAutospacing="1" w:line="400" w:lineRule="exact"/>
              <w:rPr>
                <w:rFonts w:hint="eastAsia" w:ascii="宋体" w:hAnsi="宋体" w:eastAsia="宋体" w:cs="宋体"/>
                <w:color w:val="auto"/>
                <w:kern w:val="0"/>
                <w:szCs w:val="21"/>
                <w:highlight w:val="none"/>
                <w:u w:val="single"/>
              </w:rPr>
            </w:pPr>
          </w:p>
          <w:p>
            <w:pPr>
              <w:widowControl/>
              <w:snapToGrid w:val="0"/>
              <w:spacing w:after="100" w:afterAutospacing="1"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（项目业主单位名称）：</w:t>
            </w:r>
          </w:p>
          <w:p>
            <w:pPr>
              <w:widowControl/>
              <w:snapToGrid w:val="0"/>
              <w:spacing w:after="100" w:afterAutospacing="1" w:line="400" w:lineRule="exac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我单位负责承建的（工程名称）无拖欠农民工资的情况，贵单位先期支付我单位的工程款已优先用于支付了农民工工资，农民工工资全部按时足额进行了发放，请贵单位予以审核。</w:t>
            </w:r>
          </w:p>
          <w:p>
            <w:pPr>
              <w:pStyle w:val="2"/>
              <w:rPr>
                <w:rFonts w:hint="eastAsia" w:ascii="宋体" w:hAnsi="宋体" w:eastAsia="宋体" w:cs="宋体"/>
                <w:color w:val="auto"/>
                <w:highlight w:val="none"/>
                <w:lang w:eastAsia="zh-CN"/>
              </w:rPr>
            </w:pPr>
          </w:p>
          <w:p>
            <w:pPr>
              <w:widowControl/>
              <w:snapToGrid w:val="0"/>
              <w:spacing w:after="100" w:afterAutospacing="1" w:line="400" w:lineRule="exact"/>
              <w:ind w:firstLine="1680" w:firstLineChars="600"/>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施工单位项目负责人签名（加盖项目章）：</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2236" w:type="dxa"/>
            <w:vAlign w:val="center"/>
          </w:tcPr>
          <w:p>
            <w:pPr>
              <w:widowControl/>
              <w:snapToGrid w:val="0"/>
              <w:spacing w:after="100" w:afterAutospacing="1"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监理单位意见：</w:t>
            </w:r>
          </w:p>
        </w:tc>
        <w:tc>
          <w:tcPr>
            <w:tcW w:w="6201" w:type="dxa"/>
          </w:tcPr>
          <w:p>
            <w:pPr>
              <w:widowControl/>
              <w:snapToGrid w:val="0"/>
              <w:spacing w:after="100" w:afterAutospacing="1" w:line="400" w:lineRule="exact"/>
              <w:rPr>
                <w:rFonts w:hint="eastAsia" w:ascii="宋体" w:hAnsi="宋体" w:eastAsia="宋体" w:cs="宋体"/>
                <w:color w:val="auto"/>
                <w:kern w:val="0"/>
                <w:szCs w:val="21"/>
                <w:highlight w:val="none"/>
                <w:u w:val="single"/>
              </w:rPr>
            </w:pPr>
          </w:p>
          <w:p>
            <w:pPr>
              <w:widowControl/>
              <w:snapToGrid w:val="0"/>
              <w:spacing w:after="100" w:afterAutospacing="1" w:line="40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总监签名并加盖项目章：</w:t>
            </w:r>
            <w:r>
              <w:rPr>
                <w:rFonts w:hint="eastAsia" w:ascii="宋体" w:hAnsi="宋体" w:eastAsia="宋体" w:cs="宋体"/>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jc w:val="center"/>
        </w:trPr>
        <w:tc>
          <w:tcPr>
            <w:tcW w:w="2236" w:type="dxa"/>
            <w:vAlign w:val="center"/>
          </w:tcPr>
          <w:p>
            <w:pPr>
              <w:widowControl/>
              <w:snapToGrid w:val="0"/>
              <w:spacing w:after="100" w:afterAutospacing="1"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工程部项目负责人意见：</w:t>
            </w:r>
          </w:p>
        </w:tc>
        <w:tc>
          <w:tcPr>
            <w:tcW w:w="6201" w:type="dxa"/>
          </w:tcPr>
          <w:p>
            <w:pPr>
              <w:widowControl/>
              <w:snapToGrid w:val="0"/>
              <w:spacing w:after="100" w:afterAutospacing="1" w:line="400" w:lineRule="exact"/>
              <w:rPr>
                <w:rFonts w:hint="eastAsia" w:ascii="宋体" w:hAnsi="宋体" w:eastAsia="宋体" w:cs="宋体"/>
                <w:color w:val="auto"/>
                <w:kern w:val="0"/>
                <w:szCs w:val="21"/>
                <w:highlight w:val="none"/>
                <w:u w:val="single"/>
              </w:rPr>
            </w:pPr>
          </w:p>
          <w:p>
            <w:pPr>
              <w:widowControl/>
              <w:snapToGrid w:val="0"/>
              <w:spacing w:after="100" w:afterAutospacing="1" w:line="400" w:lineRule="exac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项目负责人签名：</w:t>
            </w:r>
            <w:r>
              <w:rPr>
                <w:rFonts w:hint="eastAsia" w:ascii="宋体" w:hAnsi="宋体" w:eastAsia="宋体" w:cs="宋体"/>
                <w:color w:val="auto"/>
                <w:kern w:val="0"/>
                <w:szCs w:val="21"/>
                <w:highlight w:val="none"/>
                <w:u w:val="single"/>
              </w:rPr>
              <w:t xml:space="preserve">        </w:t>
            </w:r>
          </w:p>
        </w:tc>
      </w:tr>
    </w:tbl>
    <w:p>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：低价风险担保保函示范文本（独立保函）（如有）</w:t>
      </w:r>
    </w:p>
    <w:p>
      <w:pPr>
        <w:spacing w:line="360" w:lineRule="auto"/>
        <w:jc w:val="center"/>
        <w:rPr>
          <w:rFonts w:hint="eastAsia" w:ascii="宋体" w:hAnsi="宋体" w:eastAsia="宋体" w:cs="宋体"/>
          <w:b/>
          <w:bCs/>
          <w:color w:val="auto"/>
          <w:szCs w:val="21"/>
          <w:highlight w:val="none"/>
        </w:rPr>
      </w:pP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低价风险担保保函示范文本</w:t>
      </w:r>
    </w:p>
    <w:p>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（独立保函）</w:t>
      </w:r>
    </w:p>
    <w:p>
      <w:pPr>
        <w:wordWrap w:val="0"/>
        <w:spacing w:line="360" w:lineRule="auto"/>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编号：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申请人：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地址：</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受益人：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地址：</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开立人：</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地址：</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（受益人名称）： </w:t>
      </w:r>
    </w:p>
    <w:p>
      <w:pPr>
        <w:pStyle w:val="23"/>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鉴于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（以下简称“申请人”）于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日参加</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（以下简称“受益人”）的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（项目名称）的投标，收到受益人于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日签发的</w:t>
      </w:r>
      <w:r>
        <w:rPr>
          <w:rFonts w:hint="eastAsia" w:ascii="宋体" w:hAnsi="宋体" w:eastAsia="宋体" w:cs="宋体"/>
          <w:color w:val="auto"/>
          <w:sz w:val="28"/>
          <w:szCs w:val="28"/>
          <w:highlight w:val="none"/>
          <w:lang w:eastAsia="zh-CN"/>
        </w:rPr>
        <w:t>成交通知书</w:t>
      </w:r>
      <w:r>
        <w:rPr>
          <w:rFonts w:hint="eastAsia" w:ascii="宋体" w:hAnsi="宋体" w:eastAsia="宋体" w:cs="宋体"/>
          <w:color w:val="auto"/>
          <w:sz w:val="28"/>
          <w:szCs w:val="28"/>
          <w:highlight w:val="none"/>
        </w:rPr>
        <w:t>，成为该项目的中标人。基于申请人的请求，我方同意就申请人履行该项目</w:t>
      </w:r>
      <w:r>
        <w:rPr>
          <w:rFonts w:hint="eastAsia" w:ascii="宋体" w:hAnsi="宋体" w:eastAsia="宋体" w:cs="宋体"/>
          <w:color w:val="auto"/>
          <w:sz w:val="28"/>
          <w:szCs w:val="28"/>
          <w:highlight w:val="none"/>
          <w:lang w:eastAsia="zh-CN"/>
        </w:rPr>
        <w:t>成交通知书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和</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约定的义务，向贵方提供不可撤销、不可转让的见索即付独立保函（以下简称“本保函”）。</w:t>
      </w:r>
    </w:p>
    <w:p>
      <w:pPr>
        <w:pStyle w:val="23"/>
        <w:numPr>
          <w:ilvl w:val="0"/>
          <w:numId w:val="17"/>
        </w:num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本保函担保范围：申请人未按照</w:t>
      </w:r>
      <w:r>
        <w:rPr>
          <w:rFonts w:hint="eastAsia" w:ascii="宋体" w:hAnsi="宋体" w:eastAsia="宋体" w:cs="宋体"/>
          <w:color w:val="auto"/>
          <w:sz w:val="28"/>
          <w:szCs w:val="28"/>
          <w:highlight w:val="none"/>
          <w:lang w:eastAsia="zh-CN"/>
        </w:rPr>
        <w:t>成交通知书</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磋商文件</w:t>
      </w:r>
      <w:r>
        <w:rPr>
          <w:rFonts w:hint="eastAsia" w:ascii="宋体" w:hAnsi="宋体" w:eastAsia="宋体" w:cs="宋体"/>
          <w:color w:val="auto"/>
          <w:sz w:val="28"/>
          <w:szCs w:val="28"/>
          <w:highlight w:val="none"/>
        </w:rPr>
        <w:t>和</w:t>
      </w:r>
      <w:r>
        <w:rPr>
          <w:rFonts w:hint="eastAsia" w:ascii="宋体" w:hAnsi="宋体" w:eastAsia="宋体" w:cs="宋体"/>
          <w:color w:val="auto"/>
          <w:sz w:val="28"/>
          <w:szCs w:val="28"/>
          <w:highlight w:val="none"/>
          <w:lang w:eastAsia="zh-CN"/>
        </w:rPr>
        <w:t>响应文件</w:t>
      </w:r>
      <w:r>
        <w:rPr>
          <w:rFonts w:hint="eastAsia" w:ascii="宋体" w:hAnsi="宋体" w:eastAsia="宋体" w:cs="宋体"/>
          <w:color w:val="auto"/>
          <w:sz w:val="28"/>
          <w:szCs w:val="28"/>
          <w:highlight w:val="none"/>
        </w:rPr>
        <w:t>约定签订合同或未按签订的合同约定履行相关义务，应当向贵方承担的违约责任和赔偿因此造成的损失、利息、律师费、诉讼费用等实现债权的费用。</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二、本保函担保金额最高不超过人民币（大写）</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三、本保函有效期自开立之日起至合同约定的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日止，最迟不超过</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日。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四、我方承诺，在收到受益人发来的书面付款通知后的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工作日内无条件支付，前述书面付款通知即为付款要求之单据，且应满足以下要求：</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（1）付款通知到达的日期在本保函的有效期内；</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（2）载明要求支付的金额；</w:t>
      </w:r>
    </w:p>
    <w:p>
      <w:pPr>
        <w:spacing w:line="360" w:lineRule="auto"/>
        <w:ind w:firstLine="560" w:firstLineChars="200"/>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rPr>
        <w:t>（3）载明申请人未按照</w:t>
      </w:r>
      <w:r>
        <w:rPr>
          <w:rFonts w:hint="eastAsia" w:ascii="宋体" w:hAnsi="宋体" w:cs="宋体"/>
          <w:color w:val="auto"/>
          <w:sz w:val="28"/>
          <w:szCs w:val="28"/>
          <w:highlight w:val="none"/>
          <w:lang w:eastAsia="zh-CN"/>
        </w:rPr>
        <w:t>成交通知书</w:t>
      </w:r>
      <w:r>
        <w:rPr>
          <w:rFonts w:hint="eastAsia" w:ascii="宋体" w:hAnsi="宋体" w:eastAsia="宋体" w:cs="宋体"/>
          <w:color w:val="auto"/>
          <w:sz w:val="28"/>
          <w:szCs w:val="28"/>
          <w:highlight w:val="none"/>
        </w:rPr>
        <w:t>、</w:t>
      </w:r>
      <w:r>
        <w:rPr>
          <w:rFonts w:hint="eastAsia" w:ascii="宋体" w:hAnsi="宋体" w:cs="宋体"/>
          <w:color w:val="auto"/>
          <w:sz w:val="28"/>
          <w:szCs w:val="28"/>
          <w:highlight w:val="none"/>
          <w:lang w:eastAsia="zh-CN"/>
        </w:rPr>
        <w:t>磋商文件</w:t>
      </w:r>
      <w:r>
        <w:rPr>
          <w:rFonts w:hint="eastAsia" w:ascii="宋体" w:hAnsi="宋体" w:eastAsia="宋体" w:cs="宋体"/>
          <w:color w:val="auto"/>
          <w:sz w:val="28"/>
          <w:szCs w:val="28"/>
          <w:highlight w:val="none"/>
        </w:rPr>
        <w:t>和</w:t>
      </w:r>
      <w:r>
        <w:rPr>
          <w:rFonts w:hint="eastAsia" w:ascii="宋体" w:hAnsi="宋体" w:cs="宋体"/>
          <w:color w:val="auto"/>
          <w:sz w:val="28"/>
          <w:szCs w:val="28"/>
          <w:highlight w:val="none"/>
          <w:lang w:eastAsia="zh-CN"/>
        </w:rPr>
        <w:t>响应文件</w:t>
      </w:r>
      <w:r>
        <w:rPr>
          <w:rFonts w:hint="eastAsia" w:ascii="宋体" w:hAnsi="宋体" w:eastAsia="宋体" w:cs="宋体"/>
          <w:color w:val="auto"/>
          <w:sz w:val="28"/>
          <w:szCs w:val="28"/>
          <w:highlight w:val="none"/>
        </w:rPr>
        <w:t>约定签订合同或违反合同义务的条款和内容；</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（4）付款通知中应声明不存在</w:t>
      </w:r>
      <w:r>
        <w:rPr>
          <w:rFonts w:hint="eastAsia" w:ascii="宋体" w:hAnsi="宋体" w:cs="宋体"/>
          <w:color w:val="auto"/>
          <w:sz w:val="28"/>
          <w:szCs w:val="28"/>
          <w:highlight w:val="none"/>
          <w:lang w:eastAsia="zh-CN"/>
        </w:rPr>
        <w:t>磋商文件</w:t>
      </w:r>
      <w:r>
        <w:rPr>
          <w:rFonts w:hint="eastAsia" w:ascii="宋体" w:hAnsi="宋体" w:eastAsia="宋体" w:cs="宋体"/>
          <w:color w:val="auto"/>
          <w:sz w:val="28"/>
          <w:szCs w:val="28"/>
          <w:highlight w:val="none"/>
        </w:rPr>
        <w:t>约定、合同文件约定或我国法律规定免除申请人或开立人支付责任的情形；</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（5）付款通知应在本保函有效期内到达的地址是：</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受益人发出的书面付款通知应由其为鉴明受益人法定代表人（负责人）或授权代理人签名加盖公章。</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五、本保函项下的权利不得转让，不得设定担保。贵方未经我方书面同意转让本保函或其项下任何权利，对我方不发生法律效力。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六、与本保函有关的合同不成立、不生效、无效、被撤销、被解除，不影响本保函的独立有效。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七、贵方应在本保函到期后的七个工作日内将本保函正本退回我方注销，但是不论贵方是否按此要求将本保函正本退回我方，我方在本保函项下的义务和责任均在保函有效期到期后自动消灭。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八、本保函适用的法律为中华人民共和国法律，争议裁判管辖地为中华人民共和国</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 xml:space="preserve">。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九、本保函自我方法定代表人或授权代表签名并加盖公章之日起生效。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开 立 人：                              （公章）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法定代表人（或授权代表）：              （签名）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地    址：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邮政编码：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电    话：                 </w:t>
      </w:r>
    </w:p>
    <w:p>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传    真：                 </w:t>
      </w:r>
    </w:p>
    <w:p>
      <w:pPr>
        <w:spacing w:line="360" w:lineRule="auto"/>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开立时间：      年      月</w:t>
      </w:r>
      <w:r>
        <w:rPr>
          <w:rFonts w:hint="eastAsia" w:ascii="宋体" w:hAnsi="宋体" w:eastAsia="宋体" w:cs="宋体"/>
          <w:color w:val="auto"/>
          <w:sz w:val="28"/>
          <w:szCs w:val="28"/>
          <w:highlight w:val="none"/>
          <w:lang w:val="en-US" w:eastAsia="zh-CN"/>
        </w:rPr>
        <w:t xml:space="preserve">      日</w:t>
      </w:r>
    </w:p>
    <w:p>
      <w:pPr>
        <w:spacing w:before="68" w:line="219" w:lineRule="auto"/>
        <w:ind w:left="220"/>
        <w:rPr>
          <w:rFonts w:hint="eastAsia" w:ascii="宋体" w:hAnsi="宋体" w:eastAsia="宋体" w:cs="宋体"/>
          <w:color w:val="auto"/>
          <w:sz w:val="21"/>
          <w:szCs w:val="21"/>
          <w:highlight w:val="none"/>
          <w:lang w:val="en-US"/>
        </w:rPr>
      </w:pPr>
      <w:bookmarkStart w:id="1539" w:name="招标文件05章工程量清单"/>
      <w:bookmarkEnd w:id="1539"/>
      <w:r>
        <w:rPr>
          <w:rFonts w:hint="eastAsia" w:ascii="宋体" w:hAnsi="宋体" w:eastAsia="宋体" w:cs="宋体"/>
          <w:color w:val="auto"/>
          <w:spacing w:val="-15"/>
          <w:sz w:val="21"/>
          <w:szCs w:val="21"/>
          <w:highlight w:val="none"/>
        </w:rPr>
        <w:t>附</w:t>
      </w:r>
      <w:r>
        <w:rPr>
          <w:rFonts w:hint="eastAsia" w:ascii="宋体" w:hAnsi="宋体" w:eastAsia="宋体" w:cs="宋体"/>
          <w:color w:val="auto"/>
          <w:spacing w:val="-11"/>
          <w:sz w:val="21"/>
          <w:szCs w:val="21"/>
          <w:highlight w:val="none"/>
        </w:rPr>
        <w:t xml:space="preserve">件 </w:t>
      </w:r>
      <w:r>
        <w:rPr>
          <w:rFonts w:hint="eastAsia" w:ascii="宋体" w:hAnsi="宋体" w:eastAsia="宋体" w:cs="宋体"/>
          <w:color w:val="auto"/>
          <w:spacing w:val="-11"/>
          <w:sz w:val="21"/>
          <w:szCs w:val="21"/>
          <w:highlight w:val="none"/>
          <w:lang w:val="en-US" w:eastAsia="zh-CN"/>
        </w:rPr>
        <w:t>10:</w:t>
      </w:r>
    </w:p>
    <w:p>
      <w:pPr>
        <w:spacing w:before="108" w:line="222" w:lineRule="auto"/>
        <w:ind w:left="2260"/>
        <w:rPr>
          <w:rFonts w:hint="eastAsia" w:ascii="宋体" w:hAnsi="宋体" w:eastAsia="宋体" w:cs="宋体"/>
          <w:color w:val="auto"/>
          <w:sz w:val="40"/>
          <w:szCs w:val="40"/>
          <w:highlight w:val="none"/>
        </w:rPr>
      </w:pPr>
      <w:r>
        <w:rPr>
          <w:rFonts w:hint="eastAsia" w:ascii="宋体" w:hAnsi="宋体" w:eastAsia="宋体" w:cs="宋体"/>
          <w:color w:val="auto"/>
          <w:spacing w:val="6"/>
          <w:sz w:val="40"/>
          <w:szCs w:val="40"/>
          <w:highlight w:val="none"/>
        </w:rPr>
        <w:t>项目</w:t>
      </w:r>
      <w:r>
        <w:rPr>
          <w:rFonts w:hint="eastAsia" w:ascii="宋体" w:hAnsi="宋体" w:eastAsia="宋体" w:cs="宋体"/>
          <w:color w:val="auto"/>
          <w:spacing w:val="4"/>
          <w:sz w:val="40"/>
          <w:szCs w:val="40"/>
          <w:highlight w:val="none"/>
        </w:rPr>
        <w:t>竣</w:t>
      </w:r>
      <w:r>
        <w:rPr>
          <w:rFonts w:hint="eastAsia" w:ascii="宋体" w:hAnsi="宋体" w:eastAsia="宋体" w:cs="宋体"/>
          <w:color w:val="auto"/>
          <w:spacing w:val="3"/>
          <w:sz w:val="40"/>
          <w:szCs w:val="40"/>
          <w:highlight w:val="none"/>
        </w:rPr>
        <w:t>工结算审计资料清单</w:t>
      </w:r>
    </w:p>
    <w:p>
      <w:pPr>
        <w:spacing w:before="152" w:line="420" w:lineRule="exact"/>
        <w:ind w:left="204"/>
        <w:rPr>
          <w:rFonts w:hint="eastAsia" w:ascii="宋体" w:hAnsi="宋体" w:eastAsia="宋体" w:cs="宋体"/>
          <w:color w:val="auto"/>
          <w:sz w:val="21"/>
          <w:szCs w:val="21"/>
          <w:highlight w:val="none"/>
        </w:rPr>
      </w:pPr>
      <w:r>
        <w:rPr>
          <w:rFonts w:hint="eastAsia" w:ascii="宋体" w:hAnsi="宋体" w:eastAsia="宋体" w:cs="宋体"/>
          <w:color w:val="auto"/>
          <w:spacing w:val="-11"/>
          <w:position w:val="16"/>
          <w:sz w:val="21"/>
          <w:szCs w:val="21"/>
          <w:highlight w:val="none"/>
        </w:rPr>
        <w:t>提</w:t>
      </w:r>
      <w:r>
        <w:rPr>
          <w:rFonts w:hint="eastAsia" w:ascii="宋体" w:hAnsi="宋体" w:eastAsia="宋体" w:cs="宋体"/>
          <w:color w:val="auto"/>
          <w:spacing w:val="-6"/>
          <w:position w:val="16"/>
          <w:sz w:val="21"/>
          <w:szCs w:val="21"/>
          <w:highlight w:val="none"/>
        </w:rPr>
        <w:t>供资料单位：</w:t>
      </w:r>
    </w:p>
    <w:p>
      <w:pPr>
        <w:spacing w:line="220" w:lineRule="auto"/>
        <w:ind w:left="207"/>
        <w:rPr>
          <w:rFonts w:hint="eastAsia" w:ascii="宋体" w:hAnsi="宋体" w:eastAsia="宋体" w:cs="宋体"/>
          <w:color w:val="auto"/>
          <w:sz w:val="21"/>
          <w:szCs w:val="21"/>
          <w:highlight w:val="none"/>
        </w:rPr>
      </w:pPr>
      <w:r>
        <w:rPr>
          <w:rFonts w:hint="eastAsia" w:ascii="宋体" w:hAnsi="宋体" w:eastAsia="宋体" w:cs="宋体"/>
          <w:color w:val="auto"/>
          <w:spacing w:val="-11"/>
          <w:sz w:val="21"/>
          <w:szCs w:val="21"/>
          <w:highlight w:val="none"/>
        </w:rPr>
        <w:t>项</w:t>
      </w:r>
      <w:r>
        <w:rPr>
          <w:rFonts w:hint="eastAsia" w:ascii="宋体" w:hAnsi="宋体" w:eastAsia="宋体" w:cs="宋体"/>
          <w:color w:val="auto"/>
          <w:spacing w:val="-9"/>
          <w:sz w:val="21"/>
          <w:szCs w:val="21"/>
          <w:highlight w:val="none"/>
        </w:rPr>
        <w:t>目名称：</w:t>
      </w:r>
    </w:p>
    <w:p>
      <w:pPr>
        <w:spacing w:before="169" w:line="220" w:lineRule="auto"/>
        <w:ind w:left="207"/>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郑重承诺：我单位提供</w:t>
      </w:r>
      <w:r>
        <w:rPr>
          <w:rFonts w:hint="eastAsia" w:ascii="宋体" w:hAnsi="宋体" w:eastAsia="宋体" w:cs="宋体"/>
          <w:color w:val="auto"/>
          <w:spacing w:val="-4"/>
          <w:sz w:val="21"/>
          <w:szCs w:val="21"/>
          <w:highlight w:val="none"/>
        </w:rPr>
        <w:t>的</w:t>
      </w:r>
      <w:r>
        <w:rPr>
          <w:rFonts w:hint="eastAsia" w:ascii="宋体" w:hAnsi="宋体" w:eastAsia="宋体" w:cs="宋体"/>
          <w:color w:val="auto"/>
          <w:spacing w:val="-3"/>
          <w:sz w:val="21"/>
          <w:szCs w:val="21"/>
          <w:highlight w:val="none"/>
        </w:rPr>
        <w:t>以下资料真实、合法、完整，今后补交的资料一律不作为审计的依据， 并</w:t>
      </w:r>
    </w:p>
    <w:p>
      <w:pPr>
        <w:spacing w:before="170" w:line="220" w:lineRule="auto"/>
        <w:ind w:left="203"/>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承担违背承诺引起的一切法律责任</w:t>
      </w:r>
      <w:r>
        <w:rPr>
          <w:rFonts w:hint="eastAsia" w:ascii="宋体" w:hAnsi="宋体" w:eastAsia="宋体" w:cs="宋体"/>
          <w:color w:val="auto"/>
          <w:sz w:val="21"/>
          <w:szCs w:val="21"/>
          <w:highlight w:val="none"/>
        </w:rPr>
        <w:t>。</w:t>
      </w:r>
    </w:p>
    <w:p>
      <w:pPr>
        <w:spacing w:line="66" w:lineRule="auto"/>
        <w:rPr>
          <w:rFonts w:hint="eastAsia" w:ascii="宋体" w:hAnsi="宋体" w:eastAsia="宋体" w:cs="宋体"/>
          <w:color w:val="auto"/>
          <w:sz w:val="2"/>
          <w:highlight w:val="none"/>
        </w:rPr>
      </w:pPr>
    </w:p>
    <w:tbl>
      <w:tblPr>
        <w:tblStyle w:val="249"/>
        <w:tblW w:w="9329"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2760"/>
        <w:gridCol w:w="2295"/>
        <w:gridCol w:w="1454"/>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697" w:type="dxa"/>
            <w:tcBorders>
              <w:left w:val="single" w:color="000000" w:sz="4" w:space="0"/>
              <w:right w:val="single" w:color="000000" w:sz="6" w:space="0"/>
            </w:tcBorders>
            <w:vAlign w:val="top"/>
          </w:tcPr>
          <w:p>
            <w:pPr>
              <w:spacing w:before="174" w:line="221" w:lineRule="auto"/>
              <w:ind w:left="14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序号</w:t>
            </w:r>
          </w:p>
        </w:tc>
        <w:tc>
          <w:tcPr>
            <w:tcW w:w="2760" w:type="dxa"/>
            <w:tcBorders>
              <w:left w:val="single" w:color="000000" w:sz="6" w:space="0"/>
              <w:right w:val="single" w:color="000000" w:sz="6" w:space="0"/>
            </w:tcBorders>
            <w:vAlign w:val="top"/>
          </w:tcPr>
          <w:p>
            <w:pPr>
              <w:spacing w:before="175" w:line="220" w:lineRule="auto"/>
              <w:ind w:left="974"/>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资料名称</w:t>
            </w:r>
          </w:p>
        </w:tc>
        <w:tc>
          <w:tcPr>
            <w:tcW w:w="2295" w:type="dxa"/>
            <w:tcBorders>
              <w:left w:val="single" w:color="000000" w:sz="6" w:space="0"/>
              <w:right w:val="single" w:color="000000" w:sz="6" w:space="0"/>
            </w:tcBorders>
            <w:vAlign w:val="top"/>
          </w:tcPr>
          <w:p>
            <w:pPr>
              <w:spacing w:before="175" w:line="220" w:lineRule="auto"/>
              <w:ind w:left="72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装订</w:t>
            </w:r>
            <w:r>
              <w:rPr>
                <w:rFonts w:hint="eastAsia" w:ascii="宋体" w:hAnsi="宋体" w:eastAsia="宋体" w:cs="宋体"/>
                <w:color w:val="auto"/>
                <w:spacing w:val="-1"/>
                <w:sz w:val="21"/>
                <w:szCs w:val="21"/>
                <w:highlight w:val="none"/>
              </w:rPr>
              <w:t>成册</w:t>
            </w:r>
          </w:p>
        </w:tc>
        <w:tc>
          <w:tcPr>
            <w:tcW w:w="1454" w:type="dxa"/>
            <w:tcBorders>
              <w:left w:val="single" w:color="000000" w:sz="6" w:space="0"/>
              <w:right w:val="single" w:color="000000" w:sz="6" w:space="0"/>
            </w:tcBorders>
            <w:vAlign w:val="top"/>
          </w:tcPr>
          <w:p>
            <w:pPr>
              <w:spacing w:before="174" w:line="220" w:lineRule="auto"/>
              <w:ind w:left="523"/>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数</w:t>
            </w:r>
            <w:r>
              <w:rPr>
                <w:rFonts w:hint="eastAsia" w:ascii="宋体" w:hAnsi="宋体" w:eastAsia="宋体" w:cs="宋体"/>
                <w:color w:val="auto"/>
                <w:spacing w:val="-2"/>
                <w:sz w:val="21"/>
                <w:szCs w:val="21"/>
                <w:highlight w:val="none"/>
              </w:rPr>
              <w:t>量</w:t>
            </w:r>
          </w:p>
        </w:tc>
        <w:tc>
          <w:tcPr>
            <w:tcW w:w="2123" w:type="dxa"/>
            <w:tcBorders>
              <w:left w:val="single" w:color="000000" w:sz="6" w:space="0"/>
              <w:right w:val="single" w:color="000000" w:sz="6" w:space="0"/>
            </w:tcBorders>
            <w:vAlign w:val="top"/>
          </w:tcPr>
          <w:p>
            <w:pPr>
              <w:spacing w:before="174" w:line="221" w:lineRule="auto"/>
              <w:ind w:left="8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备</w:t>
            </w:r>
            <w:r>
              <w:rPr>
                <w:rFonts w:hint="eastAsia" w:ascii="宋体" w:hAnsi="宋体" w:eastAsia="宋体" w:cs="宋体"/>
                <w:color w:val="auto"/>
                <w:spacing w:val="-2"/>
                <w:sz w:val="21"/>
                <w:szCs w:val="21"/>
                <w:highlight w:val="no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186" w:line="185" w:lineRule="auto"/>
              <w:ind w:left="3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760" w:type="dxa"/>
            <w:tcBorders>
              <w:left w:val="single" w:color="000000" w:sz="6" w:space="0"/>
              <w:right w:val="single" w:color="000000" w:sz="6" w:space="0"/>
            </w:tcBorders>
            <w:vAlign w:val="top"/>
          </w:tcPr>
          <w:p>
            <w:pPr>
              <w:spacing w:before="152" w:line="220" w:lineRule="auto"/>
              <w:ind w:left="107"/>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送</w:t>
            </w:r>
            <w:r>
              <w:rPr>
                <w:rFonts w:hint="eastAsia" w:ascii="宋体" w:hAnsi="宋体" w:eastAsia="宋体" w:cs="宋体"/>
                <w:color w:val="auto"/>
                <w:spacing w:val="-1"/>
                <w:sz w:val="21"/>
                <w:szCs w:val="21"/>
                <w:highlight w:val="none"/>
              </w:rPr>
              <w:t>审函</w:t>
            </w:r>
          </w:p>
        </w:tc>
        <w:tc>
          <w:tcPr>
            <w:tcW w:w="2295" w:type="dxa"/>
            <w:tcBorders>
              <w:left w:val="single" w:color="000000" w:sz="6" w:space="0"/>
              <w:right w:val="single" w:color="000000" w:sz="6" w:space="0"/>
            </w:tcBorders>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5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vAlign w:val="top"/>
          </w:tcPr>
          <w:p>
            <w:pPr>
              <w:spacing w:before="188" w:line="184" w:lineRule="auto"/>
              <w:ind w:left="31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760" w:type="dxa"/>
            <w:tcBorders>
              <w:left w:val="single" w:color="000000" w:sz="6" w:space="0"/>
              <w:right w:val="single" w:color="000000" w:sz="6" w:space="0"/>
            </w:tcBorders>
            <w:vAlign w:val="top"/>
          </w:tcPr>
          <w:p>
            <w:pPr>
              <w:spacing w:before="152"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工程结算书</w:t>
            </w:r>
            <w:r>
              <w:rPr>
                <w:rFonts w:hint="eastAsia" w:ascii="宋体" w:hAnsi="宋体" w:eastAsia="宋体" w:cs="宋体"/>
                <w:color w:val="auto"/>
                <w:sz w:val="21"/>
                <w:szCs w:val="21"/>
                <w:highlight w:val="none"/>
              </w:rPr>
              <w:t>、工程量计算表</w:t>
            </w:r>
          </w:p>
        </w:tc>
        <w:tc>
          <w:tcPr>
            <w:tcW w:w="2295" w:type="dxa"/>
            <w:tcBorders>
              <w:left w:val="single" w:color="000000" w:sz="6" w:space="0"/>
              <w:right w:val="single" w:color="000000" w:sz="6" w:space="0"/>
            </w:tcBorders>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203" w:line="183" w:lineRule="auto"/>
              <w:ind w:left="3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760" w:type="dxa"/>
            <w:tcBorders>
              <w:left w:val="single" w:color="000000" w:sz="6" w:space="0"/>
              <w:right w:val="single" w:color="000000" w:sz="6" w:space="0"/>
            </w:tcBorders>
            <w:vAlign w:val="top"/>
          </w:tcPr>
          <w:p>
            <w:pPr>
              <w:spacing w:before="167"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项目建议书及批复</w:t>
            </w:r>
          </w:p>
        </w:tc>
        <w:tc>
          <w:tcPr>
            <w:tcW w:w="2295" w:type="dxa"/>
            <w:tcBorders>
              <w:left w:val="single" w:color="000000" w:sz="6" w:space="0"/>
              <w:right w:val="single" w:color="000000" w:sz="6" w:space="0"/>
            </w:tcBorders>
            <w:vAlign w:val="top"/>
          </w:tcPr>
          <w:p>
            <w:pPr>
              <w:spacing w:before="167"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6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7" w:type="dxa"/>
            <w:tcBorders>
              <w:left w:val="single" w:color="000000" w:sz="4" w:space="0"/>
              <w:right w:val="single" w:color="000000" w:sz="6" w:space="0"/>
            </w:tcBorders>
            <w:vAlign w:val="top"/>
          </w:tcPr>
          <w:p>
            <w:pPr>
              <w:spacing w:line="269" w:lineRule="auto"/>
              <w:rPr>
                <w:rFonts w:hint="eastAsia" w:ascii="宋体" w:hAnsi="宋体" w:eastAsia="宋体" w:cs="宋体"/>
                <w:color w:val="auto"/>
                <w:sz w:val="21"/>
                <w:highlight w:val="none"/>
              </w:rPr>
            </w:pPr>
          </w:p>
          <w:p>
            <w:pPr>
              <w:spacing w:before="68" w:line="184" w:lineRule="auto"/>
              <w:ind w:left="31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760" w:type="dxa"/>
            <w:tcBorders>
              <w:left w:val="single" w:color="000000" w:sz="6" w:space="0"/>
              <w:right w:val="single" w:color="000000" w:sz="6" w:space="0"/>
            </w:tcBorders>
            <w:vAlign w:val="top"/>
          </w:tcPr>
          <w:p>
            <w:pPr>
              <w:spacing w:before="123" w:line="376" w:lineRule="exact"/>
              <w:ind w:left="111"/>
              <w:rPr>
                <w:rFonts w:hint="eastAsia" w:ascii="宋体" w:hAnsi="宋体" w:eastAsia="宋体" w:cs="宋体"/>
                <w:color w:val="auto"/>
                <w:sz w:val="21"/>
                <w:szCs w:val="21"/>
                <w:highlight w:val="none"/>
              </w:rPr>
            </w:pPr>
            <w:r>
              <w:rPr>
                <w:rFonts w:hint="eastAsia" w:ascii="宋体" w:hAnsi="宋体" w:eastAsia="宋体" w:cs="宋体"/>
                <w:color w:val="auto"/>
                <w:spacing w:val="-1"/>
                <w:position w:val="12"/>
                <w:sz w:val="21"/>
                <w:szCs w:val="21"/>
                <w:highlight w:val="none"/>
              </w:rPr>
              <w:t>可行性研究</w:t>
            </w:r>
            <w:r>
              <w:rPr>
                <w:rFonts w:hint="eastAsia" w:ascii="宋体" w:hAnsi="宋体" w:eastAsia="宋体" w:cs="宋体"/>
                <w:color w:val="auto"/>
                <w:position w:val="12"/>
                <w:sz w:val="21"/>
                <w:szCs w:val="21"/>
                <w:highlight w:val="none"/>
              </w:rPr>
              <w:t>报告及批复</w:t>
            </w:r>
          </w:p>
          <w:p>
            <w:pPr>
              <w:spacing w:line="220" w:lineRule="auto"/>
              <w:ind w:left="115"/>
              <w:rPr>
                <w:rFonts w:hint="eastAsia"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rPr>
              <w:t>(</w:t>
            </w:r>
            <w:r>
              <w:rPr>
                <w:rFonts w:hint="eastAsia" w:ascii="宋体" w:hAnsi="宋体" w:eastAsia="宋体" w:cs="宋体"/>
                <w:color w:val="auto"/>
                <w:spacing w:val="13"/>
                <w:sz w:val="21"/>
                <w:szCs w:val="21"/>
                <w:highlight w:val="none"/>
              </w:rPr>
              <w:t>立项批复)</w:t>
            </w:r>
          </w:p>
        </w:tc>
        <w:tc>
          <w:tcPr>
            <w:tcW w:w="2295" w:type="dxa"/>
            <w:tcBorders>
              <w:left w:val="single" w:color="000000" w:sz="6" w:space="0"/>
              <w:right w:val="single" w:color="000000" w:sz="6" w:space="0"/>
            </w:tcBorders>
            <w:vAlign w:val="top"/>
          </w:tcPr>
          <w:p>
            <w:pPr>
              <w:spacing w:before="303" w:line="219" w:lineRule="auto"/>
              <w:ind w:left="524"/>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复印件(盖章</w:t>
            </w:r>
            <w:r>
              <w:rPr>
                <w:rFonts w:hint="eastAsia" w:ascii="宋体" w:hAnsi="宋体" w:eastAsia="宋体" w:cs="宋体"/>
                <w:color w:val="auto"/>
                <w:spacing w:val="-1"/>
                <w:sz w:val="21"/>
                <w:szCs w:val="21"/>
                <w:highlight w:val="none"/>
              </w:rPr>
              <w:t>)</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303"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697" w:type="dxa"/>
            <w:tcBorders>
              <w:left w:val="single" w:color="000000" w:sz="4" w:space="0"/>
              <w:right w:val="single" w:color="000000" w:sz="6" w:space="0"/>
            </w:tcBorders>
            <w:vAlign w:val="top"/>
          </w:tcPr>
          <w:p>
            <w:pPr>
              <w:spacing w:before="221" w:line="181" w:lineRule="auto"/>
              <w:ind w:left="31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760" w:type="dxa"/>
            <w:tcBorders>
              <w:left w:val="single" w:color="000000" w:sz="6" w:space="0"/>
              <w:right w:val="single" w:color="000000" w:sz="6" w:space="0"/>
            </w:tcBorders>
            <w:vAlign w:val="top"/>
          </w:tcPr>
          <w:p>
            <w:pPr>
              <w:spacing w:before="184" w:line="218" w:lineRule="auto"/>
              <w:ind w:left="13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已审查合格的地质勘查报告</w:t>
            </w:r>
          </w:p>
        </w:tc>
        <w:tc>
          <w:tcPr>
            <w:tcW w:w="2295" w:type="dxa"/>
            <w:tcBorders>
              <w:left w:val="single" w:color="000000" w:sz="6" w:space="0"/>
              <w:right w:val="single" w:color="000000" w:sz="6" w:space="0"/>
            </w:tcBorders>
            <w:vAlign w:val="top"/>
          </w:tcPr>
          <w:p>
            <w:pPr>
              <w:spacing w:before="184" w:line="219" w:lineRule="auto"/>
              <w:ind w:left="629"/>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原</w:t>
            </w:r>
            <w:r>
              <w:rPr>
                <w:rFonts w:hint="eastAsia" w:ascii="宋体" w:hAnsi="宋体" w:eastAsia="宋体" w:cs="宋体"/>
                <w:color w:val="auto"/>
                <w:spacing w:val="-2"/>
                <w:sz w:val="21"/>
                <w:szCs w:val="21"/>
                <w:highlight w:val="none"/>
              </w:rPr>
              <w:t>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84"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697" w:type="dxa"/>
            <w:tcBorders>
              <w:left w:val="single" w:color="000000" w:sz="4" w:space="0"/>
              <w:right w:val="single" w:color="000000" w:sz="6" w:space="0"/>
            </w:tcBorders>
            <w:vAlign w:val="top"/>
          </w:tcPr>
          <w:p>
            <w:pPr>
              <w:spacing w:line="463" w:lineRule="auto"/>
              <w:rPr>
                <w:rFonts w:hint="eastAsia" w:ascii="宋体" w:hAnsi="宋体" w:eastAsia="宋体" w:cs="宋体"/>
                <w:color w:val="auto"/>
                <w:sz w:val="21"/>
                <w:highlight w:val="none"/>
              </w:rPr>
            </w:pPr>
          </w:p>
          <w:p>
            <w:pPr>
              <w:spacing w:before="69" w:line="183" w:lineRule="auto"/>
              <w:ind w:left="31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760" w:type="dxa"/>
            <w:tcBorders>
              <w:left w:val="single" w:color="000000" w:sz="6" w:space="0"/>
              <w:right w:val="single" w:color="000000" w:sz="6" w:space="0"/>
            </w:tcBorders>
            <w:vAlign w:val="top"/>
          </w:tcPr>
          <w:p>
            <w:pPr>
              <w:spacing w:before="108" w:line="337" w:lineRule="auto"/>
              <w:ind w:left="110" w:right="118" w:hanging="2"/>
              <w:rPr>
                <w:rFonts w:hint="eastAsia" w:ascii="宋体" w:hAnsi="宋体" w:eastAsia="宋体" w:cs="宋体"/>
                <w:color w:val="auto"/>
                <w:sz w:val="21"/>
                <w:szCs w:val="21"/>
                <w:highlight w:val="none"/>
              </w:rPr>
            </w:pPr>
            <w:r>
              <w:rPr>
                <w:rFonts w:hint="eastAsia" w:ascii="宋体" w:hAnsi="宋体" w:eastAsia="宋体" w:cs="宋体"/>
                <w:color w:val="auto"/>
                <w:spacing w:val="15"/>
                <w:sz w:val="21"/>
                <w:szCs w:val="21"/>
                <w:highlight w:val="none"/>
              </w:rPr>
              <w:t>施</w:t>
            </w:r>
            <w:r>
              <w:rPr>
                <w:rFonts w:hint="eastAsia" w:ascii="宋体" w:hAnsi="宋体" w:eastAsia="宋体" w:cs="宋体"/>
                <w:color w:val="auto"/>
                <w:spacing w:val="8"/>
                <w:sz w:val="21"/>
                <w:szCs w:val="21"/>
                <w:highlight w:val="none"/>
              </w:rPr>
              <w:t>工图预算批复(即财政预</w:t>
            </w:r>
            <w:r>
              <w:rPr>
                <w:rFonts w:hint="eastAsia" w:ascii="宋体" w:hAnsi="宋体" w:eastAsia="宋体" w:cs="宋体"/>
                <w:color w:val="auto"/>
                <w:sz w:val="21"/>
                <w:szCs w:val="21"/>
                <w:highlight w:val="none"/>
              </w:rPr>
              <w:t xml:space="preserve"> </w:t>
            </w:r>
            <w:r>
              <w:rPr>
                <w:rFonts w:hint="eastAsia" w:ascii="宋体" w:hAnsi="宋体" w:eastAsia="宋体" w:cs="宋体"/>
                <w:color w:val="auto"/>
                <w:spacing w:val="-1"/>
                <w:sz w:val="21"/>
                <w:szCs w:val="21"/>
                <w:highlight w:val="none"/>
              </w:rPr>
              <w:t>算评审文件</w:t>
            </w:r>
            <w:r>
              <w:rPr>
                <w:rFonts w:hint="eastAsia" w:ascii="宋体" w:hAnsi="宋体" w:eastAsia="宋体" w:cs="宋体"/>
                <w:color w:val="auto"/>
                <w:sz w:val="21"/>
                <w:szCs w:val="21"/>
                <w:highlight w:val="none"/>
              </w:rPr>
              <w:t>、区政府审定预</w:t>
            </w:r>
          </w:p>
          <w:p>
            <w:pPr>
              <w:spacing w:line="218"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算会议纪要</w:t>
            </w:r>
            <w:r>
              <w:rPr>
                <w:rFonts w:hint="eastAsia" w:ascii="宋体" w:hAnsi="宋体" w:eastAsia="宋体" w:cs="宋体"/>
                <w:color w:val="auto"/>
                <w:sz w:val="21"/>
                <w:szCs w:val="21"/>
                <w:highlight w:val="none"/>
              </w:rPr>
              <w:t>或领导批示</w:t>
            </w:r>
          </w:p>
        </w:tc>
        <w:tc>
          <w:tcPr>
            <w:tcW w:w="2295" w:type="dxa"/>
            <w:tcBorders>
              <w:left w:val="single" w:color="000000" w:sz="6" w:space="0"/>
              <w:right w:val="single" w:color="000000" w:sz="6" w:space="0"/>
            </w:tcBorders>
            <w:vAlign w:val="top"/>
          </w:tcPr>
          <w:p>
            <w:pPr>
              <w:spacing w:line="428" w:lineRule="auto"/>
              <w:rPr>
                <w:rFonts w:hint="eastAsia" w:ascii="宋体" w:hAnsi="宋体" w:eastAsia="宋体" w:cs="宋体"/>
                <w:color w:val="auto"/>
                <w:sz w:val="21"/>
                <w:highlight w:val="none"/>
              </w:rPr>
            </w:pPr>
          </w:p>
          <w:p>
            <w:pPr>
              <w:spacing w:before="6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line="428" w:lineRule="auto"/>
              <w:rPr>
                <w:rFonts w:hint="eastAsia" w:ascii="宋体" w:hAnsi="宋体" w:eastAsia="宋体" w:cs="宋体"/>
                <w:color w:val="auto"/>
                <w:sz w:val="21"/>
                <w:highlight w:val="none"/>
              </w:rPr>
            </w:pPr>
          </w:p>
          <w:p>
            <w:pPr>
              <w:spacing w:before="69"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vAlign w:val="top"/>
          </w:tcPr>
          <w:p>
            <w:pPr>
              <w:spacing w:before="176" w:line="181" w:lineRule="auto"/>
              <w:ind w:left="318"/>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760" w:type="dxa"/>
            <w:tcBorders>
              <w:left w:val="single" w:color="000000" w:sz="6" w:space="0"/>
              <w:right w:val="single" w:color="000000" w:sz="6" w:space="0"/>
            </w:tcBorders>
            <w:vAlign w:val="top"/>
          </w:tcPr>
          <w:p>
            <w:pPr>
              <w:spacing w:before="139"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建设项目选址</w:t>
            </w:r>
            <w:r>
              <w:rPr>
                <w:rFonts w:hint="eastAsia" w:ascii="宋体" w:hAnsi="宋体" w:eastAsia="宋体" w:cs="宋体"/>
                <w:color w:val="auto"/>
                <w:sz w:val="21"/>
                <w:szCs w:val="21"/>
                <w:highlight w:val="none"/>
              </w:rPr>
              <w:t>意见书</w:t>
            </w:r>
          </w:p>
        </w:tc>
        <w:tc>
          <w:tcPr>
            <w:tcW w:w="2295" w:type="dxa"/>
            <w:tcBorders>
              <w:left w:val="single" w:color="000000" w:sz="6" w:space="0"/>
              <w:right w:val="single" w:color="000000" w:sz="6" w:space="0"/>
            </w:tcBorders>
            <w:vAlign w:val="top"/>
          </w:tcPr>
          <w:p>
            <w:pPr>
              <w:spacing w:before="13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4"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7" w:type="dxa"/>
            <w:tcBorders>
              <w:left w:val="single" w:color="000000" w:sz="4" w:space="0"/>
              <w:right w:val="single" w:color="000000" w:sz="6" w:space="0"/>
            </w:tcBorders>
            <w:vAlign w:val="top"/>
          </w:tcPr>
          <w:p>
            <w:pPr>
              <w:spacing w:before="174" w:line="183" w:lineRule="auto"/>
              <w:ind w:left="3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760" w:type="dxa"/>
            <w:tcBorders>
              <w:left w:val="single" w:color="000000" w:sz="6" w:space="0"/>
              <w:right w:val="single" w:color="000000" w:sz="6" w:space="0"/>
            </w:tcBorders>
            <w:vAlign w:val="top"/>
          </w:tcPr>
          <w:p>
            <w:pPr>
              <w:spacing w:before="140"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建设用地规划</w:t>
            </w:r>
            <w:r>
              <w:rPr>
                <w:rFonts w:hint="eastAsia" w:ascii="宋体" w:hAnsi="宋体" w:eastAsia="宋体" w:cs="宋体"/>
                <w:color w:val="auto"/>
                <w:sz w:val="21"/>
                <w:szCs w:val="21"/>
                <w:highlight w:val="none"/>
              </w:rPr>
              <w:t>许可证</w:t>
            </w:r>
          </w:p>
        </w:tc>
        <w:tc>
          <w:tcPr>
            <w:tcW w:w="2295" w:type="dxa"/>
            <w:tcBorders>
              <w:left w:val="single" w:color="000000" w:sz="6" w:space="0"/>
              <w:right w:val="single" w:color="000000" w:sz="6" w:space="0"/>
            </w:tcBorders>
            <w:vAlign w:val="top"/>
          </w:tcPr>
          <w:p>
            <w:pPr>
              <w:spacing w:before="13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4"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vAlign w:val="top"/>
          </w:tcPr>
          <w:p>
            <w:pPr>
              <w:spacing w:before="175" w:line="183" w:lineRule="auto"/>
              <w:ind w:left="31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760" w:type="dxa"/>
            <w:tcBorders>
              <w:left w:val="single" w:color="000000" w:sz="6" w:space="0"/>
              <w:right w:val="single" w:color="000000" w:sz="6" w:space="0"/>
            </w:tcBorders>
            <w:vAlign w:val="top"/>
          </w:tcPr>
          <w:p>
            <w:pPr>
              <w:spacing w:before="140"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建设工程规划</w:t>
            </w:r>
            <w:r>
              <w:rPr>
                <w:rFonts w:hint="eastAsia" w:ascii="宋体" w:hAnsi="宋体" w:eastAsia="宋体" w:cs="宋体"/>
                <w:color w:val="auto"/>
                <w:sz w:val="21"/>
                <w:szCs w:val="21"/>
                <w:highlight w:val="none"/>
              </w:rPr>
              <w:t>许可证</w:t>
            </w:r>
          </w:p>
        </w:tc>
        <w:tc>
          <w:tcPr>
            <w:tcW w:w="2295" w:type="dxa"/>
            <w:tcBorders>
              <w:left w:val="single" w:color="000000" w:sz="6" w:space="0"/>
              <w:right w:val="single" w:color="000000" w:sz="6" w:space="0"/>
            </w:tcBorders>
            <w:vAlign w:val="top"/>
          </w:tcPr>
          <w:p>
            <w:pPr>
              <w:spacing w:before="140"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5"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vAlign w:val="top"/>
          </w:tcPr>
          <w:p>
            <w:pPr>
              <w:spacing w:before="176"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10</w:t>
            </w:r>
          </w:p>
        </w:tc>
        <w:tc>
          <w:tcPr>
            <w:tcW w:w="2760" w:type="dxa"/>
            <w:tcBorders>
              <w:left w:val="single" w:color="000000" w:sz="6" w:space="0"/>
              <w:right w:val="single" w:color="000000" w:sz="6" w:space="0"/>
            </w:tcBorders>
            <w:vAlign w:val="top"/>
          </w:tcPr>
          <w:p>
            <w:pPr>
              <w:spacing w:before="140"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勘</w:t>
            </w:r>
            <w:r>
              <w:rPr>
                <w:rFonts w:hint="eastAsia" w:ascii="宋体" w:hAnsi="宋体" w:eastAsia="宋体" w:cs="宋体"/>
                <w:color w:val="auto"/>
                <w:spacing w:val="-1"/>
                <w:sz w:val="21"/>
                <w:szCs w:val="21"/>
                <w:highlight w:val="none"/>
              </w:rPr>
              <w:t>查合同</w:t>
            </w:r>
          </w:p>
        </w:tc>
        <w:tc>
          <w:tcPr>
            <w:tcW w:w="2295" w:type="dxa"/>
            <w:tcBorders>
              <w:left w:val="single" w:color="000000" w:sz="6" w:space="0"/>
              <w:right w:val="single" w:color="000000" w:sz="6" w:space="0"/>
            </w:tcBorders>
            <w:vAlign w:val="top"/>
          </w:tcPr>
          <w:p>
            <w:pPr>
              <w:spacing w:before="140"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5"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7" w:type="dxa"/>
            <w:tcBorders>
              <w:left w:val="single" w:color="000000" w:sz="4" w:space="0"/>
              <w:right w:val="single" w:color="000000" w:sz="6" w:space="0"/>
            </w:tcBorders>
            <w:vAlign w:val="top"/>
          </w:tcPr>
          <w:p>
            <w:pPr>
              <w:spacing w:before="160" w:line="185"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11</w:t>
            </w:r>
          </w:p>
        </w:tc>
        <w:tc>
          <w:tcPr>
            <w:tcW w:w="2760" w:type="dxa"/>
            <w:tcBorders>
              <w:left w:val="single" w:color="000000" w:sz="6" w:space="0"/>
              <w:right w:val="single" w:color="000000" w:sz="6" w:space="0"/>
            </w:tcBorders>
            <w:vAlign w:val="top"/>
          </w:tcPr>
          <w:p>
            <w:pPr>
              <w:spacing w:before="125" w:line="221"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设计合同</w:t>
            </w:r>
          </w:p>
        </w:tc>
        <w:tc>
          <w:tcPr>
            <w:tcW w:w="2295" w:type="dxa"/>
            <w:tcBorders>
              <w:left w:val="single" w:color="000000" w:sz="6" w:space="0"/>
              <w:right w:val="single" w:color="000000" w:sz="6" w:space="0"/>
            </w:tcBorders>
            <w:vAlign w:val="top"/>
          </w:tcPr>
          <w:p>
            <w:pPr>
              <w:spacing w:before="125"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10"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vAlign w:val="top"/>
          </w:tcPr>
          <w:p>
            <w:pPr>
              <w:spacing w:before="175" w:line="185"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12</w:t>
            </w:r>
          </w:p>
        </w:tc>
        <w:tc>
          <w:tcPr>
            <w:tcW w:w="2760" w:type="dxa"/>
            <w:tcBorders>
              <w:left w:val="single" w:color="000000" w:sz="6" w:space="0"/>
              <w:right w:val="single" w:color="000000" w:sz="6" w:space="0"/>
            </w:tcBorders>
            <w:vAlign w:val="top"/>
          </w:tcPr>
          <w:p>
            <w:pPr>
              <w:spacing w:before="141" w:line="222"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监理</w:t>
            </w:r>
            <w:r>
              <w:rPr>
                <w:rFonts w:hint="eastAsia" w:ascii="宋体" w:hAnsi="宋体" w:eastAsia="宋体" w:cs="宋体"/>
                <w:color w:val="auto"/>
                <w:spacing w:val="-1"/>
                <w:sz w:val="21"/>
                <w:szCs w:val="21"/>
                <w:highlight w:val="none"/>
              </w:rPr>
              <w:t>合同</w:t>
            </w:r>
          </w:p>
        </w:tc>
        <w:tc>
          <w:tcPr>
            <w:tcW w:w="2295" w:type="dxa"/>
            <w:tcBorders>
              <w:left w:val="single" w:color="000000" w:sz="6" w:space="0"/>
              <w:right w:val="single" w:color="000000" w:sz="6" w:space="0"/>
            </w:tcBorders>
            <w:vAlign w:val="top"/>
          </w:tcPr>
          <w:p>
            <w:pPr>
              <w:spacing w:before="141"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6"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697" w:type="dxa"/>
            <w:tcBorders>
              <w:left w:val="single" w:color="000000" w:sz="4" w:space="0"/>
              <w:right w:val="single" w:color="000000" w:sz="6" w:space="0"/>
            </w:tcBorders>
            <w:vAlign w:val="top"/>
          </w:tcPr>
          <w:p>
            <w:pPr>
              <w:spacing w:before="177"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13</w:t>
            </w:r>
          </w:p>
        </w:tc>
        <w:tc>
          <w:tcPr>
            <w:tcW w:w="2760" w:type="dxa"/>
            <w:tcBorders>
              <w:left w:val="single" w:color="000000" w:sz="6" w:space="0"/>
              <w:right w:val="single" w:color="000000" w:sz="6" w:space="0"/>
            </w:tcBorders>
            <w:vAlign w:val="top"/>
          </w:tcPr>
          <w:p>
            <w:pPr>
              <w:spacing w:before="141" w:line="220" w:lineRule="auto"/>
              <w:ind w:left="110"/>
              <w:rPr>
                <w:rFonts w:hint="eastAsia" w:ascii="宋体" w:hAnsi="宋体" w:eastAsia="宋体" w:cs="宋体"/>
                <w:color w:val="auto"/>
                <w:sz w:val="21"/>
                <w:szCs w:val="21"/>
                <w:highlight w:val="none"/>
                <w:lang w:eastAsia="zh-CN"/>
              </w:rPr>
            </w:pPr>
            <w:r>
              <w:rPr>
                <w:rFonts w:hint="eastAsia" w:ascii="宋体" w:hAnsi="宋体" w:cs="宋体"/>
                <w:color w:val="auto"/>
                <w:spacing w:val="-2"/>
                <w:sz w:val="21"/>
                <w:szCs w:val="21"/>
                <w:highlight w:val="none"/>
                <w:lang w:eastAsia="zh-CN"/>
              </w:rPr>
              <w:t>磋商文件</w:t>
            </w:r>
          </w:p>
        </w:tc>
        <w:tc>
          <w:tcPr>
            <w:tcW w:w="2295" w:type="dxa"/>
            <w:tcBorders>
              <w:left w:val="single" w:color="000000" w:sz="6" w:space="0"/>
              <w:right w:val="single" w:color="000000" w:sz="6" w:space="0"/>
            </w:tcBorders>
            <w:vAlign w:val="top"/>
          </w:tcPr>
          <w:p>
            <w:pPr>
              <w:spacing w:before="14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11"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697" w:type="dxa"/>
            <w:tcBorders>
              <w:left w:val="single" w:color="000000" w:sz="4" w:space="0"/>
              <w:right w:val="single" w:color="000000" w:sz="6" w:space="0"/>
            </w:tcBorders>
            <w:vAlign w:val="top"/>
          </w:tcPr>
          <w:p>
            <w:pPr>
              <w:spacing w:before="175" w:line="185"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14</w:t>
            </w:r>
          </w:p>
        </w:tc>
        <w:tc>
          <w:tcPr>
            <w:tcW w:w="2760" w:type="dxa"/>
            <w:tcBorders>
              <w:left w:val="single" w:color="000000" w:sz="6" w:space="0"/>
              <w:right w:val="single" w:color="000000" w:sz="6" w:space="0"/>
            </w:tcBorders>
            <w:vAlign w:val="top"/>
          </w:tcPr>
          <w:p>
            <w:pPr>
              <w:spacing w:before="141" w:line="220" w:lineRule="auto"/>
              <w:ind w:left="112"/>
              <w:rPr>
                <w:rFonts w:hint="eastAsia" w:ascii="宋体" w:hAnsi="宋体" w:eastAsia="宋体" w:cs="宋体"/>
                <w:color w:val="auto"/>
                <w:sz w:val="21"/>
                <w:szCs w:val="21"/>
                <w:highlight w:val="none"/>
              </w:rPr>
            </w:pPr>
            <w:r>
              <w:rPr>
                <w:rFonts w:hint="eastAsia" w:ascii="宋体" w:hAnsi="宋体" w:cs="宋体"/>
                <w:color w:val="auto"/>
                <w:spacing w:val="-1"/>
                <w:sz w:val="21"/>
                <w:szCs w:val="21"/>
                <w:highlight w:val="none"/>
                <w:lang w:eastAsia="zh-CN"/>
              </w:rPr>
              <w:t>响应文件</w:t>
            </w:r>
            <w:r>
              <w:rPr>
                <w:rFonts w:hint="eastAsia" w:ascii="宋体" w:hAnsi="宋体" w:eastAsia="宋体" w:cs="宋体"/>
                <w:color w:val="auto"/>
                <w:spacing w:val="-1"/>
                <w:sz w:val="21"/>
                <w:szCs w:val="21"/>
                <w:highlight w:val="none"/>
              </w:rPr>
              <w:t>(中标单</w:t>
            </w:r>
            <w:r>
              <w:rPr>
                <w:rFonts w:hint="eastAsia" w:ascii="宋体" w:hAnsi="宋体" w:eastAsia="宋体" w:cs="宋体"/>
                <w:color w:val="auto"/>
                <w:sz w:val="21"/>
                <w:szCs w:val="21"/>
                <w:highlight w:val="none"/>
              </w:rPr>
              <w:t>位)</w:t>
            </w:r>
          </w:p>
        </w:tc>
        <w:tc>
          <w:tcPr>
            <w:tcW w:w="2295" w:type="dxa"/>
            <w:tcBorders>
              <w:left w:val="single" w:color="000000" w:sz="6" w:space="0"/>
              <w:right w:val="single" w:color="000000" w:sz="6" w:space="0"/>
            </w:tcBorders>
            <w:vAlign w:val="top"/>
          </w:tcPr>
          <w:p>
            <w:pPr>
              <w:spacing w:before="14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6"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5" w:hRule="atLeast"/>
        </w:trPr>
        <w:tc>
          <w:tcPr>
            <w:tcW w:w="697" w:type="dxa"/>
            <w:tcBorders>
              <w:left w:val="single" w:color="000000" w:sz="4" w:space="0"/>
              <w:right w:val="single" w:color="000000" w:sz="6" w:space="0"/>
            </w:tcBorders>
            <w:vAlign w:val="top"/>
          </w:tcPr>
          <w:p>
            <w:pPr>
              <w:spacing w:before="176"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15</w:t>
            </w:r>
          </w:p>
        </w:tc>
        <w:tc>
          <w:tcPr>
            <w:tcW w:w="2760" w:type="dxa"/>
            <w:tcBorders>
              <w:left w:val="single" w:color="000000" w:sz="6" w:space="0"/>
              <w:right w:val="single" w:color="000000" w:sz="6" w:space="0"/>
            </w:tcBorders>
            <w:vAlign w:val="top"/>
          </w:tcPr>
          <w:p>
            <w:pPr>
              <w:spacing w:before="141"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投标预算书(中标</w:t>
            </w:r>
            <w:r>
              <w:rPr>
                <w:rFonts w:hint="eastAsia" w:ascii="宋体" w:hAnsi="宋体" w:eastAsia="宋体" w:cs="宋体"/>
                <w:color w:val="auto"/>
                <w:sz w:val="21"/>
                <w:szCs w:val="21"/>
                <w:highlight w:val="none"/>
              </w:rPr>
              <w:t>单位)</w:t>
            </w:r>
          </w:p>
        </w:tc>
        <w:tc>
          <w:tcPr>
            <w:tcW w:w="2295" w:type="dxa"/>
            <w:tcBorders>
              <w:left w:val="single" w:color="000000" w:sz="6" w:space="0"/>
              <w:right w:val="single" w:color="000000" w:sz="6" w:space="0"/>
            </w:tcBorders>
            <w:vAlign w:val="top"/>
          </w:tcPr>
          <w:p>
            <w:pPr>
              <w:spacing w:before="14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11"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97" w:type="dxa"/>
            <w:tcBorders>
              <w:left w:val="single" w:color="000000" w:sz="4" w:space="0"/>
              <w:right w:val="single" w:color="000000" w:sz="6" w:space="0"/>
            </w:tcBorders>
            <w:vAlign w:val="top"/>
          </w:tcPr>
          <w:p>
            <w:pPr>
              <w:spacing w:line="287" w:lineRule="auto"/>
              <w:rPr>
                <w:rFonts w:hint="eastAsia" w:ascii="宋体" w:hAnsi="宋体" w:eastAsia="宋体" w:cs="宋体"/>
                <w:color w:val="auto"/>
                <w:sz w:val="21"/>
                <w:highlight w:val="none"/>
              </w:rPr>
            </w:pPr>
          </w:p>
          <w:p>
            <w:pPr>
              <w:spacing w:before="68"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16</w:t>
            </w:r>
          </w:p>
        </w:tc>
        <w:tc>
          <w:tcPr>
            <w:tcW w:w="2760" w:type="dxa"/>
            <w:tcBorders>
              <w:left w:val="single" w:color="000000" w:sz="6" w:space="0"/>
              <w:right w:val="single" w:color="000000" w:sz="6" w:space="0"/>
            </w:tcBorders>
            <w:vAlign w:val="top"/>
          </w:tcPr>
          <w:p>
            <w:pPr>
              <w:spacing w:before="127" w:line="375" w:lineRule="exact"/>
              <w:ind w:left="129"/>
              <w:rPr>
                <w:rFonts w:hint="eastAsia" w:ascii="宋体" w:hAnsi="宋体" w:eastAsia="宋体" w:cs="宋体"/>
                <w:color w:val="auto"/>
                <w:sz w:val="21"/>
                <w:szCs w:val="21"/>
                <w:highlight w:val="none"/>
              </w:rPr>
            </w:pPr>
            <w:r>
              <w:rPr>
                <w:rFonts w:hint="eastAsia" w:ascii="宋体" w:hAnsi="宋体" w:cs="宋体"/>
                <w:color w:val="auto"/>
                <w:spacing w:val="-2"/>
                <w:position w:val="12"/>
                <w:sz w:val="21"/>
                <w:szCs w:val="21"/>
                <w:highlight w:val="none"/>
                <w:lang w:eastAsia="zh-CN"/>
              </w:rPr>
              <w:t>成交通知书</w:t>
            </w:r>
            <w:r>
              <w:rPr>
                <w:rFonts w:hint="eastAsia" w:ascii="宋体" w:hAnsi="宋体" w:eastAsia="宋体" w:cs="宋体"/>
                <w:color w:val="auto"/>
                <w:spacing w:val="-2"/>
                <w:position w:val="12"/>
                <w:sz w:val="21"/>
                <w:szCs w:val="21"/>
                <w:highlight w:val="none"/>
              </w:rPr>
              <w:t>、招投标</w:t>
            </w:r>
            <w:r>
              <w:rPr>
                <w:rFonts w:hint="eastAsia" w:ascii="宋体" w:hAnsi="宋体" w:eastAsia="宋体" w:cs="宋体"/>
                <w:color w:val="auto"/>
                <w:spacing w:val="-1"/>
                <w:position w:val="12"/>
                <w:sz w:val="21"/>
                <w:szCs w:val="21"/>
                <w:highlight w:val="none"/>
              </w:rPr>
              <w:t>情况备</w:t>
            </w:r>
          </w:p>
          <w:p>
            <w:pPr>
              <w:spacing w:line="220"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案登记</w:t>
            </w:r>
            <w:r>
              <w:rPr>
                <w:rFonts w:hint="eastAsia" w:ascii="宋体" w:hAnsi="宋体" w:eastAsia="宋体" w:cs="宋体"/>
                <w:color w:val="auto"/>
                <w:spacing w:val="-1"/>
                <w:sz w:val="21"/>
                <w:szCs w:val="21"/>
                <w:highlight w:val="none"/>
              </w:rPr>
              <w:t>表</w:t>
            </w:r>
          </w:p>
        </w:tc>
        <w:tc>
          <w:tcPr>
            <w:tcW w:w="2295" w:type="dxa"/>
            <w:tcBorders>
              <w:left w:val="single" w:color="000000" w:sz="6" w:space="0"/>
              <w:right w:val="single" w:color="000000" w:sz="6" w:space="0"/>
            </w:tcBorders>
            <w:vAlign w:val="top"/>
          </w:tcPr>
          <w:p>
            <w:pPr>
              <w:spacing w:line="251" w:lineRule="auto"/>
              <w:rPr>
                <w:rFonts w:hint="eastAsia" w:ascii="宋体" w:hAnsi="宋体" w:eastAsia="宋体" w:cs="宋体"/>
                <w:color w:val="auto"/>
                <w:sz w:val="21"/>
                <w:highlight w:val="none"/>
              </w:rPr>
            </w:pPr>
          </w:p>
          <w:p>
            <w:pPr>
              <w:spacing w:before="69"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6"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vAlign w:val="top"/>
          </w:tcPr>
          <w:p>
            <w:pPr>
              <w:spacing w:before="192"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17</w:t>
            </w:r>
          </w:p>
        </w:tc>
        <w:tc>
          <w:tcPr>
            <w:tcW w:w="2760" w:type="dxa"/>
            <w:tcBorders>
              <w:left w:val="single" w:color="000000" w:sz="6" w:space="0"/>
              <w:right w:val="single" w:color="000000" w:sz="6" w:space="0"/>
            </w:tcBorders>
            <w:vAlign w:val="top"/>
          </w:tcPr>
          <w:p>
            <w:pPr>
              <w:spacing w:before="157" w:line="222"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合</w:t>
            </w:r>
            <w:r>
              <w:rPr>
                <w:rFonts w:hint="eastAsia" w:ascii="宋体" w:hAnsi="宋体" w:eastAsia="宋体" w:cs="宋体"/>
                <w:color w:val="auto"/>
                <w:spacing w:val="-2"/>
                <w:sz w:val="21"/>
                <w:szCs w:val="21"/>
                <w:highlight w:val="none"/>
              </w:rPr>
              <w:t>同</w:t>
            </w:r>
          </w:p>
        </w:tc>
        <w:tc>
          <w:tcPr>
            <w:tcW w:w="2295" w:type="dxa"/>
            <w:tcBorders>
              <w:left w:val="single" w:color="000000" w:sz="6" w:space="0"/>
              <w:right w:val="single" w:color="000000" w:sz="6" w:space="0"/>
            </w:tcBorders>
            <w:vAlign w:val="top"/>
          </w:tcPr>
          <w:p>
            <w:pPr>
              <w:spacing w:before="15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1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697" w:type="dxa"/>
            <w:tcBorders>
              <w:left w:val="single" w:color="000000" w:sz="4" w:space="0"/>
              <w:right w:val="single" w:color="000000" w:sz="6" w:space="0"/>
            </w:tcBorders>
            <w:vAlign w:val="top"/>
          </w:tcPr>
          <w:p>
            <w:pPr>
              <w:spacing w:before="208"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18</w:t>
            </w:r>
          </w:p>
        </w:tc>
        <w:tc>
          <w:tcPr>
            <w:tcW w:w="2760" w:type="dxa"/>
            <w:tcBorders>
              <w:left w:val="single" w:color="000000" w:sz="6" w:space="0"/>
              <w:right w:val="single" w:color="000000" w:sz="6" w:space="0"/>
            </w:tcBorders>
            <w:vAlign w:val="top"/>
          </w:tcPr>
          <w:p>
            <w:pPr>
              <w:spacing w:before="173" w:line="220"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补充</w:t>
            </w:r>
            <w:r>
              <w:rPr>
                <w:rFonts w:hint="eastAsia" w:ascii="宋体" w:hAnsi="宋体" w:eastAsia="宋体" w:cs="宋体"/>
                <w:color w:val="auto"/>
                <w:spacing w:val="-1"/>
                <w:sz w:val="21"/>
                <w:szCs w:val="21"/>
                <w:highlight w:val="none"/>
              </w:rPr>
              <w:t>协议</w:t>
            </w:r>
          </w:p>
        </w:tc>
        <w:tc>
          <w:tcPr>
            <w:tcW w:w="2295" w:type="dxa"/>
            <w:tcBorders>
              <w:left w:val="single" w:color="000000" w:sz="6" w:space="0"/>
              <w:right w:val="single" w:color="000000" w:sz="6" w:space="0"/>
            </w:tcBorders>
            <w:vAlign w:val="top"/>
          </w:tcPr>
          <w:p>
            <w:pPr>
              <w:spacing w:before="17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bl>
    <w:p>
      <w:pPr>
        <w:rPr>
          <w:rFonts w:hint="eastAsia" w:ascii="宋体" w:hAnsi="宋体" w:eastAsia="宋体" w:cs="宋体"/>
          <w:color w:val="auto"/>
          <w:sz w:val="21"/>
          <w:highlight w:val="none"/>
        </w:rPr>
      </w:pPr>
    </w:p>
    <w:p>
      <w:pPr>
        <w:rPr>
          <w:rFonts w:hint="eastAsia" w:ascii="宋体" w:hAnsi="宋体" w:eastAsia="宋体" w:cs="宋体"/>
          <w:color w:val="auto"/>
          <w:highlight w:val="none"/>
        </w:rPr>
        <w:sectPr>
          <w:headerReference r:id="rId9" w:type="default"/>
          <w:footerReference r:id="rId10" w:type="default"/>
          <w:pgSz w:w="11895" w:h="16845"/>
          <w:pgMar w:top="1431" w:right="1276" w:bottom="1353" w:left="1276" w:header="0" w:footer="0" w:gutter="0"/>
          <w:pgNumType w:fmt="decimal"/>
          <w:cols w:space="720" w:num="1"/>
        </w:sect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spacing w:line="66" w:lineRule="exact"/>
        <w:rPr>
          <w:rFonts w:hint="eastAsia" w:ascii="宋体" w:hAnsi="宋体" w:eastAsia="宋体" w:cs="宋体"/>
          <w:color w:val="auto"/>
          <w:highlight w:val="none"/>
        </w:rPr>
      </w:pPr>
    </w:p>
    <w:tbl>
      <w:tblPr>
        <w:tblStyle w:val="249"/>
        <w:tblW w:w="9329"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7"/>
        <w:gridCol w:w="2760"/>
        <w:gridCol w:w="2295"/>
        <w:gridCol w:w="1454"/>
        <w:gridCol w:w="2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697" w:type="dxa"/>
            <w:tcBorders>
              <w:left w:val="single" w:color="000000" w:sz="4" w:space="0"/>
              <w:right w:val="single" w:color="000000" w:sz="6" w:space="0"/>
            </w:tcBorders>
            <w:vAlign w:val="top"/>
          </w:tcPr>
          <w:p>
            <w:pPr>
              <w:spacing w:line="289" w:lineRule="auto"/>
              <w:rPr>
                <w:rFonts w:hint="eastAsia" w:ascii="宋体" w:hAnsi="宋体" w:eastAsia="宋体" w:cs="宋体"/>
                <w:color w:val="auto"/>
                <w:sz w:val="21"/>
                <w:highlight w:val="none"/>
              </w:rPr>
            </w:pPr>
          </w:p>
          <w:p>
            <w:pPr>
              <w:spacing w:before="69" w:line="183" w:lineRule="auto"/>
              <w:ind w:left="26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19</w:t>
            </w:r>
          </w:p>
        </w:tc>
        <w:tc>
          <w:tcPr>
            <w:tcW w:w="2760" w:type="dxa"/>
            <w:tcBorders>
              <w:left w:val="single" w:color="000000" w:sz="6" w:space="0"/>
              <w:right w:val="single" w:color="000000" w:sz="6" w:space="0"/>
            </w:tcBorders>
            <w:vAlign w:val="top"/>
          </w:tcPr>
          <w:p>
            <w:pPr>
              <w:spacing w:before="130" w:line="375" w:lineRule="exact"/>
              <w:ind w:left="108"/>
              <w:rPr>
                <w:rFonts w:hint="eastAsia" w:ascii="宋体" w:hAnsi="宋体" w:eastAsia="宋体" w:cs="宋体"/>
                <w:color w:val="auto"/>
                <w:sz w:val="21"/>
                <w:szCs w:val="21"/>
                <w:highlight w:val="none"/>
              </w:rPr>
            </w:pPr>
            <w:r>
              <w:rPr>
                <w:rFonts w:hint="eastAsia" w:ascii="宋体" w:hAnsi="宋体" w:eastAsia="宋体" w:cs="宋体"/>
                <w:color w:val="auto"/>
                <w:spacing w:val="-6"/>
                <w:position w:val="12"/>
                <w:sz w:val="21"/>
                <w:szCs w:val="21"/>
                <w:highlight w:val="none"/>
              </w:rPr>
              <w:t>施</w:t>
            </w:r>
            <w:r>
              <w:rPr>
                <w:rFonts w:hint="eastAsia" w:ascii="宋体" w:hAnsi="宋体" w:eastAsia="宋体" w:cs="宋体"/>
                <w:color w:val="auto"/>
                <w:spacing w:val="-4"/>
                <w:position w:val="12"/>
                <w:sz w:val="21"/>
                <w:szCs w:val="21"/>
                <w:highlight w:val="none"/>
              </w:rPr>
              <w:t>工</w:t>
            </w:r>
            <w:r>
              <w:rPr>
                <w:rFonts w:hint="eastAsia" w:ascii="宋体" w:hAnsi="宋体" w:eastAsia="宋体" w:cs="宋体"/>
                <w:color w:val="auto"/>
                <w:spacing w:val="-3"/>
                <w:position w:val="12"/>
                <w:sz w:val="21"/>
                <w:szCs w:val="21"/>
                <w:highlight w:val="none"/>
              </w:rPr>
              <w:t>单位营业执照、</w:t>
            </w:r>
          </w:p>
          <w:p>
            <w:pPr>
              <w:spacing w:line="218"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施工资质证</w:t>
            </w:r>
            <w:r>
              <w:rPr>
                <w:rFonts w:hint="eastAsia" w:ascii="宋体" w:hAnsi="宋体" w:eastAsia="宋体" w:cs="宋体"/>
                <w:color w:val="auto"/>
                <w:sz w:val="21"/>
                <w:szCs w:val="21"/>
                <w:highlight w:val="none"/>
              </w:rPr>
              <w:t>书</w:t>
            </w:r>
          </w:p>
        </w:tc>
        <w:tc>
          <w:tcPr>
            <w:tcW w:w="2295" w:type="dxa"/>
            <w:tcBorders>
              <w:left w:val="single" w:color="000000" w:sz="6" w:space="0"/>
              <w:right w:val="single" w:color="000000" w:sz="6" w:space="0"/>
            </w:tcBorders>
            <w:vAlign w:val="top"/>
          </w:tcPr>
          <w:p>
            <w:pPr>
              <w:spacing w:line="254" w:lineRule="auto"/>
              <w:rPr>
                <w:rFonts w:hint="eastAsia" w:ascii="宋体" w:hAnsi="宋体" w:eastAsia="宋体" w:cs="宋体"/>
                <w:color w:val="auto"/>
                <w:sz w:val="21"/>
                <w:highlight w:val="none"/>
              </w:rPr>
            </w:pPr>
          </w:p>
          <w:p>
            <w:pPr>
              <w:spacing w:before="69"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697" w:type="dxa"/>
            <w:tcBorders>
              <w:left w:val="single" w:color="000000" w:sz="4" w:space="0"/>
              <w:right w:val="single" w:color="000000" w:sz="6" w:space="0"/>
            </w:tcBorders>
            <w:vAlign w:val="top"/>
          </w:tcPr>
          <w:p>
            <w:pPr>
              <w:spacing w:before="187"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0</w:t>
            </w:r>
          </w:p>
        </w:tc>
        <w:tc>
          <w:tcPr>
            <w:tcW w:w="2760" w:type="dxa"/>
            <w:tcBorders>
              <w:left w:val="single" w:color="000000" w:sz="6" w:space="0"/>
              <w:right w:val="single" w:color="000000" w:sz="6" w:space="0"/>
            </w:tcBorders>
            <w:vAlign w:val="top"/>
          </w:tcPr>
          <w:p>
            <w:pPr>
              <w:spacing w:before="152"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施工许可证</w:t>
            </w:r>
          </w:p>
        </w:tc>
        <w:tc>
          <w:tcPr>
            <w:tcW w:w="2295" w:type="dxa"/>
            <w:tcBorders>
              <w:left w:val="single" w:color="000000" w:sz="6" w:space="0"/>
              <w:right w:val="single" w:color="000000" w:sz="6" w:space="0"/>
            </w:tcBorders>
            <w:vAlign w:val="top"/>
          </w:tcPr>
          <w:p>
            <w:pPr>
              <w:spacing w:before="152"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0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201" w:line="185"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1</w:t>
            </w:r>
          </w:p>
        </w:tc>
        <w:tc>
          <w:tcPr>
            <w:tcW w:w="2760" w:type="dxa"/>
            <w:tcBorders>
              <w:left w:val="single" w:color="000000" w:sz="6" w:space="0"/>
              <w:right w:val="single" w:color="000000" w:sz="6" w:space="0"/>
            </w:tcBorders>
            <w:vAlign w:val="top"/>
          </w:tcPr>
          <w:p>
            <w:pPr>
              <w:spacing w:before="166" w:line="219"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施工质量</w:t>
            </w:r>
            <w:r>
              <w:rPr>
                <w:rFonts w:hint="eastAsia" w:ascii="宋体" w:hAnsi="宋体" w:eastAsia="宋体" w:cs="宋体"/>
                <w:color w:val="auto"/>
                <w:sz w:val="21"/>
                <w:szCs w:val="21"/>
                <w:highlight w:val="none"/>
              </w:rPr>
              <w:t>监督书</w:t>
            </w:r>
          </w:p>
        </w:tc>
        <w:tc>
          <w:tcPr>
            <w:tcW w:w="2295" w:type="dxa"/>
            <w:tcBorders>
              <w:left w:val="single" w:color="000000" w:sz="6" w:space="0"/>
              <w:right w:val="single" w:color="000000" w:sz="6" w:space="0"/>
            </w:tcBorders>
            <w:vAlign w:val="top"/>
          </w:tcPr>
          <w:p>
            <w:pPr>
              <w:spacing w:before="166"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1"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202" w:line="184"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2</w:t>
            </w:r>
          </w:p>
        </w:tc>
        <w:tc>
          <w:tcPr>
            <w:tcW w:w="2760" w:type="dxa"/>
            <w:tcBorders>
              <w:left w:val="single" w:color="000000" w:sz="6" w:space="0"/>
              <w:right w:val="single" w:color="000000" w:sz="6" w:space="0"/>
            </w:tcBorders>
            <w:vAlign w:val="top"/>
          </w:tcPr>
          <w:p>
            <w:pPr>
              <w:spacing w:before="167" w:line="219"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施工安全</w:t>
            </w:r>
            <w:r>
              <w:rPr>
                <w:rFonts w:hint="eastAsia" w:ascii="宋体" w:hAnsi="宋体" w:eastAsia="宋体" w:cs="宋体"/>
                <w:color w:val="auto"/>
                <w:sz w:val="21"/>
                <w:szCs w:val="21"/>
                <w:highlight w:val="none"/>
              </w:rPr>
              <w:t>监督书</w:t>
            </w:r>
          </w:p>
        </w:tc>
        <w:tc>
          <w:tcPr>
            <w:tcW w:w="2295" w:type="dxa"/>
            <w:tcBorders>
              <w:left w:val="single" w:color="000000" w:sz="6" w:space="0"/>
              <w:right w:val="single" w:color="000000" w:sz="6" w:space="0"/>
            </w:tcBorders>
            <w:vAlign w:val="top"/>
          </w:tcPr>
          <w:p>
            <w:pPr>
              <w:spacing w:before="167"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2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7" w:type="dxa"/>
            <w:tcBorders>
              <w:left w:val="single" w:color="000000" w:sz="4" w:space="0"/>
              <w:right w:val="single" w:color="000000" w:sz="6" w:space="0"/>
            </w:tcBorders>
            <w:vAlign w:val="top"/>
          </w:tcPr>
          <w:p>
            <w:pPr>
              <w:spacing w:before="187"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3</w:t>
            </w:r>
          </w:p>
        </w:tc>
        <w:tc>
          <w:tcPr>
            <w:tcW w:w="2760" w:type="dxa"/>
            <w:tcBorders>
              <w:left w:val="single" w:color="000000" w:sz="6" w:space="0"/>
              <w:right w:val="single" w:color="000000" w:sz="6" w:space="0"/>
            </w:tcBorders>
            <w:vAlign w:val="top"/>
          </w:tcPr>
          <w:p>
            <w:pPr>
              <w:spacing w:before="153" w:line="218"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开工</w:t>
            </w:r>
            <w:r>
              <w:rPr>
                <w:rFonts w:hint="eastAsia" w:ascii="宋体" w:hAnsi="宋体" w:eastAsia="宋体" w:cs="宋体"/>
                <w:color w:val="auto"/>
                <w:spacing w:val="-1"/>
                <w:sz w:val="21"/>
                <w:szCs w:val="21"/>
                <w:highlight w:val="none"/>
              </w:rPr>
              <w:t>报告</w:t>
            </w:r>
          </w:p>
        </w:tc>
        <w:tc>
          <w:tcPr>
            <w:tcW w:w="2295" w:type="dxa"/>
            <w:tcBorders>
              <w:left w:val="single" w:color="000000" w:sz="6" w:space="0"/>
              <w:right w:val="single" w:color="000000" w:sz="6" w:space="0"/>
            </w:tcBorders>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vAlign w:val="top"/>
          </w:tcPr>
          <w:p>
            <w:pPr>
              <w:spacing w:before="187" w:line="184"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4</w:t>
            </w:r>
          </w:p>
        </w:tc>
        <w:tc>
          <w:tcPr>
            <w:tcW w:w="2760" w:type="dxa"/>
            <w:tcBorders>
              <w:left w:val="single" w:color="000000" w:sz="6" w:space="0"/>
              <w:right w:val="single" w:color="000000" w:sz="6" w:space="0"/>
            </w:tcBorders>
            <w:vAlign w:val="top"/>
          </w:tcPr>
          <w:p>
            <w:pPr>
              <w:spacing w:before="152"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设计交底、图</w:t>
            </w:r>
            <w:r>
              <w:rPr>
                <w:rFonts w:hint="eastAsia" w:ascii="宋体" w:hAnsi="宋体" w:eastAsia="宋体" w:cs="宋体"/>
                <w:color w:val="auto"/>
                <w:sz w:val="21"/>
                <w:szCs w:val="21"/>
                <w:highlight w:val="none"/>
              </w:rPr>
              <w:t>纸会审情况</w:t>
            </w:r>
          </w:p>
        </w:tc>
        <w:tc>
          <w:tcPr>
            <w:tcW w:w="2295" w:type="dxa"/>
            <w:tcBorders>
              <w:left w:val="single" w:color="000000" w:sz="6" w:space="0"/>
              <w:right w:val="single" w:color="000000" w:sz="6" w:space="0"/>
            </w:tcBorders>
            <w:vAlign w:val="top"/>
          </w:tcPr>
          <w:p>
            <w:pPr>
              <w:spacing w:before="15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52"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7" w:type="dxa"/>
            <w:tcBorders>
              <w:left w:val="single" w:color="000000" w:sz="4" w:space="0"/>
              <w:right w:val="single" w:color="000000" w:sz="6" w:space="0"/>
            </w:tcBorders>
            <w:vAlign w:val="top"/>
          </w:tcPr>
          <w:p>
            <w:pPr>
              <w:spacing w:before="202"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5</w:t>
            </w:r>
          </w:p>
        </w:tc>
        <w:tc>
          <w:tcPr>
            <w:tcW w:w="2760" w:type="dxa"/>
            <w:tcBorders>
              <w:left w:val="single" w:color="000000" w:sz="6" w:space="0"/>
              <w:right w:val="single" w:color="000000" w:sz="6" w:space="0"/>
            </w:tcBorders>
            <w:vAlign w:val="top"/>
          </w:tcPr>
          <w:p>
            <w:pPr>
              <w:spacing w:before="167"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施工组</w:t>
            </w:r>
            <w:r>
              <w:rPr>
                <w:rFonts w:hint="eastAsia" w:ascii="宋体" w:hAnsi="宋体" w:eastAsia="宋体" w:cs="宋体"/>
                <w:color w:val="auto"/>
                <w:sz w:val="21"/>
                <w:szCs w:val="21"/>
                <w:highlight w:val="none"/>
              </w:rPr>
              <w:t>织设计报审资料</w:t>
            </w:r>
          </w:p>
        </w:tc>
        <w:tc>
          <w:tcPr>
            <w:tcW w:w="2295" w:type="dxa"/>
            <w:tcBorders>
              <w:left w:val="single" w:color="000000" w:sz="6" w:space="0"/>
              <w:right w:val="single" w:color="000000" w:sz="6" w:space="0"/>
            </w:tcBorders>
            <w:vAlign w:val="top"/>
          </w:tcPr>
          <w:p>
            <w:pPr>
              <w:spacing w:before="16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201"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6</w:t>
            </w:r>
          </w:p>
        </w:tc>
        <w:tc>
          <w:tcPr>
            <w:tcW w:w="2760" w:type="dxa"/>
            <w:tcBorders>
              <w:left w:val="single" w:color="000000" w:sz="6" w:space="0"/>
              <w:right w:val="single" w:color="000000" w:sz="6" w:space="0"/>
            </w:tcBorders>
            <w:vAlign w:val="top"/>
          </w:tcPr>
          <w:p>
            <w:pPr>
              <w:spacing w:before="167"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设计变更相关</w:t>
            </w:r>
            <w:r>
              <w:rPr>
                <w:rFonts w:hint="eastAsia" w:ascii="宋体" w:hAnsi="宋体" w:eastAsia="宋体" w:cs="宋体"/>
                <w:color w:val="auto"/>
                <w:sz w:val="21"/>
                <w:szCs w:val="21"/>
                <w:highlight w:val="none"/>
              </w:rPr>
              <w:t>请示和批复</w:t>
            </w:r>
          </w:p>
        </w:tc>
        <w:tc>
          <w:tcPr>
            <w:tcW w:w="2295" w:type="dxa"/>
            <w:tcBorders>
              <w:left w:val="single" w:color="000000" w:sz="6" w:space="0"/>
              <w:right w:val="single" w:color="000000" w:sz="6" w:space="0"/>
            </w:tcBorders>
            <w:vAlign w:val="top"/>
          </w:tcPr>
          <w:p>
            <w:pPr>
              <w:spacing w:before="166"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7" w:type="dxa"/>
            <w:tcBorders>
              <w:left w:val="single" w:color="000000" w:sz="4" w:space="0"/>
              <w:right w:val="single" w:color="000000" w:sz="6" w:space="0"/>
            </w:tcBorders>
            <w:vAlign w:val="top"/>
          </w:tcPr>
          <w:p>
            <w:pPr>
              <w:spacing w:line="268" w:lineRule="auto"/>
              <w:rPr>
                <w:rFonts w:hint="eastAsia" w:ascii="宋体" w:hAnsi="宋体" w:eastAsia="宋体" w:cs="宋体"/>
                <w:color w:val="auto"/>
                <w:sz w:val="21"/>
                <w:highlight w:val="none"/>
              </w:rPr>
            </w:pPr>
          </w:p>
          <w:p>
            <w:pPr>
              <w:spacing w:before="68"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7</w:t>
            </w:r>
          </w:p>
        </w:tc>
        <w:tc>
          <w:tcPr>
            <w:tcW w:w="2760" w:type="dxa"/>
            <w:tcBorders>
              <w:left w:val="single" w:color="000000" w:sz="6" w:space="0"/>
              <w:right w:val="single" w:color="000000" w:sz="6" w:space="0"/>
            </w:tcBorders>
            <w:vAlign w:val="top"/>
          </w:tcPr>
          <w:p>
            <w:pPr>
              <w:spacing w:before="107" w:line="391" w:lineRule="exact"/>
              <w:ind w:left="112"/>
              <w:rPr>
                <w:rFonts w:hint="eastAsia" w:ascii="宋体" w:hAnsi="宋体" w:eastAsia="宋体" w:cs="宋体"/>
                <w:color w:val="auto"/>
                <w:sz w:val="21"/>
                <w:szCs w:val="21"/>
                <w:highlight w:val="none"/>
              </w:rPr>
            </w:pPr>
            <w:r>
              <w:rPr>
                <w:rFonts w:hint="eastAsia" w:ascii="宋体" w:hAnsi="宋体" w:eastAsia="宋体" w:cs="宋体"/>
                <w:color w:val="auto"/>
                <w:spacing w:val="-4"/>
                <w:position w:val="13"/>
                <w:sz w:val="21"/>
                <w:szCs w:val="21"/>
                <w:highlight w:val="none"/>
              </w:rPr>
              <w:t>设计变更通</w:t>
            </w:r>
            <w:r>
              <w:rPr>
                <w:rFonts w:hint="eastAsia" w:ascii="宋体" w:hAnsi="宋体" w:eastAsia="宋体" w:cs="宋体"/>
                <w:color w:val="auto"/>
                <w:spacing w:val="-2"/>
                <w:position w:val="13"/>
                <w:sz w:val="21"/>
                <w:szCs w:val="21"/>
                <w:highlight w:val="none"/>
              </w:rPr>
              <w:t>知及变更图纸、</w:t>
            </w:r>
          </w:p>
          <w:p>
            <w:pPr>
              <w:spacing w:line="218"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变更工程量</w:t>
            </w:r>
            <w:r>
              <w:rPr>
                <w:rFonts w:hint="eastAsia" w:ascii="宋体" w:hAnsi="宋体" w:eastAsia="宋体" w:cs="宋体"/>
                <w:color w:val="auto"/>
                <w:sz w:val="21"/>
                <w:szCs w:val="21"/>
                <w:highlight w:val="none"/>
              </w:rPr>
              <w:t>计算书</w:t>
            </w:r>
          </w:p>
        </w:tc>
        <w:tc>
          <w:tcPr>
            <w:tcW w:w="2295" w:type="dxa"/>
            <w:tcBorders>
              <w:left w:val="single" w:color="000000" w:sz="6" w:space="0"/>
              <w:right w:val="single" w:color="000000" w:sz="6" w:space="0"/>
            </w:tcBorders>
            <w:vAlign w:val="top"/>
          </w:tcPr>
          <w:p>
            <w:pPr>
              <w:spacing w:before="30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7" w:type="dxa"/>
            <w:tcBorders>
              <w:left w:val="single" w:color="000000" w:sz="4" w:space="0"/>
              <w:right w:val="single" w:color="000000" w:sz="6" w:space="0"/>
            </w:tcBorders>
            <w:vAlign w:val="top"/>
          </w:tcPr>
          <w:p>
            <w:pPr>
              <w:spacing w:before="203"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8</w:t>
            </w:r>
          </w:p>
        </w:tc>
        <w:tc>
          <w:tcPr>
            <w:tcW w:w="2760" w:type="dxa"/>
            <w:tcBorders>
              <w:left w:val="single" w:color="000000" w:sz="6" w:space="0"/>
              <w:right w:val="single" w:color="000000" w:sz="6" w:space="0"/>
            </w:tcBorders>
            <w:vAlign w:val="top"/>
          </w:tcPr>
          <w:p>
            <w:pPr>
              <w:spacing w:before="123"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工程量变更</w:t>
            </w:r>
            <w:r>
              <w:rPr>
                <w:rFonts w:hint="eastAsia" w:ascii="宋体" w:hAnsi="宋体" w:eastAsia="宋体" w:cs="宋体"/>
                <w:color w:val="auto"/>
                <w:sz w:val="21"/>
                <w:szCs w:val="21"/>
                <w:highlight w:val="none"/>
              </w:rPr>
              <w:t>增加投资审批资</w:t>
            </w:r>
          </w:p>
        </w:tc>
        <w:tc>
          <w:tcPr>
            <w:tcW w:w="2295" w:type="dxa"/>
            <w:tcBorders>
              <w:left w:val="single" w:color="000000" w:sz="6" w:space="0"/>
              <w:right w:val="single" w:color="000000" w:sz="6" w:space="0"/>
            </w:tcBorders>
            <w:vAlign w:val="top"/>
          </w:tcPr>
          <w:p>
            <w:pPr>
              <w:spacing w:before="168"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187" w:line="183" w:lineRule="auto"/>
              <w:ind w:left="256"/>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w:t>
            </w:r>
            <w:r>
              <w:rPr>
                <w:rFonts w:hint="eastAsia" w:ascii="宋体" w:hAnsi="宋体" w:eastAsia="宋体" w:cs="宋体"/>
                <w:color w:val="auto"/>
                <w:spacing w:val="-2"/>
                <w:sz w:val="21"/>
                <w:szCs w:val="21"/>
                <w:highlight w:val="none"/>
              </w:rPr>
              <w:t>9</w:t>
            </w:r>
          </w:p>
        </w:tc>
        <w:tc>
          <w:tcPr>
            <w:tcW w:w="2760" w:type="dxa"/>
            <w:tcBorders>
              <w:left w:val="single" w:color="000000" w:sz="6" w:space="0"/>
              <w:right w:val="single" w:color="000000" w:sz="6" w:space="0"/>
            </w:tcBorders>
            <w:vAlign w:val="top"/>
          </w:tcPr>
          <w:p>
            <w:pPr>
              <w:spacing w:before="152" w:line="220"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设</w:t>
            </w:r>
            <w:r>
              <w:rPr>
                <w:rFonts w:hint="eastAsia" w:ascii="宋体" w:hAnsi="宋体" w:eastAsia="宋体" w:cs="宋体"/>
                <w:color w:val="auto"/>
                <w:spacing w:val="-1"/>
                <w:sz w:val="21"/>
                <w:szCs w:val="21"/>
                <w:highlight w:val="none"/>
              </w:rPr>
              <w:t>计变更签证单</w:t>
            </w:r>
          </w:p>
        </w:tc>
        <w:tc>
          <w:tcPr>
            <w:tcW w:w="2295" w:type="dxa"/>
            <w:tcBorders>
              <w:left w:val="single" w:color="000000" w:sz="6" w:space="0"/>
              <w:right w:val="single" w:color="000000" w:sz="6" w:space="0"/>
            </w:tcBorders>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vAlign w:val="top"/>
          </w:tcPr>
          <w:p>
            <w:pPr>
              <w:spacing w:before="187"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0</w:t>
            </w:r>
          </w:p>
        </w:tc>
        <w:tc>
          <w:tcPr>
            <w:tcW w:w="2760" w:type="dxa"/>
            <w:tcBorders>
              <w:left w:val="single" w:color="000000" w:sz="6" w:space="0"/>
              <w:right w:val="single" w:color="000000" w:sz="6" w:space="0"/>
            </w:tcBorders>
            <w:vAlign w:val="top"/>
          </w:tcPr>
          <w:p>
            <w:pPr>
              <w:spacing w:before="153" w:line="220"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施工签证单</w:t>
            </w:r>
          </w:p>
        </w:tc>
        <w:tc>
          <w:tcPr>
            <w:tcW w:w="2295" w:type="dxa"/>
            <w:tcBorders>
              <w:left w:val="single" w:color="000000" w:sz="6" w:space="0"/>
              <w:right w:val="single" w:color="000000" w:sz="6" w:space="0"/>
            </w:tcBorders>
            <w:vAlign w:val="top"/>
          </w:tcPr>
          <w:p>
            <w:pPr>
              <w:spacing w:before="15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203"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1</w:t>
            </w:r>
          </w:p>
        </w:tc>
        <w:tc>
          <w:tcPr>
            <w:tcW w:w="2760" w:type="dxa"/>
            <w:tcBorders>
              <w:left w:val="single" w:color="000000" w:sz="6" w:space="0"/>
              <w:right w:val="single" w:color="000000" w:sz="6" w:space="0"/>
            </w:tcBorders>
            <w:vAlign w:val="top"/>
          </w:tcPr>
          <w:p>
            <w:pPr>
              <w:spacing w:before="168" w:line="218"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材料价格核</w:t>
            </w:r>
            <w:r>
              <w:rPr>
                <w:rFonts w:hint="eastAsia" w:ascii="宋体" w:hAnsi="宋体" w:eastAsia="宋体" w:cs="宋体"/>
                <w:color w:val="auto"/>
                <w:sz w:val="21"/>
                <w:szCs w:val="21"/>
                <w:highlight w:val="none"/>
              </w:rPr>
              <w:t>价单</w:t>
            </w:r>
          </w:p>
        </w:tc>
        <w:tc>
          <w:tcPr>
            <w:tcW w:w="2295" w:type="dxa"/>
            <w:tcBorders>
              <w:left w:val="single" w:color="000000" w:sz="6" w:space="0"/>
              <w:right w:val="single" w:color="000000" w:sz="6" w:space="0"/>
            </w:tcBorders>
            <w:vAlign w:val="top"/>
          </w:tcPr>
          <w:p>
            <w:pPr>
              <w:spacing w:before="16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203"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2</w:t>
            </w:r>
          </w:p>
        </w:tc>
        <w:tc>
          <w:tcPr>
            <w:tcW w:w="2760" w:type="dxa"/>
            <w:tcBorders>
              <w:left w:val="single" w:color="000000" w:sz="6" w:space="0"/>
              <w:right w:val="single" w:color="000000" w:sz="6" w:space="0"/>
            </w:tcBorders>
            <w:vAlign w:val="top"/>
          </w:tcPr>
          <w:p>
            <w:pPr>
              <w:spacing w:before="168" w:line="219"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重要材料</w:t>
            </w:r>
            <w:r>
              <w:rPr>
                <w:rFonts w:hint="eastAsia" w:ascii="宋体" w:hAnsi="宋体" w:eastAsia="宋体" w:cs="宋体"/>
                <w:color w:val="auto"/>
                <w:sz w:val="21"/>
                <w:szCs w:val="21"/>
                <w:highlight w:val="none"/>
              </w:rPr>
              <w:t>购销合同、发票</w:t>
            </w:r>
          </w:p>
        </w:tc>
        <w:tc>
          <w:tcPr>
            <w:tcW w:w="2295" w:type="dxa"/>
            <w:tcBorders>
              <w:left w:val="single" w:color="000000" w:sz="6" w:space="0"/>
              <w:right w:val="single" w:color="000000" w:sz="6" w:space="0"/>
            </w:tcBorders>
            <w:vAlign w:val="top"/>
          </w:tcPr>
          <w:p>
            <w:pPr>
              <w:spacing w:before="168" w:line="219" w:lineRule="auto"/>
              <w:ind w:left="464"/>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复</w:t>
            </w:r>
            <w:r>
              <w:rPr>
                <w:rFonts w:hint="eastAsia" w:ascii="宋体" w:hAnsi="宋体" w:eastAsia="宋体" w:cs="宋体"/>
                <w:color w:val="auto"/>
                <w:spacing w:val="-3"/>
                <w:sz w:val="21"/>
                <w:szCs w:val="21"/>
                <w:highlight w:val="none"/>
              </w:rPr>
              <w:t>印件(盖章)</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189"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3</w:t>
            </w:r>
          </w:p>
        </w:tc>
        <w:tc>
          <w:tcPr>
            <w:tcW w:w="2760" w:type="dxa"/>
            <w:tcBorders>
              <w:left w:val="single" w:color="000000" w:sz="6" w:space="0"/>
              <w:right w:val="single" w:color="000000" w:sz="6" w:space="0"/>
            </w:tcBorders>
            <w:vAlign w:val="top"/>
          </w:tcPr>
          <w:p>
            <w:pPr>
              <w:spacing w:before="153" w:line="220" w:lineRule="auto"/>
              <w:ind w:left="12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隐蔽项目技术资料</w:t>
            </w:r>
          </w:p>
        </w:tc>
        <w:tc>
          <w:tcPr>
            <w:tcW w:w="2295" w:type="dxa"/>
            <w:tcBorders>
              <w:left w:val="single" w:color="000000" w:sz="6" w:space="0"/>
              <w:right w:val="single" w:color="000000" w:sz="6" w:space="0"/>
            </w:tcBorders>
            <w:vAlign w:val="top"/>
          </w:tcPr>
          <w:p>
            <w:pPr>
              <w:spacing w:before="153"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0" w:hRule="atLeast"/>
        </w:trPr>
        <w:tc>
          <w:tcPr>
            <w:tcW w:w="697" w:type="dxa"/>
            <w:tcBorders>
              <w:left w:val="single" w:color="000000" w:sz="4" w:space="0"/>
              <w:right w:val="single" w:color="000000" w:sz="6" w:space="0"/>
            </w:tcBorders>
            <w:vAlign w:val="top"/>
          </w:tcPr>
          <w:p>
            <w:pPr>
              <w:spacing w:line="269" w:lineRule="auto"/>
              <w:rPr>
                <w:rFonts w:hint="eastAsia" w:ascii="宋体" w:hAnsi="宋体" w:eastAsia="宋体" w:cs="宋体"/>
                <w:color w:val="auto"/>
                <w:sz w:val="21"/>
                <w:highlight w:val="none"/>
              </w:rPr>
            </w:pPr>
          </w:p>
          <w:p>
            <w:pPr>
              <w:spacing w:before="69"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4</w:t>
            </w:r>
          </w:p>
        </w:tc>
        <w:tc>
          <w:tcPr>
            <w:tcW w:w="2760" w:type="dxa"/>
            <w:tcBorders>
              <w:left w:val="single" w:color="000000" w:sz="6" w:space="0"/>
              <w:right w:val="single" w:color="000000" w:sz="6" w:space="0"/>
            </w:tcBorders>
            <w:vAlign w:val="top"/>
          </w:tcPr>
          <w:p>
            <w:pPr>
              <w:spacing w:before="110" w:line="390" w:lineRule="exact"/>
              <w:ind w:left="110"/>
              <w:rPr>
                <w:rFonts w:hint="eastAsia" w:ascii="宋体" w:hAnsi="宋体" w:eastAsia="宋体" w:cs="宋体"/>
                <w:color w:val="auto"/>
                <w:sz w:val="21"/>
                <w:szCs w:val="21"/>
                <w:highlight w:val="none"/>
              </w:rPr>
            </w:pPr>
            <w:r>
              <w:rPr>
                <w:rFonts w:hint="eastAsia" w:ascii="宋体" w:hAnsi="宋体" w:eastAsia="宋体" w:cs="宋体"/>
                <w:color w:val="auto"/>
                <w:spacing w:val="-4"/>
                <w:position w:val="13"/>
                <w:sz w:val="21"/>
                <w:szCs w:val="21"/>
                <w:highlight w:val="none"/>
              </w:rPr>
              <w:t>土石方等</w:t>
            </w:r>
            <w:r>
              <w:rPr>
                <w:rFonts w:hint="eastAsia" w:ascii="宋体" w:hAnsi="宋体" w:eastAsia="宋体" w:cs="宋体"/>
                <w:color w:val="auto"/>
                <w:spacing w:val="-2"/>
                <w:position w:val="13"/>
                <w:sz w:val="21"/>
                <w:szCs w:val="21"/>
                <w:highlight w:val="none"/>
              </w:rPr>
              <w:t>项目的原始高程、</w:t>
            </w:r>
          </w:p>
          <w:p>
            <w:pPr>
              <w:spacing w:line="218"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第三方测绘</w:t>
            </w:r>
            <w:r>
              <w:rPr>
                <w:rFonts w:hint="eastAsia" w:ascii="宋体" w:hAnsi="宋体" w:eastAsia="宋体" w:cs="宋体"/>
                <w:color w:val="auto"/>
                <w:sz w:val="21"/>
                <w:szCs w:val="21"/>
                <w:highlight w:val="none"/>
              </w:rPr>
              <w:t>报告</w:t>
            </w:r>
          </w:p>
        </w:tc>
        <w:tc>
          <w:tcPr>
            <w:tcW w:w="2295" w:type="dxa"/>
            <w:tcBorders>
              <w:left w:val="single" w:color="000000" w:sz="6" w:space="0"/>
              <w:right w:val="single" w:color="000000" w:sz="6" w:space="0"/>
            </w:tcBorders>
            <w:vAlign w:val="top"/>
          </w:tcPr>
          <w:p>
            <w:pPr>
              <w:spacing w:before="304"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697" w:type="dxa"/>
            <w:tcBorders>
              <w:left w:val="single" w:color="000000" w:sz="4" w:space="0"/>
              <w:right w:val="single" w:color="000000" w:sz="6" w:space="0"/>
            </w:tcBorders>
            <w:vAlign w:val="top"/>
          </w:tcPr>
          <w:p>
            <w:pPr>
              <w:spacing w:before="190"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5</w:t>
            </w:r>
          </w:p>
        </w:tc>
        <w:tc>
          <w:tcPr>
            <w:tcW w:w="2760" w:type="dxa"/>
            <w:tcBorders>
              <w:left w:val="single" w:color="000000" w:sz="6" w:space="0"/>
              <w:right w:val="single" w:color="000000" w:sz="6" w:space="0"/>
            </w:tcBorders>
            <w:vAlign w:val="top"/>
          </w:tcPr>
          <w:p>
            <w:pPr>
              <w:spacing w:before="155" w:line="221"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监理</w:t>
            </w:r>
            <w:r>
              <w:rPr>
                <w:rFonts w:hint="eastAsia" w:ascii="宋体" w:hAnsi="宋体" w:eastAsia="宋体" w:cs="宋体"/>
                <w:color w:val="auto"/>
                <w:spacing w:val="-1"/>
                <w:sz w:val="21"/>
                <w:szCs w:val="21"/>
                <w:highlight w:val="none"/>
              </w:rPr>
              <w:t>总结</w:t>
            </w:r>
          </w:p>
        </w:tc>
        <w:tc>
          <w:tcPr>
            <w:tcW w:w="2295" w:type="dxa"/>
            <w:tcBorders>
              <w:left w:val="single" w:color="000000" w:sz="6" w:space="0"/>
              <w:right w:val="single" w:color="000000" w:sz="6" w:space="0"/>
            </w:tcBorders>
            <w:vAlign w:val="top"/>
          </w:tcPr>
          <w:p>
            <w:pPr>
              <w:spacing w:before="154"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697" w:type="dxa"/>
            <w:tcBorders>
              <w:left w:val="single" w:color="000000" w:sz="4" w:space="0"/>
              <w:right w:val="single" w:color="000000" w:sz="6" w:space="0"/>
            </w:tcBorders>
            <w:vAlign w:val="top"/>
          </w:tcPr>
          <w:p>
            <w:pPr>
              <w:spacing w:before="190"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6</w:t>
            </w:r>
          </w:p>
        </w:tc>
        <w:tc>
          <w:tcPr>
            <w:tcW w:w="2760" w:type="dxa"/>
            <w:tcBorders>
              <w:left w:val="single" w:color="000000" w:sz="6" w:space="0"/>
              <w:right w:val="single" w:color="000000" w:sz="6" w:space="0"/>
            </w:tcBorders>
            <w:vAlign w:val="top"/>
          </w:tcPr>
          <w:p>
            <w:pPr>
              <w:spacing w:before="155" w:line="219" w:lineRule="auto"/>
              <w:ind w:left="11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工</w:t>
            </w:r>
            <w:r>
              <w:rPr>
                <w:rFonts w:hint="eastAsia" w:ascii="宋体" w:hAnsi="宋体" w:eastAsia="宋体" w:cs="宋体"/>
                <w:color w:val="auto"/>
                <w:spacing w:val="-1"/>
                <w:sz w:val="21"/>
                <w:szCs w:val="21"/>
                <w:highlight w:val="none"/>
              </w:rPr>
              <w:t>程例会纪要</w:t>
            </w:r>
          </w:p>
        </w:tc>
        <w:tc>
          <w:tcPr>
            <w:tcW w:w="2295" w:type="dxa"/>
            <w:tcBorders>
              <w:left w:val="single" w:color="000000" w:sz="6" w:space="0"/>
              <w:right w:val="single" w:color="000000" w:sz="6" w:space="0"/>
            </w:tcBorders>
            <w:vAlign w:val="top"/>
          </w:tcPr>
          <w:p>
            <w:pPr>
              <w:spacing w:before="155"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trPr>
        <w:tc>
          <w:tcPr>
            <w:tcW w:w="697" w:type="dxa"/>
            <w:tcBorders>
              <w:left w:val="single" w:color="000000" w:sz="4" w:space="0"/>
              <w:right w:val="single" w:color="000000" w:sz="6" w:space="0"/>
            </w:tcBorders>
            <w:vAlign w:val="top"/>
          </w:tcPr>
          <w:p>
            <w:pPr>
              <w:spacing w:line="286" w:lineRule="auto"/>
              <w:rPr>
                <w:rFonts w:hint="eastAsia" w:ascii="宋体" w:hAnsi="宋体" w:eastAsia="宋体" w:cs="宋体"/>
                <w:color w:val="auto"/>
                <w:sz w:val="21"/>
                <w:highlight w:val="none"/>
              </w:rPr>
            </w:pPr>
          </w:p>
          <w:p>
            <w:pPr>
              <w:spacing w:before="68"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7</w:t>
            </w:r>
          </w:p>
        </w:tc>
        <w:tc>
          <w:tcPr>
            <w:tcW w:w="2760" w:type="dxa"/>
            <w:tcBorders>
              <w:left w:val="single" w:color="000000" w:sz="6" w:space="0"/>
              <w:right w:val="single" w:color="000000" w:sz="6" w:space="0"/>
            </w:tcBorders>
            <w:vAlign w:val="top"/>
          </w:tcPr>
          <w:p>
            <w:pPr>
              <w:spacing w:before="126" w:line="375" w:lineRule="exact"/>
              <w:ind w:left="110"/>
              <w:rPr>
                <w:rFonts w:hint="eastAsia" w:ascii="宋体" w:hAnsi="宋体" w:eastAsia="宋体" w:cs="宋体"/>
                <w:color w:val="auto"/>
                <w:sz w:val="21"/>
                <w:szCs w:val="21"/>
                <w:highlight w:val="none"/>
              </w:rPr>
            </w:pPr>
            <w:r>
              <w:rPr>
                <w:rFonts w:hint="eastAsia" w:ascii="宋体" w:hAnsi="宋体" w:eastAsia="宋体" w:cs="宋体"/>
                <w:color w:val="auto"/>
                <w:spacing w:val="13"/>
                <w:position w:val="12"/>
                <w:sz w:val="21"/>
                <w:szCs w:val="21"/>
                <w:highlight w:val="none"/>
              </w:rPr>
              <w:t>竣</w:t>
            </w:r>
            <w:r>
              <w:rPr>
                <w:rFonts w:hint="eastAsia" w:ascii="宋体" w:hAnsi="宋体" w:eastAsia="宋体" w:cs="宋体"/>
                <w:color w:val="auto"/>
                <w:spacing w:val="8"/>
                <w:position w:val="12"/>
                <w:sz w:val="21"/>
                <w:szCs w:val="21"/>
                <w:highlight w:val="none"/>
              </w:rPr>
              <w:t>工验收资料(竣工验收会</w:t>
            </w:r>
          </w:p>
          <w:p>
            <w:pPr>
              <w:spacing w:line="218" w:lineRule="auto"/>
              <w:ind w:left="111"/>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议纪要、验收意见书</w:t>
            </w:r>
            <w:r>
              <w:rPr>
                <w:rFonts w:hint="eastAsia" w:ascii="宋体" w:hAnsi="宋体" w:eastAsia="宋体" w:cs="宋体"/>
                <w:color w:val="auto"/>
                <w:spacing w:val="-1"/>
                <w:sz w:val="21"/>
                <w:szCs w:val="21"/>
                <w:highlight w:val="none"/>
              </w:rPr>
              <w:t>)</w:t>
            </w:r>
          </w:p>
        </w:tc>
        <w:tc>
          <w:tcPr>
            <w:tcW w:w="2295" w:type="dxa"/>
            <w:tcBorders>
              <w:left w:val="single" w:color="000000" w:sz="6" w:space="0"/>
              <w:right w:val="single" w:color="000000" w:sz="6" w:space="0"/>
            </w:tcBorders>
            <w:vAlign w:val="top"/>
          </w:tcPr>
          <w:p>
            <w:pPr>
              <w:spacing w:line="251" w:lineRule="auto"/>
              <w:rPr>
                <w:rFonts w:hint="eastAsia" w:ascii="宋体" w:hAnsi="宋体" w:eastAsia="宋体" w:cs="宋体"/>
                <w:color w:val="auto"/>
                <w:sz w:val="21"/>
                <w:highlight w:val="none"/>
              </w:rPr>
            </w:pPr>
          </w:p>
          <w:p>
            <w:pPr>
              <w:spacing w:before="68"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Borders>
              <w:left w:val="single" w:color="000000" w:sz="4" w:space="0"/>
              <w:right w:val="single" w:color="000000" w:sz="6" w:space="0"/>
            </w:tcBorders>
            <w:vAlign w:val="top"/>
          </w:tcPr>
          <w:p>
            <w:pPr>
              <w:spacing w:before="146"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8</w:t>
            </w:r>
          </w:p>
        </w:tc>
        <w:tc>
          <w:tcPr>
            <w:tcW w:w="2760" w:type="dxa"/>
            <w:tcBorders>
              <w:left w:val="single" w:color="000000" w:sz="6" w:space="0"/>
              <w:right w:val="single" w:color="000000" w:sz="6" w:space="0"/>
            </w:tcBorders>
            <w:vAlign w:val="top"/>
          </w:tcPr>
          <w:p>
            <w:pPr>
              <w:spacing w:before="111" w:line="220" w:lineRule="auto"/>
              <w:ind w:left="113"/>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安全文明施工验</w:t>
            </w:r>
            <w:r>
              <w:rPr>
                <w:rFonts w:hint="eastAsia" w:ascii="宋体" w:hAnsi="宋体" w:eastAsia="宋体" w:cs="宋体"/>
                <w:color w:val="auto"/>
                <w:sz w:val="21"/>
                <w:szCs w:val="21"/>
                <w:highlight w:val="none"/>
              </w:rPr>
              <w:t>收评定表</w:t>
            </w:r>
          </w:p>
        </w:tc>
        <w:tc>
          <w:tcPr>
            <w:tcW w:w="2295" w:type="dxa"/>
            <w:tcBorders>
              <w:left w:val="single" w:color="000000" w:sz="6" w:space="0"/>
              <w:right w:val="single" w:color="000000" w:sz="6" w:space="0"/>
            </w:tcBorders>
            <w:vAlign w:val="top"/>
          </w:tcPr>
          <w:p>
            <w:pPr>
              <w:spacing w:before="111"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697" w:type="dxa"/>
            <w:tcBorders>
              <w:left w:val="single" w:color="000000" w:sz="4" w:space="0"/>
              <w:right w:val="single" w:color="000000" w:sz="6" w:space="0"/>
            </w:tcBorders>
            <w:vAlign w:val="top"/>
          </w:tcPr>
          <w:p>
            <w:pPr>
              <w:spacing w:before="222" w:line="183" w:lineRule="auto"/>
              <w:ind w:left="257"/>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3</w:t>
            </w:r>
            <w:r>
              <w:rPr>
                <w:rFonts w:hint="eastAsia" w:ascii="宋体" w:hAnsi="宋体" w:eastAsia="宋体" w:cs="宋体"/>
                <w:color w:val="auto"/>
                <w:spacing w:val="-3"/>
                <w:sz w:val="21"/>
                <w:szCs w:val="21"/>
                <w:highlight w:val="none"/>
              </w:rPr>
              <w:t>9</w:t>
            </w:r>
          </w:p>
        </w:tc>
        <w:tc>
          <w:tcPr>
            <w:tcW w:w="2760" w:type="dxa"/>
            <w:tcBorders>
              <w:left w:val="single" w:color="000000" w:sz="6" w:space="0"/>
              <w:right w:val="single" w:color="000000" w:sz="6" w:space="0"/>
            </w:tcBorders>
            <w:vAlign w:val="top"/>
          </w:tcPr>
          <w:p>
            <w:pPr>
              <w:spacing w:before="187" w:line="219" w:lineRule="auto"/>
              <w:ind w:left="109"/>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相关领</w:t>
            </w:r>
            <w:r>
              <w:rPr>
                <w:rFonts w:hint="eastAsia" w:ascii="宋体" w:hAnsi="宋体" w:eastAsia="宋体" w:cs="宋体"/>
                <w:color w:val="auto"/>
                <w:sz w:val="21"/>
                <w:szCs w:val="21"/>
                <w:highlight w:val="none"/>
              </w:rPr>
              <w:t>导批示、会议纪要等</w:t>
            </w:r>
          </w:p>
        </w:tc>
        <w:tc>
          <w:tcPr>
            <w:tcW w:w="2295" w:type="dxa"/>
            <w:tcBorders>
              <w:left w:val="single" w:color="000000" w:sz="6" w:space="0"/>
              <w:right w:val="single" w:color="000000" w:sz="6" w:space="0"/>
            </w:tcBorders>
            <w:vAlign w:val="top"/>
          </w:tcPr>
          <w:p>
            <w:pPr>
              <w:spacing w:before="18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spacing w:before="187" w:line="219" w:lineRule="auto"/>
              <w:ind w:left="460"/>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由</w:t>
            </w:r>
            <w:r>
              <w:rPr>
                <w:rFonts w:hint="eastAsia" w:ascii="宋体" w:hAnsi="宋体" w:eastAsia="宋体" w:cs="宋体"/>
                <w:color w:val="auto"/>
                <w:spacing w:val="-4"/>
                <w:sz w:val="21"/>
                <w:szCs w:val="21"/>
                <w:highlight w:val="none"/>
              </w:rPr>
              <w:t>发包方提供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697" w:type="dxa"/>
            <w:tcBorders>
              <w:left w:val="single" w:color="000000" w:sz="4" w:space="0"/>
              <w:right w:val="single" w:color="000000" w:sz="6" w:space="0"/>
            </w:tcBorders>
            <w:vAlign w:val="top"/>
          </w:tcPr>
          <w:p>
            <w:pPr>
              <w:spacing w:before="162" w:line="182" w:lineRule="auto"/>
              <w:ind w:left="25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40</w:t>
            </w:r>
          </w:p>
        </w:tc>
        <w:tc>
          <w:tcPr>
            <w:tcW w:w="2760" w:type="dxa"/>
            <w:tcBorders>
              <w:left w:val="single" w:color="000000" w:sz="6" w:space="0"/>
              <w:right w:val="single" w:color="000000" w:sz="6" w:space="0"/>
            </w:tcBorders>
            <w:vAlign w:val="top"/>
          </w:tcPr>
          <w:p>
            <w:pPr>
              <w:spacing w:before="127" w:line="213" w:lineRule="auto"/>
              <w:ind w:left="108"/>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施工设计</w:t>
            </w:r>
            <w:r>
              <w:rPr>
                <w:rFonts w:hint="eastAsia" w:ascii="宋体" w:hAnsi="宋体" w:eastAsia="宋体" w:cs="宋体"/>
                <w:color w:val="auto"/>
                <w:sz w:val="21"/>
                <w:szCs w:val="21"/>
                <w:highlight w:val="none"/>
              </w:rPr>
              <w:t>图纸(审查通过</w:t>
            </w:r>
          </w:p>
        </w:tc>
        <w:tc>
          <w:tcPr>
            <w:tcW w:w="2295" w:type="dxa"/>
            <w:tcBorders>
              <w:left w:val="single" w:color="000000" w:sz="6" w:space="0"/>
              <w:right w:val="single" w:color="000000" w:sz="6" w:space="0"/>
            </w:tcBorders>
            <w:vAlign w:val="top"/>
          </w:tcPr>
          <w:p>
            <w:pPr>
              <w:spacing w:before="127" w:line="213"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697" w:type="dxa"/>
            <w:tcBorders>
              <w:left w:val="single" w:color="000000" w:sz="4" w:space="0"/>
              <w:right w:val="single" w:color="000000" w:sz="6" w:space="0"/>
            </w:tcBorders>
            <w:vAlign w:val="top"/>
          </w:tcPr>
          <w:p>
            <w:pPr>
              <w:spacing w:before="162" w:line="185" w:lineRule="auto"/>
              <w:ind w:left="25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41</w:t>
            </w:r>
          </w:p>
        </w:tc>
        <w:tc>
          <w:tcPr>
            <w:tcW w:w="2760" w:type="dxa"/>
            <w:tcBorders>
              <w:left w:val="single" w:color="000000" w:sz="6" w:space="0"/>
              <w:right w:val="single" w:color="000000" w:sz="6" w:space="0"/>
            </w:tcBorders>
            <w:vAlign w:val="top"/>
          </w:tcPr>
          <w:p>
            <w:pPr>
              <w:spacing w:before="127" w:line="220"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竣工图</w:t>
            </w:r>
          </w:p>
        </w:tc>
        <w:tc>
          <w:tcPr>
            <w:tcW w:w="2295" w:type="dxa"/>
            <w:tcBorders>
              <w:left w:val="single" w:color="000000" w:sz="6" w:space="0"/>
              <w:right w:val="single" w:color="000000" w:sz="6" w:space="0"/>
            </w:tcBorders>
            <w:vAlign w:val="top"/>
          </w:tcPr>
          <w:p>
            <w:pPr>
              <w:spacing w:before="127"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697" w:type="dxa"/>
            <w:tcBorders>
              <w:left w:val="single" w:color="000000" w:sz="4" w:space="0"/>
              <w:right w:val="single" w:color="000000" w:sz="6" w:space="0"/>
            </w:tcBorders>
            <w:vAlign w:val="top"/>
          </w:tcPr>
          <w:p>
            <w:pPr>
              <w:spacing w:before="148" w:line="184" w:lineRule="auto"/>
              <w:ind w:left="25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42</w:t>
            </w:r>
          </w:p>
        </w:tc>
        <w:tc>
          <w:tcPr>
            <w:tcW w:w="2760" w:type="dxa"/>
            <w:tcBorders>
              <w:left w:val="single" w:color="000000" w:sz="6" w:space="0"/>
              <w:right w:val="single" w:color="000000" w:sz="6" w:space="0"/>
            </w:tcBorders>
            <w:vAlign w:val="top"/>
          </w:tcPr>
          <w:p>
            <w:pPr>
              <w:spacing w:before="112" w:line="220" w:lineRule="auto"/>
              <w:ind w:left="11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其他结算相</w:t>
            </w:r>
            <w:r>
              <w:rPr>
                <w:rFonts w:hint="eastAsia" w:ascii="宋体" w:hAnsi="宋体" w:eastAsia="宋体" w:cs="宋体"/>
                <w:color w:val="auto"/>
                <w:sz w:val="21"/>
                <w:szCs w:val="21"/>
                <w:highlight w:val="none"/>
              </w:rPr>
              <w:t>关资料</w:t>
            </w:r>
          </w:p>
        </w:tc>
        <w:tc>
          <w:tcPr>
            <w:tcW w:w="2295" w:type="dxa"/>
            <w:tcBorders>
              <w:left w:val="single" w:color="000000" w:sz="6" w:space="0"/>
              <w:right w:val="single" w:color="000000" w:sz="6" w:space="0"/>
            </w:tcBorders>
            <w:vAlign w:val="top"/>
          </w:tcPr>
          <w:p>
            <w:pPr>
              <w:spacing w:before="112" w:line="220" w:lineRule="auto"/>
              <w:ind w:left="944"/>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原</w:t>
            </w:r>
            <w:r>
              <w:rPr>
                <w:rFonts w:hint="eastAsia" w:ascii="宋体" w:hAnsi="宋体" w:eastAsia="宋体" w:cs="宋体"/>
                <w:color w:val="auto"/>
                <w:spacing w:val="-3"/>
                <w:sz w:val="21"/>
                <w:szCs w:val="21"/>
                <w:highlight w:val="none"/>
              </w:rPr>
              <w:t>件</w:t>
            </w:r>
          </w:p>
        </w:tc>
        <w:tc>
          <w:tcPr>
            <w:tcW w:w="1454"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c>
          <w:tcPr>
            <w:tcW w:w="2123" w:type="dxa"/>
            <w:tcBorders>
              <w:left w:val="single" w:color="000000" w:sz="6" w:space="0"/>
              <w:right w:val="single" w:color="000000" w:sz="6" w:space="0"/>
            </w:tcBorders>
            <w:vAlign w:val="top"/>
          </w:tcPr>
          <w:p>
            <w:pPr>
              <w:rPr>
                <w:rFonts w:hint="eastAsia" w:ascii="宋体" w:hAnsi="宋体" w:eastAsia="宋体" w:cs="宋体"/>
                <w:color w:val="auto"/>
                <w:sz w:val="21"/>
                <w:highlight w:val="none"/>
              </w:rPr>
            </w:pPr>
          </w:p>
        </w:tc>
      </w:tr>
    </w:tbl>
    <w:p>
      <w:pPr>
        <w:rPr>
          <w:rFonts w:hint="eastAsia" w:ascii="宋体" w:hAnsi="宋体" w:eastAsia="宋体" w:cs="宋体"/>
          <w:color w:val="auto"/>
          <w:highlight w:val="none"/>
        </w:rPr>
      </w:pPr>
    </w:p>
    <w:p>
      <w:pPr>
        <w:spacing w:line="360" w:lineRule="auto"/>
        <w:ind w:firstLine="600" w:firstLineChars="250"/>
        <w:outlineLvl w:val="9"/>
        <w:rPr>
          <w:rFonts w:hint="eastAsia" w:ascii="宋体" w:hAnsi="宋体" w:eastAsia="宋体" w:cs="宋体"/>
          <w:color w:val="auto"/>
          <w:sz w:val="24"/>
          <w:szCs w:val="24"/>
          <w:highlight w:val="none"/>
          <w:lang w:eastAsia="zh-CN"/>
        </w:rPr>
      </w:pPr>
    </w:p>
    <w:p>
      <w:pPr>
        <w:rPr>
          <w:rFonts w:hint="eastAsia" w:ascii="宋体" w:hAnsi="宋体" w:eastAsia="宋体" w:cs="宋体"/>
          <w:b/>
          <w:color w:val="auto"/>
          <w:sz w:val="36"/>
          <w:szCs w:val="36"/>
          <w:highlight w:val="none"/>
        </w:rPr>
      </w:pPr>
      <w:bookmarkStart w:id="1540" w:name="_Hlt41879464"/>
      <w:bookmarkEnd w:id="1540"/>
      <w:bookmarkStart w:id="1541" w:name="_Toc12789072"/>
      <w:r>
        <w:rPr>
          <w:rFonts w:hint="eastAsia" w:ascii="宋体" w:hAnsi="宋体" w:eastAsia="宋体" w:cs="宋体"/>
          <w:b/>
          <w:color w:val="auto"/>
          <w:sz w:val="36"/>
          <w:szCs w:val="36"/>
          <w:highlight w:val="none"/>
        </w:rPr>
        <w:br w:type="page"/>
      </w:r>
    </w:p>
    <w:p>
      <w:pPr>
        <w:pStyle w:val="2"/>
        <w:rPr>
          <w:rFonts w:hint="eastAsia" w:ascii="宋体" w:hAnsi="宋体" w:eastAsia="宋体" w:cs="宋体"/>
          <w:color w:val="auto"/>
          <w:highlight w:val="none"/>
        </w:rPr>
      </w:pPr>
    </w:p>
    <w:p>
      <w:pPr>
        <w:spacing w:before="0" w:after="0" w:line="360" w:lineRule="auto"/>
        <w:jc w:val="center"/>
        <w:outlineLvl w:val="0"/>
        <w:rPr>
          <w:rFonts w:hint="eastAsia" w:ascii="宋体" w:hAnsi="宋体" w:eastAsia="宋体" w:cs="宋体"/>
          <w:b/>
          <w:bCs/>
          <w:color w:val="auto"/>
          <w:sz w:val="36"/>
          <w:szCs w:val="36"/>
          <w:highlight w:val="none"/>
        </w:rPr>
      </w:pPr>
      <w:bookmarkStart w:id="1542" w:name="_Toc28990"/>
      <w:bookmarkStart w:id="1543" w:name="_Toc6150"/>
      <w:r>
        <w:rPr>
          <w:rFonts w:hint="eastAsia" w:ascii="宋体" w:hAnsi="宋体" w:eastAsia="宋体" w:cs="宋体"/>
          <w:b/>
          <w:bCs/>
          <w:color w:val="auto"/>
          <w:sz w:val="36"/>
          <w:szCs w:val="36"/>
          <w:highlight w:val="none"/>
        </w:rPr>
        <w:t xml:space="preserve">第七篇  </w:t>
      </w:r>
      <w:bookmarkEnd w:id="1541"/>
      <w:r>
        <w:rPr>
          <w:rFonts w:hint="eastAsia" w:ascii="宋体" w:hAnsi="宋体" w:eastAsia="宋体" w:cs="宋体"/>
          <w:b/>
          <w:bCs/>
          <w:color w:val="auto"/>
          <w:sz w:val="36"/>
          <w:szCs w:val="36"/>
          <w:highlight w:val="none"/>
        </w:rPr>
        <w:t>响应文件编制要求</w:t>
      </w:r>
      <w:bookmarkEnd w:id="1542"/>
      <w:bookmarkEnd w:id="1543"/>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一、经济部分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（一）竞争性磋商报价函</w:t>
      </w:r>
    </w:p>
    <w:p>
      <w:pPr>
        <w:spacing w:line="360" w:lineRule="auto"/>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已标价工程量清单</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技术</w:t>
      </w:r>
      <w:r>
        <w:rPr>
          <w:rFonts w:hint="eastAsia" w:ascii="宋体" w:hAnsi="宋体" w:eastAsia="宋体" w:cs="宋体"/>
          <w:b w:val="0"/>
          <w:bCs w:val="0"/>
          <w:color w:val="auto"/>
          <w:sz w:val="24"/>
          <w:szCs w:val="24"/>
          <w:highlight w:val="none"/>
        </w:rPr>
        <w:t>部分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技术</w:t>
      </w:r>
      <w:r>
        <w:rPr>
          <w:rFonts w:hint="eastAsia" w:ascii="宋体" w:hAnsi="宋体" w:eastAsia="宋体" w:cs="宋体"/>
          <w:b w:val="0"/>
          <w:bCs w:val="0"/>
          <w:color w:val="auto"/>
          <w:sz w:val="24"/>
          <w:szCs w:val="24"/>
          <w:highlight w:val="none"/>
        </w:rPr>
        <w:t>响应偏离表</w:t>
      </w:r>
    </w:p>
    <w:p>
      <w:pPr>
        <w:spacing w:line="360" w:lineRule="auto"/>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施工方案编制（格式自拟）</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三、商务部分</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一</w:t>
      </w:r>
      <w:r>
        <w:rPr>
          <w:rFonts w:hint="eastAsia" w:ascii="宋体" w:hAnsi="宋体" w:eastAsia="宋体" w:cs="宋体"/>
          <w:b w:val="0"/>
          <w:bCs w:val="0"/>
          <w:color w:val="auto"/>
          <w:sz w:val="24"/>
          <w:szCs w:val="24"/>
          <w:highlight w:val="none"/>
        </w:rPr>
        <w:t>）商务响应偏离表</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）根据第四篇评分标准中商务部分的要求提供相应的应答</w:t>
      </w:r>
    </w:p>
    <w:p>
      <w:pPr>
        <w:spacing w:line="360" w:lineRule="auto"/>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（三）其他商务优惠承诺（如有，自拟。）</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四、资格条件及其他</w:t>
      </w:r>
    </w:p>
    <w:p>
      <w:pPr>
        <w:tabs>
          <w:tab w:val="left" w:pos="6300"/>
        </w:tabs>
        <w:snapToGrid w:val="0"/>
        <w:spacing w:line="360" w:lineRule="auto"/>
        <w:ind w:firstLine="57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w:t>
      </w:r>
      <w:r>
        <w:rPr>
          <w:rFonts w:hint="eastAsia" w:ascii="宋体" w:hAnsi="宋体" w:eastAsia="宋体" w:cs="宋体"/>
          <w:color w:val="auto"/>
          <w:sz w:val="24"/>
          <w:szCs w:val="24"/>
          <w:highlight w:val="none"/>
        </w:rPr>
        <w:t>法人营业执照（副本）或事业单位法人证书（副本）或个体工商户营业执照或有效的自然人身份证明或组织机构代码证复印件</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（二）法定代表人（或分支机构负责人）身份证明书（格式）</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三</w:t>
      </w:r>
      <w:r>
        <w:rPr>
          <w:rFonts w:hint="eastAsia" w:ascii="宋体" w:hAnsi="宋体" w:eastAsia="宋体" w:cs="宋体"/>
          <w:b w:val="0"/>
          <w:bCs w:val="0"/>
          <w:color w:val="auto"/>
          <w:sz w:val="24"/>
          <w:szCs w:val="24"/>
          <w:highlight w:val="none"/>
        </w:rPr>
        <w:t>）法定代表人（或分支机构负责人）授权委托书（格式）</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四</w:t>
      </w:r>
      <w:r>
        <w:rPr>
          <w:rFonts w:hint="eastAsia" w:ascii="宋体" w:hAnsi="宋体" w:eastAsia="宋体" w:cs="宋体"/>
          <w:b w:val="0"/>
          <w:bCs w:val="0"/>
          <w:color w:val="auto"/>
          <w:sz w:val="24"/>
          <w:szCs w:val="24"/>
          <w:highlight w:val="none"/>
        </w:rPr>
        <w:t>）基本资格条件承诺函（格式）</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五</w:t>
      </w:r>
      <w:r>
        <w:rPr>
          <w:rFonts w:hint="eastAsia" w:ascii="宋体" w:hAnsi="宋体" w:eastAsia="宋体" w:cs="宋体"/>
          <w:b w:val="0"/>
          <w:bCs w:val="0"/>
          <w:color w:val="auto"/>
          <w:sz w:val="24"/>
          <w:szCs w:val="24"/>
          <w:highlight w:val="none"/>
          <w:lang w:eastAsia="zh-CN"/>
        </w:rPr>
        <w:t>）施工信誉及人员承诺（格式）</w:t>
      </w:r>
    </w:p>
    <w:p>
      <w:pPr>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六</w:t>
      </w:r>
      <w:r>
        <w:rPr>
          <w:rFonts w:hint="eastAsia" w:ascii="宋体" w:hAnsi="宋体" w:eastAsia="宋体" w:cs="宋体"/>
          <w:b w:val="0"/>
          <w:bCs w:val="0"/>
          <w:color w:val="auto"/>
          <w:sz w:val="24"/>
          <w:szCs w:val="24"/>
          <w:highlight w:val="none"/>
        </w:rPr>
        <w:t>）特定资格条件</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五、其他应提供的资料</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（一）其他资料</w:t>
      </w:r>
    </w:p>
    <w:p>
      <w:pPr>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1、其他与项目有关的资料</w:t>
      </w:r>
    </w:p>
    <w:p>
      <w:pPr>
        <w:snapToGrid w:val="0"/>
        <w:spacing w:line="360" w:lineRule="auto"/>
        <w:outlineLvl w:val="9"/>
        <w:rPr>
          <w:rFonts w:hint="eastAsia" w:ascii="宋体" w:hAnsi="宋体" w:eastAsia="宋体" w:cs="宋体"/>
          <w:b/>
          <w:bCs/>
          <w:color w:val="auto"/>
          <w:sz w:val="24"/>
          <w:szCs w:val="24"/>
          <w:highlight w:val="none"/>
          <w:bdr w:val="single" w:color="auto" w:sz="4" w:space="0"/>
        </w:rPr>
        <w:sectPr>
          <w:footerReference r:id="rId11" w:type="default"/>
          <w:pgSz w:w="11905" w:h="16838"/>
          <w:pgMar w:top="850" w:right="850" w:bottom="1134" w:left="1304" w:header="0" w:footer="0" w:gutter="0"/>
          <w:pgNumType w:fmt="decimal"/>
          <w:cols w:space="0" w:num="1"/>
          <w:rtlGutter w:val="0"/>
          <w:docGrid w:linePitch="380" w:charSpace="0"/>
        </w:sectPr>
      </w:pPr>
    </w:p>
    <w:p>
      <w:pPr>
        <w:spacing w:before="0" w:after="0" w:line="360" w:lineRule="auto"/>
        <w:outlineLvl w:val="1"/>
        <w:rPr>
          <w:rFonts w:hint="eastAsia" w:ascii="宋体" w:hAnsi="宋体" w:eastAsia="宋体" w:cs="宋体"/>
          <w:b w:val="0"/>
          <w:bCs w:val="0"/>
          <w:color w:val="auto"/>
          <w:sz w:val="24"/>
          <w:szCs w:val="24"/>
          <w:highlight w:val="none"/>
        </w:rPr>
      </w:pPr>
      <w:bookmarkStart w:id="1544" w:name="_Toc342913419"/>
      <w:bookmarkStart w:id="1545" w:name="_Toc30934"/>
      <w:bookmarkStart w:id="1546" w:name="_Toc313008356"/>
      <w:bookmarkStart w:id="1547" w:name="_Toc24115"/>
      <w:bookmarkStart w:id="1548" w:name="_Toc1726"/>
      <w:bookmarkStart w:id="1549" w:name="_Toc313888360"/>
      <w:bookmarkStart w:id="1550" w:name="_Toc12789073"/>
      <w:bookmarkStart w:id="1551" w:name="_Toc283382454"/>
      <w:r>
        <w:rPr>
          <w:rFonts w:hint="eastAsia" w:ascii="宋体" w:hAnsi="宋体" w:eastAsia="宋体" w:cs="宋体"/>
          <w:b w:val="0"/>
          <w:bCs w:val="0"/>
          <w:color w:val="auto"/>
          <w:sz w:val="24"/>
          <w:szCs w:val="24"/>
          <w:highlight w:val="none"/>
        </w:rPr>
        <w:t>一、经济部分</w:t>
      </w:r>
      <w:bookmarkEnd w:id="1544"/>
      <w:bookmarkEnd w:id="1545"/>
      <w:bookmarkEnd w:id="1546"/>
      <w:bookmarkEnd w:id="1547"/>
      <w:bookmarkEnd w:id="1548"/>
      <w:bookmarkEnd w:id="1549"/>
    </w:p>
    <w:bookmarkEnd w:id="1550"/>
    <w:bookmarkEnd w:id="1551"/>
    <w:p>
      <w:pPr>
        <w:tabs>
          <w:tab w:val="left" w:pos="6300"/>
        </w:tabs>
        <w:snapToGrid w:val="0"/>
        <w:spacing w:line="360" w:lineRule="auto"/>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（一）竞争性磋商报价函</w:t>
      </w:r>
    </w:p>
    <w:p>
      <w:pPr>
        <w:tabs>
          <w:tab w:val="left" w:pos="6300"/>
        </w:tabs>
        <w:snapToGrid w:val="0"/>
        <w:spacing w:line="360" w:lineRule="auto"/>
        <w:jc w:val="center"/>
        <w:outlineLvl w:val="9"/>
        <w:rPr>
          <w:rFonts w:hint="eastAsia" w:ascii="宋体" w:hAnsi="宋体" w:eastAsia="宋体" w:cs="宋体"/>
          <w:b w:val="0"/>
          <w:bCs w:val="0"/>
          <w:color w:val="auto"/>
          <w:szCs w:val="28"/>
          <w:highlight w:val="none"/>
        </w:rPr>
      </w:pPr>
    </w:p>
    <w:p>
      <w:pPr>
        <w:tabs>
          <w:tab w:val="left" w:pos="6300"/>
        </w:tabs>
        <w:snapToGrid w:val="0"/>
        <w:spacing w:line="360" w:lineRule="auto"/>
        <w:jc w:val="center"/>
        <w:outlineLvl w:val="9"/>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rPr>
        <w:t>竞争性磋商</w:t>
      </w:r>
      <w:r>
        <w:rPr>
          <w:rFonts w:hint="eastAsia" w:ascii="宋体" w:hAnsi="宋体" w:eastAsia="宋体" w:cs="宋体"/>
          <w:b w:val="0"/>
          <w:bCs w:val="0"/>
          <w:color w:val="auto"/>
          <w:szCs w:val="28"/>
          <w:highlight w:val="none"/>
          <w:lang w:val="en-US" w:eastAsia="zh-CN"/>
        </w:rPr>
        <w:t>一次</w:t>
      </w:r>
      <w:r>
        <w:rPr>
          <w:rFonts w:hint="eastAsia" w:ascii="宋体" w:hAnsi="宋体" w:eastAsia="宋体" w:cs="宋体"/>
          <w:b w:val="0"/>
          <w:bCs w:val="0"/>
          <w:color w:val="auto"/>
          <w:szCs w:val="28"/>
          <w:highlight w:val="none"/>
        </w:rPr>
        <w:t>报价函</w:t>
      </w:r>
    </w:p>
    <w:p>
      <w:pPr>
        <w:tabs>
          <w:tab w:val="left" w:pos="6300"/>
        </w:tabs>
        <w:snapToGrid w:val="0"/>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（采购</w:t>
      </w:r>
      <w:r>
        <w:rPr>
          <w:rFonts w:hint="eastAsia" w:ascii="宋体" w:hAnsi="宋体" w:eastAsia="宋体" w:cs="宋体"/>
          <w:color w:val="auto"/>
          <w:sz w:val="24"/>
          <w:szCs w:val="24"/>
          <w:highlight w:val="none"/>
          <w:u w:val="single"/>
          <w:lang w:val="en-US" w:eastAsia="zh-CN"/>
        </w:rPr>
        <w:t>人</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我方收到____________________________（项目名称）及_____________（</w:t>
      </w:r>
      <w:r>
        <w:rPr>
          <w:rFonts w:hint="eastAsia" w:ascii="宋体" w:hAnsi="宋体" w:eastAsia="宋体" w:cs="宋体"/>
          <w:color w:val="auto"/>
          <w:sz w:val="24"/>
          <w:szCs w:val="24"/>
          <w:highlight w:val="none"/>
          <w:lang w:eastAsia="zh-CN"/>
        </w:rPr>
        <w:t>采购</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eastAsia="zh-CN"/>
        </w:rPr>
        <w:t>编</w:t>
      </w:r>
      <w:r>
        <w:rPr>
          <w:rFonts w:hint="eastAsia" w:ascii="宋体" w:hAnsi="宋体" w:eastAsia="宋体" w:cs="宋体"/>
          <w:color w:val="auto"/>
          <w:sz w:val="24"/>
          <w:szCs w:val="24"/>
          <w:highlight w:val="none"/>
        </w:rPr>
        <w:t>号）的竞争性磋商文件，经详细研究，决定参加该项目的磋商。</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1、愿意按照竞争性磋商文件中的一切要求，提供本项目的技术服务，</w:t>
      </w:r>
      <w:r>
        <w:rPr>
          <w:rFonts w:hint="eastAsia" w:ascii="宋体" w:hAnsi="宋体" w:eastAsia="宋体" w:cs="宋体"/>
          <w:color w:val="auto"/>
          <w:sz w:val="24"/>
          <w:szCs w:val="24"/>
          <w:highlight w:val="none"/>
          <w:lang w:eastAsia="zh-CN"/>
        </w:rPr>
        <w:t>总</w:t>
      </w:r>
      <w:r>
        <w:rPr>
          <w:rFonts w:hint="eastAsia" w:ascii="宋体" w:hAnsi="宋体" w:eastAsia="宋体" w:cs="宋体"/>
          <w:color w:val="auto"/>
          <w:sz w:val="24"/>
          <w:szCs w:val="24"/>
          <w:highlight w:val="none"/>
        </w:rPr>
        <w:t>报价为人民币大写：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元整；人民币小写：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元</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以我公司最后报价为准</w:t>
      </w:r>
      <w:r>
        <w:rPr>
          <w:rFonts w:hint="eastAsia" w:ascii="宋体" w:hAnsi="宋体" w:eastAsia="宋体" w:cs="宋体"/>
          <w:color w:val="auto"/>
          <w:sz w:val="24"/>
          <w:szCs w:val="24"/>
          <w:highlight w:val="none"/>
        </w:rPr>
        <w:t>。</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2、我方现提交的响应文件为：响应文件正本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份，副本</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3、我方承诺：本次磋商的有效期为90天。</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4、我方完全理解和接受贵方竞争性磋商文件的一切规定和要求及评审办法。</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5、在整个竞争性磋商过程中，我方若有违规行为，接受按照</w:t>
      </w:r>
      <w:r>
        <w:rPr>
          <w:rFonts w:hint="eastAsia" w:ascii="宋体" w:hAnsi="宋体" w:eastAsia="宋体" w:cs="宋体"/>
          <w:color w:val="auto"/>
          <w:sz w:val="24"/>
          <w:szCs w:val="24"/>
          <w:highlight w:val="none"/>
          <w:lang w:eastAsia="zh-CN"/>
        </w:rPr>
        <w:t>竞争性磋商文件及相应法律法规</w:t>
      </w:r>
      <w:r>
        <w:rPr>
          <w:rFonts w:hint="eastAsia" w:ascii="宋体" w:hAnsi="宋体" w:eastAsia="宋体" w:cs="宋体"/>
          <w:color w:val="auto"/>
          <w:sz w:val="24"/>
          <w:szCs w:val="24"/>
          <w:highlight w:val="none"/>
        </w:rPr>
        <w:t>等规定给予惩罚。</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6、我方若成为成交供应商，将按照最终磋商结果签订合同，并且严格履行合同义务。本承诺函将成为合同不可分割的一部分，与合同具有同等的法律效力。</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7、我方理解，报价不是成交的唯一条件。</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、我方未为项目提供整体设计、规范编制或者项目管理、监理、检测等服务。</w:t>
      </w:r>
    </w:p>
    <w:p>
      <w:pPr>
        <w:tabs>
          <w:tab w:val="left" w:pos="6300"/>
        </w:tabs>
        <w:snapToGrid w:val="0"/>
        <w:spacing w:line="360" w:lineRule="auto"/>
        <w:ind w:firstLine="480" w:firstLineChars="200"/>
        <w:outlineLvl w:val="9"/>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9.如果我方成为成交供应商，保证在接到成交通知书后，向采购代理机构缴纳竞争性磋商文件规定的采购代理服务费。</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rPr>
          <w:rFonts w:hint="eastAsia" w:ascii="宋体" w:hAnsi="宋体" w:eastAsia="宋体" w:cs="宋体"/>
          <w:color w:val="auto"/>
          <w:highlight w:val="none"/>
        </w:rPr>
      </w:pPr>
      <w:r>
        <w:rPr>
          <w:rFonts w:hint="eastAsia" w:ascii="宋体" w:hAnsi="宋体" w:eastAsia="宋体" w:cs="宋体"/>
          <w:color w:val="auto"/>
          <w:highlight w:val="none"/>
        </w:rPr>
        <w:br w:type="page"/>
      </w:r>
    </w:p>
    <w:p>
      <w:pPr>
        <w:tabs>
          <w:tab w:val="left" w:pos="6300"/>
        </w:tabs>
        <w:snapToGrid w:val="0"/>
        <w:spacing w:line="360" w:lineRule="auto"/>
        <w:jc w:val="both"/>
        <w:outlineLvl w:val="9"/>
        <w:rPr>
          <w:rFonts w:hint="eastAsia" w:ascii="宋体" w:hAnsi="宋体" w:eastAsia="宋体" w:cs="宋体"/>
          <w:color w:val="auto"/>
          <w:highlight w:val="none"/>
        </w:rPr>
      </w:pPr>
    </w:p>
    <w:p>
      <w:pPr>
        <w:tabs>
          <w:tab w:val="left" w:pos="6300"/>
        </w:tabs>
        <w:snapToGrid w:val="0"/>
        <w:spacing w:line="360" w:lineRule="auto"/>
        <w:ind w:firstLine="480" w:firstLineChars="200"/>
        <w:outlineLvl w:val="9"/>
        <w:rPr>
          <w:rFonts w:hint="eastAsia" w:ascii="宋体" w:hAnsi="宋体" w:eastAsia="宋体" w:cs="宋体"/>
          <w:color w:val="auto"/>
          <w:highlight w:val="none"/>
          <w:lang w:eastAsia="zh-CN"/>
        </w:rPr>
      </w:pPr>
      <w:r>
        <w:rPr>
          <w:rFonts w:hint="eastAsia" w:ascii="宋体" w:hAnsi="宋体" w:eastAsia="宋体" w:cs="宋体"/>
          <w:b w:val="0"/>
          <w:bCs w:val="0"/>
          <w:color w:val="auto"/>
          <w:sz w:val="24"/>
          <w:szCs w:val="24"/>
          <w:highlight w:val="none"/>
        </w:rPr>
        <w:t>（一）</w:t>
      </w:r>
      <w:r>
        <w:rPr>
          <w:rFonts w:hint="eastAsia" w:ascii="宋体" w:hAnsi="宋体" w:cs="宋体"/>
          <w:b w:val="0"/>
          <w:bCs w:val="0"/>
          <w:color w:val="auto"/>
          <w:sz w:val="24"/>
          <w:szCs w:val="24"/>
          <w:highlight w:val="none"/>
          <w:lang w:eastAsia="zh-CN"/>
        </w:rPr>
        <w:t>竞争性磋商最后报价表</w:t>
      </w:r>
    </w:p>
    <w:p>
      <w:pPr>
        <w:tabs>
          <w:tab w:val="left" w:pos="6300"/>
        </w:tabs>
        <w:snapToGrid w:val="0"/>
        <w:spacing w:line="360" w:lineRule="auto"/>
        <w:jc w:val="center"/>
        <w:outlineLvl w:val="9"/>
        <w:rPr>
          <w:rFonts w:hint="eastAsia" w:ascii="宋体" w:hAnsi="宋体" w:eastAsia="宋体" w:cs="宋体"/>
          <w:color w:val="auto"/>
          <w:highlight w:val="none"/>
        </w:rPr>
      </w:pPr>
    </w:p>
    <w:p>
      <w:pPr>
        <w:tabs>
          <w:tab w:val="left" w:pos="6300"/>
        </w:tabs>
        <w:snapToGrid w:val="0"/>
        <w:spacing w:line="360" w:lineRule="auto"/>
        <w:jc w:val="center"/>
        <w:outlineLvl w:val="9"/>
        <w:rPr>
          <w:rFonts w:hint="eastAsia" w:ascii="宋体" w:hAnsi="宋体" w:eastAsia="宋体" w:cs="宋体"/>
          <w:b w:val="0"/>
          <w:bCs w:val="0"/>
          <w:color w:val="auto"/>
          <w:szCs w:val="28"/>
          <w:highlight w:val="none"/>
        </w:rPr>
      </w:pPr>
      <w:r>
        <w:rPr>
          <w:rFonts w:hint="eastAsia" w:ascii="宋体" w:hAnsi="宋体" w:eastAsia="宋体" w:cs="宋体"/>
          <w:b w:val="0"/>
          <w:bCs w:val="0"/>
          <w:color w:val="auto"/>
          <w:szCs w:val="28"/>
          <w:highlight w:val="none"/>
          <w:lang w:eastAsia="zh-CN"/>
        </w:rPr>
        <w:t>竞争性磋商</w:t>
      </w:r>
      <w:r>
        <w:rPr>
          <w:rFonts w:hint="eastAsia" w:ascii="宋体" w:hAnsi="宋体" w:eastAsia="宋体" w:cs="宋体"/>
          <w:b w:val="0"/>
          <w:bCs w:val="0"/>
          <w:color w:val="auto"/>
          <w:szCs w:val="28"/>
          <w:highlight w:val="none"/>
        </w:rPr>
        <w:t>最后报价表</w:t>
      </w:r>
    </w:p>
    <w:p>
      <w:pPr>
        <w:pStyle w:val="2"/>
        <w:rPr>
          <w:rFonts w:hint="eastAsia" w:hAnsi="宋体" w:cs="宋体"/>
          <w:color w:val="auto"/>
          <w:highlight w:val="none"/>
        </w:rPr>
      </w:pPr>
    </w:p>
    <w:tbl>
      <w:tblPr>
        <w:tblStyle w:val="60"/>
        <w:tblW w:w="93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7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8" w:hRule="atLeast"/>
        </w:trPr>
        <w:tc>
          <w:tcPr>
            <w:tcW w:w="1730" w:type="dxa"/>
            <w:noWrap w:val="0"/>
            <w:vAlign w:val="center"/>
          </w:tcPr>
          <w:p>
            <w:pPr>
              <w:spacing w:line="50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供应商全称</w:t>
            </w:r>
          </w:p>
        </w:tc>
        <w:tc>
          <w:tcPr>
            <w:tcW w:w="7589" w:type="dxa"/>
            <w:noWrap w:val="0"/>
            <w:vAlign w:val="center"/>
          </w:tcPr>
          <w:p>
            <w:pPr>
              <w:spacing w:line="500" w:lineRule="exact"/>
              <w:jc w:val="center"/>
              <w:rPr>
                <w:rFonts w:hint="eastAsia" w:ascii="宋体" w:hAnsi="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9319" w:type="dxa"/>
            <w:gridSpan w:val="2"/>
            <w:noWrap w:val="0"/>
            <w:vAlign w:val="center"/>
          </w:tcPr>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68" w:hRule="atLeast"/>
        </w:trPr>
        <w:tc>
          <w:tcPr>
            <w:tcW w:w="9319" w:type="dxa"/>
            <w:gridSpan w:val="2"/>
            <w:tcBorders>
              <w:bottom w:val="single" w:color="auto" w:sz="4" w:space="0"/>
            </w:tcBorders>
            <w:noWrap w:val="0"/>
            <w:vAlign w:val="center"/>
          </w:tcPr>
          <w:p>
            <w:pPr>
              <w:spacing w:line="56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总价报价（大写）：                            小写：   </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9319" w:type="dxa"/>
            <w:gridSpan w:val="2"/>
            <w:noWrap w:val="0"/>
            <w:vAlign w:val="center"/>
          </w:tcPr>
          <w:p>
            <w:pPr>
              <w:pStyle w:val="33"/>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bl>
    <w:p>
      <w:pPr>
        <w:snapToGrid w:val="0"/>
        <w:spacing w:line="500" w:lineRule="exact"/>
        <w:jc w:val="both"/>
        <w:rPr>
          <w:rFonts w:hint="eastAsia" w:ascii="宋体" w:hAnsi="宋体" w:cs="宋体"/>
          <w:b/>
          <w:bCs/>
          <w:color w:val="auto"/>
          <w:sz w:val="24"/>
          <w:szCs w:val="24"/>
          <w:highlight w:val="none"/>
        </w:rPr>
      </w:pPr>
    </w:p>
    <w:p>
      <w:pPr>
        <w:spacing w:line="500" w:lineRule="exact"/>
        <w:ind w:firstLine="240" w:firstLineChars="100"/>
        <w:rPr>
          <w:rFonts w:hint="eastAsia" w:ascii="宋体" w:hAnsi="宋体" w:cs="宋体"/>
          <w:b w:val="0"/>
          <w:bCs w:val="0"/>
          <w:color w:val="auto"/>
          <w:sz w:val="24"/>
          <w:szCs w:val="24"/>
          <w:highlight w:val="none"/>
        </w:rPr>
      </w:pPr>
      <w:r>
        <w:rPr>
          <w:rFonts w:hint="eastAsia" w:ascii="宋体" w:hAnsi="宋体" w:cs="宋体"/>
          <w:b w:val="0"/>
          <w:bCs w:val="0"/>
          <w:color w:val="auto"/>
          <w:sz w:val="24"/>
          <w:szCs w:val="24"/>
          <w:highlight w:val="none"/>
        </w:rPr>
        <w:t xml:space="preserve">供应商：       </w:t>
      </w:r>
      <w:r>
        <w:rPr>
          <w:rFonts w:hint="eastAsia" w:ascii="宋体" w:hAnsi="宋体" w:cs="宋体"/>
          <w:b w:val="0"/>
          <w:bCs w:val="0"/>
          <w:color w:val="auto"/>
          <w:sz w:val="24"/>
          <w:szCs w:val="24"/>
          <w:highlight w:val="none"/>
          <w:lang w:val="en-US" w:eastAsia="zh-CN"/>
        </w:rPr>
        <w:t xml:space="preserve">      </w:t>
      </w:r>
      <w:r>
        <w:rPr>
          <w:rFonts w:hint="eastAsia" w:ascii="宋体" w:hAnsi="宋体" w:cs="宋体"/>
          <w:b w:val="0"/>
          <w:bCs w:val="0"/>
          <w:color w:val="auto"/>
          <w:sz w:val="24"/>
          <w:szCs w:val="24"/>
          <w:highlight w:val="none"/>
        </w:rPr>
        <w:t xml:space="preserve">                     法人授权代表：</w:t>
      </w:r>
    </w:p>
    <w:p>
      <w:pPr>
        <w:spacing w:line="500" w:lineRule="exact"/>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                               </w:t>
      </w:r>
    </w:p>
    <w:p>
      <w:pPr>
        <w:spacing w:line="50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年     月     日</w:t>
      </w: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hint="eastAsia"/>
          <w:b/>
          <w:bCs/>
          <w:color w:val="auto"/>
          <w:sz w:val="24"/>
          <w:szCs w:val="24"/>
          <w:highlight w:val="none"/>
          <w:lang w:val="en-US" w:eastAsia="zh-CN"/>
        </w:rPr>
        <w:sectPr>
          <w:pgSz w:w="11907" w:h="16840"/>
          <w:pgMar w:top="1134" w:right="1191" w:bottom="1134" w:left="1304" w:header="851" w:footer="992" w:gutter="0"/>
          <w:pgNumType w:fmt="numberInDash"/>
          <w:cols w:space="720" w:num="1"/>
          <w:docGrid w:linePitch="380" w:charSpace="-5735"/>
        </w:sectPr>
      </w:pPr>
      <w:r>
        <w:rPr>
          <w:rFonts w:hint="eastAsia" w:ascii="宋体" w:hAnsi="宋体" w:cs="宋体"/>
          <w:b/>
          <w:bCs/>
          <w:color w:val="auto"/>
          <w:sz w:val="24"/>
          <w:szCs w:val="24"/>
          <w:highlight w:val="none"/>
          <w:lang w:val="en-US" w:eastAsia="zh-CN"/>
        </w:rPr>
        <w:t>注：</w:t>
      </w:r>
      <w:r>
        <w:rPr>
          <w:rFonts w:hint="eastAsia" w:ascii="宋体" w:hAnsi="宋体" w:cs="宋体"/>
          <w:b/>
          <w:bCs/>
          <w:color w:val="auto"/>
          <w:sz w:val="24"/>
          <w:szCs w:val="24"/>
          <w:highlight w:val="none"/>
        </w:rPr>
        <w:t>请各供应商将</w:t>
      </w:r>
      <w:r>
        <w:rPr>
          <w:rFonts w:hint="eastAsia" w:ascii="宋体" w:hAnsi="宋体" w:cs="宋体"/>
          <w:b/>
          <w:bCs/>
          <w:color w:val="auto"/>
          <w:sz w:val="24"/>
          <w:szCs w:val="24"/>
          <w:highlight w:val="none"/>
          <w:lang w:eastAsia="zh-CN"/>
        </w:rPr>
        <w:t>竞争性磋商最后报价表</w:t>
      </w:r>
      <w:r>
        <w:rPr>
          <w:rFonts w:hint="eastAsia" w:ascii="宋体" w:hAnsi="宋体" w:cs="宋体"/>
          <w:b/>
          <w:bCs/>
          <w:color w:val="auto"/>
          <w:sz w:val="24"/>
          <w:szCs w:val="24"/>
          <w:highlight w:val="none"/>
        </w:rPr>
        <w:t>单独打印（响应文件中不提供本表），并随身携带到开标现场，通过磋商后，在开标现场填写最后报价表，务必填写清楚，准确无误。如在规定时间内不填写上交最终报价表，以第一次报价为准。最</w:t>
      </w:r>
      <w:r>
        <w:rPr>
          <w:rFonts w:hint="eastAsia" w:ascii="宋体" w:hAnsi="宋体" w:cs="宋体"/>
          <w:b/>
          <w:bCs/>
          <w:color w:val="auto"/>
          <w:sz w:val="24"/>
          <w:szCs w:val="24"/>
          <w:highlight w:val="none"/>
          <w:lang w:val="en-US" w:eastAsia="zh-CN"/>
        </w:rPr>
        <w:t>后</w:t>
      </w:r>
      <w:r>
        <w:rPr>
          <w:rFonts w:hint="eastAsia" w:ascii="宋体" w:hAnsi="宋体" w:cs="宋体"/>
          <w:b/>
          <w:bCs/>
          <w:color w:val="auto"/>
          <w:sz w:val="24"/>
          <w:szCs w:val="24"/>
          <w:highlight w:val="none"/>
        </w:rPr>
        <w:t>报价不得高于第一次报价，否则按不响应竞争性磋商文件处理。</w:t>
      </w:r>
    </w:p>
    <w:p>
      <w:pPr>
        <w:tabs>
          <w:tab w:val="left" w:pos="2895"/>
        </w:tabs>
        <w:spacing w:line="360" w:lineRule="auto"/>
        <w:ind w:firstLine="480" w:firstLineChars="200"/>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rPr>
        <w:t>（二）</w:t>
      </w:r>
      <w:r>
        <w:rPr>
          <w:rFonts w:hint="eastAsia" w:ascii="宋体" w:hAnsi="宋体" w:eastAsia="宋体" w:cs="宋体"/>
          <w:b w:val="0"/>
          <w:bCs w:val="0"/>
          <w:color w:val="auto"/>
          <w:sz w:val="24"/>
          <w:szCs w:val="24"/>
          <w:highlight w:val="none"/>
          <w:lang w:eastAsia="zh-CN"/>
        </w:rPr>
        <w:t>已标价工程量清单</w:t>
      </w:r>
    </w:p>
    <w:p>
      <w:pPr>
        <w:pStyle w:val="38"/>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outlineLvl w:val="9"/>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pStyle w:val="5"/>
        <w:rPr>
          <w:rFonts w:hint="eastAsia" w:ascii="宋体" w:hAnsi="宋体" w:eastAsia="宋体" w:cs="宋体"/>
          <w:color w:val="auto"/>
          <w:highlight w:val="none"/>
        </w:rPr>
      </w:pPr>
    </w:p>
    <w:p>
      <w:pPr>
        <w:rPr>
          <w:rFonts w:hint="eastAsia"/>
          <w:color w:val="auto"/>
          <w:highlight w:val="none"/>
        </w:rPr>
      </w:pPr>
    </w:p>
    <w:p>
      <w:pPr>
        <w:spacing w:before="0" w:after="0" w:line="360" w:lineRule="auto"/>
        <w:jc w:val="left"/>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bookmarkStart w:id="1552" w:name="_Toc313008357"/>
      <w:bookmarkStart w:id="1553" w:name="_Toc342913420"/>
      <w:bookmarkStart w:id="1554" w:name="_Toc5653"/>
      <w:bookmarkStart w:id="1555" w:name="_Toc313888361"/>
      <w:bookmarkStart w:id="1556" w:name="_Toc26499"/>
      <w:bookmarkStart w:id="1557" w:name="_Toc11127"/>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部分</w:t>
      </w:r>
      <w:bookmarkEnd w:id="1552"/>
      <w:bookmarkEnd w:id="1553"/>
      <w:bookmarkEnd w:id="1554"/>
      <w:bookmarkEnd w:id="1555"/>
      <w:bookmarkEnd w:id="1556"/>
      <w:bookmarkEnd w:id="1557"/>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响应偏离表</w:t>
      </w:r>
    </w:p>
    <w:p>
      <w:pPr>
        <w:pStyle w:val="33"/>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bl>
      <w:tblPr>
        <w:tblStyle w:val="6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658"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75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067"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pPr>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法人授权代表：</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1、本表即为对本项目“第二篇  采购</w:t>
      </w:r>
      <w:r>
        <w:rPr>
          <w:rFonts w:hint="eastAsia" w:ascii="宋体" w:hAnsi="宋体" w:eastAsia="宋体" w:cs="宋体"/>
          <w:color w:val="auto"/>
          <w:sz w:val="24"/>
          <w:szCs w:val="24"/>
          <w:highlight w:val="none"/>
          <w:lang w:eastAsia="zh-CN"/>
        </w:rPr>
        <w:t>技术</w:t>
      </w:r>
      <w:r>
        <w:rPr>
          <w:rFonts w:hint="eastAsia" w:ascii="宋体" w:hAnsi="宋体" w:eastAsia="宋体" w:cs="宋体"/>
          <w:color w:val="auto"/>
          <w:sz w:val="24"/>
          <w:szCs w:val="24"/>
          <w:highlight w:val="none"/>
        </w:rPr>
        <w:t>需求”中所列技术要求进行比较和响应；</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2、该表必须按照竞争性磋商要求逐条如实填写，根据响应情况在“差异说明”项填写正偏离或负偏离及原因，完全符合的填写“无差异”；</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4、可附相关技术支撑材料。（格式自定）</w:t>
      </w:r>
    </w:p>
    <w:p>
      <w:pPr>
        <w:spacing w:line="360" w:lineRule="auto"/>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br w:type="page"/>
      </w:r>
      <w:bookmarkStart w:id="1558" w:name="_Toc313888362"/>
      <w:bookmarkStart w:id="1559" w:name="_Toc342913421"/>
      <w:bookmarkStart w:id="1560" w:name="_Toc313008358"/>
    </w:p>
    <w:p>
      <w:pPr>
        <w:spacing w:before="0" w:after="0" w:line="360" w:lineRule="auto"/>
        <w:outlineLvl w:val="9"/>
        <w:rPr>
          <w:rFonts w:hint="eastAsia" w:ascii="宋体" w:hAnsi="宋体" w:eastAsia="宋体" w:cs="宋体"/>
          <w:b w:val="0"/>
          <w:color w:val="auto"/>
          <w:kern w:val="2"/>
          <w:sz w:val="24"/>
          <w:szCs w:val="24"/>
          <w:highlight w:val="none"/>
          <w:lang w:val="en-US" w:eastAsia="zh-CN" w:bidi="ar-SA"/>
        </w:rPr>
      </w:pPr>
      <w:bookmarkStart w:id="1561" w:name="_Toc15248"/>
      <w:bookmarkStart w:id="1562" w:name="_Toc856"/>
      <w:r>
        <w:rPr>
          <w:rFonts w:hint="eastAsia" w:ascii="宋体" w:hAnsi="宋体" w:eastAsia="宋体" w:cs="宋体"/>
          <w:b w:val="0"/>
          <w:color w:val="auto"/>
          <w:kern w:val="2"/>
          <w:sz w:val="24"/>
          <w:szCs w:val="24"/>
          <w:highlight w:val="none"/>
          <w:lang w:val="en-US" w:eastAsia="zh-CN" w:bidi="ar-SA"/>
        </w:rPr>
        <w:t>（二）</w:t>
      </w:r>
      <w:bookmarkEnd w:id="1561"/>
      <w:bookmarkEnd w:id="1562"/>
      <w:r>
        <w:rPr>
          <w:rFonts w:hint="eastAsia" w:ascii="宋体" w:hAnsi="宋体" w:eastAsia="宋体" w:cs="宋体"/>
          <w:b w:val="0"/>
          <w:color w:val="auto"/>
          <w:kern w:val="2"/>
          <w:sz w:val="24"/>
          <w:szCs w:val="24"/>
          <w:highlight w:val="none"/>
          <w:lang w:val="en-US" w:eastAsia="zh-CN" w:bidi="ar-SA"/>
        </w:rPr>
        <w:t>施工方案编制（格式自拟）</w:t>
      </w:r>
    </w:p>
    <w:p>
      <w:pPr>
        <w:spacing w:before="0" w:after="0" w:line="360" w:lineRule="auto"/>
        <w:outlineLvl w:val="1"/>
        <w:rPr>
          <w:rFonts w:hint="eastAsia" w:ascii="宋体" w:hAnsi="宋体" w:eastAsia="宋体" w:cs="宋体"/>
          <w:b w:val="0"/>
          <w:bCs w:val="0"/>
          <w:color w:val="auto"/>
          <w:sz w:val="24"/>
          <w:szCs w:val="24"/>
          <w:highlight w:val="none"/>
        </w:rPr>
      </w:pPr>
      <w:bookmarkStart w:id="1563" w:name="_Toc10142"/>
      <w:bookmarkStart w:id="1564" w:name="_Toc19097"/>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p>
    <w:p>
      <w:pPr>
        <w:spacing w:before="0" w:after="0" w:line="360" w:lineRule="auto"/>
        <w:outlineLvl w:val="1"/>
        <w:rPr>
          <w:rFonts w:hint="eastAsia" w:ascii="宋体" w:hAnsi="宋体" w:eastAsia="宋体" w:cs="宋体"/>
          <w:b w:val="0"/>
          <w:bCs w:val="0"/>
          <w:color w:val="auto"/>
          <w:sz w:val="24"/>
          <w:szCs w:val="24"/>
          <w:highlight w:val="none"/>
        </w:rPr>
      </w:pPr>
      <w:bookmarkStart w:id="1565" w:name="_Toc15927"/>
      <w:r>
        <w:rPr>
          <w:rFonts w:hint="eastAsia" w:ascii="宋体" w:hAnsi="宋体" w:eastAsia="宋体" w:cs="宋体"/>
          <w:b w:val="0"/>
          <w:bCs w:val="0"/>
          <w:color w:val="auto"/>
          <w:sz w:val="24"/>
          <w:szCs w:val="24"/>
          <w:highlight w:val="none"/>
        </w:rPr>
        <w:t>三、商务部分</w:t>
      </w:r>
      <w:bookmarkEnd w:id="1558"/>
      <w:bookmarkEnd w:id="1559"/>
      <w:bookmarkEnd w:id="1560"/>
      <w:bookmarkEnd w:id="1563"/>
      <w:bookmarkEnd w:id="1564"/>
      <w:bookmarkEnd w:id="1565"/>
    </w:p>
    <w:p>
      <w:pPr>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w:t>
      </w:r>
      <w:bookmarkStart w:id="1566" w:name="_Toc283382459"/>
      <w:r>
        <w:rPr>
          <w:rFonts w:hint="eastAsia" w:ascii="宋体" w:hAnsi="宋体" w:eastAsia="宋体" w:cs="宋体"/>
          <w:color w:val="auto"/>
          <w:sz w:val="24"/>
          <w:szCs w:val="24"/>
          <w:highlight w:val="none"/>
        </w:rPr>
        <w:t>商务响应偏离表</w:t>
      </w:r>
    </w:p>
    <w:p>
      <w:pPr>
        <w:snapToGrid w:val="0"/>
        <w:spacing w:line="360" w:lineRule="auto"/>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商务响应偏离表（本表可自行</w:t>
      </w:r>
      <w:r>
        <w:rPr>
          <w:rFonts w:hint="eastAsia" w:ascii="宋体" w:hAnsi="宋体" w:eastAsia="宋体" w:cs="宋体"/>
          <w:b/>
          <w:color w:val="auto"/>
          <w:sz w:val="24"/>
          <w:szCs w:val="24"/>
          <w:highlight w:val="none"/>
          <w:lang w:eastAsia="zh-CN"/>
        </w:rPr>
        <w:t>调整</w:t>
      </w:r>
      <w:r>
        <w:rPr>
          <w:rFonts w:hint="eastAsia" w:ascii="宋体" w:hAnsi="宋体" w:eastAsia="宋体" w:cs="宋体"/>
          <w:b/>
          <w:color w:val="auto"/>
          <w:sz w:val="24"/>
          <w:szCs w:val="24"/>
          <w:highlight w:val="none"/>
        </w:rPr>
        <w:t>格式）</w:t>
      </w:r>
    </w:p>
    <w:p>
      <w:pPr>
        <w:snapToGrid w:val="0"/>
        <w:spacing w:line="360" w:lineRule="auto"/>
        <w:ind w:firstLine="465"/>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对于竞争性磋商文件的商务要求，如有任何偏离请如实填写下表：</w:t>
      </w:r>
    </w:p>
    <w:tbl>
      <w:tblPr>
        <w:tblStyle w:val="6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磋商项目需求</w:t>
            </w: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响应情况</w:t>
            </w: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3179"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434"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c>
          <w:tcPr>
            <w:tcW w:w="2355" w:type="dxa"/>
            <w:noWrap w:val="0"/>
            <w:vAlign w:val="center"/>
          </w:tcPr>
          <w:p>
            <w:pPr>
              <w:tabs>
                <w:tab w:val="left" w:pos="6300"/>
              </w:tabs>
              <w:snapToGrid w:val="0"/>
              <w:spacing w:line="360" w:lineRule="auto"/>
              <w:jc w:val="center"/>
              <w:outlineLvl w:val="9"/>
              <w:rPr>
                <w:rFonts w:hint="eastAsia" w:ascii="宋体" w:hAnsi="宋体" w:eastAsia="宋体" w:cs="宋体"/>
                <w:color w:val="auto"/>
                <w:sz w:val="24"/>
                <w:szCs w:val="24"/>
                <w:highlight w:val="none"/>
              </w:rPr>
            </w:pPr>
          </w:p>
        </w:tc>
      </w:tr>
    </w:tbl>
    <w:p>
      <w:pPr>
        <w:snapToGrid w:val="0"/>
        <w:spacing w:line="360" w:lineRule="auto"/>
        <w:ind w:firstLine="465"/>
        <w:outlineLvl w:val="9"/>
        <w:rPr>
          <w:rFonts w:hint="eastAsia" w:ascii="宋体" w:hAnsi="宋体" w:eastAsia="宋体" w:cs="宋体"/>
          <w:color w:val="auto"/>
          <w:sz w:val="24"/>
          <w:szCs w:val="24"/>
          <w:highlight w:val="none"/>
        </w:rPr>
      </w:pPr>
    </w:p>
    <w:p>
      <w:pPr>
        <w:spacing w:line="360" w:lineRule="auto"/>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                                      法人授权代表：</w:t>
      </w:r>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spacing w:line="360" w:lineRule="auto"/>
        <w:ind w:firstLine="360" w:firstLineChars="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                                 （签字或盖章）</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1、本表即为对本项目“第三篇 采购商务需求”中所列服务要求进行比较和响应；</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2、该表必须按照竞争性磋商要求逐条如实填写，根据响应情况在“差异说明”项填写正偏离或负偏离及原因，完全符合的填写“无差异”；</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3、该表可扩展，并逐页签字或盖章；</w:t>
      </w:r>
    </w:p>
    <w:p>
      <w:pPr>
        <w:spacing w:line="360" w:lineRule="auto"/>
        <w:ind w:firstLine="480" w:firstLineChars="200"/>
        <w:outlineLvl w:val="9"/>
        <w:rPr>
          <w:rFonts w:hint="eastAsia" w:ascii="宋体" w:hAnsi="宋体" w:eastAsia="宋体" w:cs="宋体"/>
          <w:color w:val="auto"/>
          <w:sz w:val="24"/>
          <w:szCs w:val="24"/>
          <w:highlight w:val="none"/>
        </w:rPr>
        <w:sectPr>
          <w:headerReference r:id="rId12" w:type="default"/>
          <w:pgSz w:w="11905" w:h="16838"/>
          <w:pgMar w:top="850" w:right="850" w:bottom="1134" w:left="1304" w:header="850" w:footer="992" w:gutter="0"/>
          <w:pgNumType w:fmt="decimal"/>
          <w:cols w:space="0" w:num="1"/>
          <w:rtlGutter w:val="0"/>
          <w:docGrid w:linePitch="380" w:charSpace="0"/>
        </w:sect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（三）根据第四篇评分标准中商务部分的要求提供相应的应答</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其它</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rPr>
        <w:t>优惠承诺（</w:t>
      </w:r>
      <w:r>
        <w:rPr>
          <w:rFonts w:hint="eastAsia" w:ascii="宋体" w:hAnsi="宋体" w:eastAsia="宋体" w:cs="宋体"/>
          <w:color w:val="auto"/>
          <w:sz w:val="24"/>
          <w:szCs w:val="24"/>
          <w:highlight w:val="none"/>
          <w:lang w:eastAsia="zh-CN"/>
        </w:rPr>
        <w:t>如有，自拟。</w:t>
      </w:r>
      <w:r>
        <w:rPr>
          <w:rFonts w:hint="eastAsia" w:ascii="宋体" w:hAnsi="宋体" w:eastAsia="宋体" w:cs="宋体"/>
          <w:color w:val="auto"/>
          <w:sz w:val="24"/>
          <w:szCs w:val="24"/>
          <w:highlight w:val="none"/>
        </w:rPr>
        <w:t>）</w:t>
      </w:r>
    </w:p>
    <w:p>
      <w:pPr>
        <w:spacing w:before="0" w:after="0" w:line="360" w:lineRule="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End w:id="1566"/>
      <w:bookmarkStart w:id="1567" w:name="_Toc12671"/>
      <w:bookmarkStart w:id="1568" w:name="_Toc313888363"/>
      <w:bookmarkStart w:id="1569" w:name="_Toc313008359"/>
      <w:bookmarkStart w:id="1570" w:name="_Toc22169"/>
      <w:bookmarkStart w:id="1571" w:name="_Toc25875"/>
      <w:bookmarkStart w:id="1572" w:name="_Toc342913422"/>
      <w:r>
        <w:rPr>
          <w:rFonts w:hint="eastAsia" w:ascii="宋体" w:hAnsi="宋体" w:eastAsia="宋体" w:cs="宋体"/>
          <w:color w:val="auto"/>
          <w:sz w:val="24"/>
          <w:szCs w:val="24"/>
          <w:highlight w:val="none"/>
        </w:rPr>
        <w:t>四、资格条件及其他</w:t>
      </w:r>
      <w:bookmarkEnd w:id="1567"/>
      <w:bookmarkEnd w:id="1568"/>
      <w:bookmarkEnd w:id="1569"/>
      <w:bookmarkEnd w:id="1570"/>
      <w:bookmarkEnd w:id="1571"/>
      <w:bookmarkEnd w:id="1572"/>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（一）法人营业执照（副本）或事业单位法人证书（副本）或个体工商户营业执照或有效的自然人身份证明或组织机构代码证复印件</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widowControl/>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rPr>
        <w:t>）法定代表人（或分支机构负责人）身份证明书（格式）</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eastAsia="zh-CN"/>
        </w:rPr>
        <w:t>或分支机构负责人</w:t>
      </w:r>
      <w:r>
        <w:rPr>
          <w:rFonts w:hint="eastAsia" w:ascii="宋体" w:hAnsi="宋体" w:eastAsia="宋体" w:cs="宋体"/>
          <w:color w:val="auto"/>
          <w:sz w:val="24"/>
          <w:szCs w:val="24"/>
          <w:highlight w:val="none"/>
        </w:rPr>
        <w:t>姓名）在</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（供应商名称）任</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（职务名称）职务，是（供应商名称）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的法定代表人（或分支机构负责人）。</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特此证明。</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（供应商公章）</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年   月   日</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（附：法定代表人或分支机构负责人身份证正反面复印件）</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）法定代表人（或分支机构负责人）授权委托书（格式）</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eastAsia="宋体" w:cs="宋体"/>
          <w:color w:val="auto"/>
          <w:sz w:val="24"/>
          <w:szCs w:val="24"/>
          <w:highlight w:val="none"/>
          <w:u w:val="single"/>
        </w:rPr>
        <w:t xml:space="preserve">                                                </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（采购</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w:t>
      </w:r>
    </w:p>
    <w:p>
      <w:pPr>
        <w:tabs>
          <w:tab w:val="left" w:pos="6300"/>
        </w:tabs>
        <w:snapToGrid w:val="0"/>
        <w:spacing w:line="360" w:lineRule="auto"/>
        <w:ind w:firstLine="480" w:firstLineChars="200"/>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（供应商法定代表人</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rPr>
        <w:t>分支机构负责人名称）是</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（供应商名称）的法定代表人</w:t>
      </w:r>
      <w:r>
        <w:rPr>
          <w:rFonts w:hint="eastAsia" w:ascii="宋体" w:hAnsi="宋体" w:eastAsia="宋体" w:cs="宋体"/>
          <w:color w:val="auto"/>
          <w:sz w:val="24"/>
          <w:szCs w:val="24"/>
          <w:highlight w:val="none"/>
          <w:lang w:eastAsia="zh-CN"/>
        </w:rPr>
        <w:t>（或负责人）</w:t>
      </w:r>
      <w:r>
        <w:rPr>
          <w:rFonts w:hint="eastAsia" w:ascii="宋体" w:hAnsi="宋体" w:eastAsia="宋体" w:cs="宋体"/>
          <w:color w:val="auto"/>
          <w:sz w:val="24"/>
          <w:szCs w:val="24"/>
          <w:highlight w:val="none"/>
        </w:rPr>
        <w:t>，特授权</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（被授权人姓名及身份证代码）代表我单位全权办理上述项目的磋商、签约等具体工作，并签署全部有关文件、协议及合同。</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我单位对被授权人的签字负全部责任。</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在撤消授权的书面通知以前，本授权书一直有效。被授权人在授权书有效期内签署的所有文件不因授权的撤消而失效。</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被授权人：                                 法定代表人</w:t>
      </w:r>
      <w:r>
        <w:rPr>
          <w:rFonts w:hint="eastAsia" w:ascii="宋体" w:hAnsi="宋体" w:eastAsia="宋体" w:cs="宋体"/>
          <w:color w:val="auto"/>
          <w:sz w:val="24"/>
          <w:szCs w:val="24"/>
          <w:highlight w:val="none"/>
          <w:lang w:eastAsia="zh-CN"/>
        </w:rPr>
        <w:t>（或负责人）</w:t>
      </w:r>
      <w:r>
        <w:rPr>
          <w:rFonts w:hint="eastAsia" w:ascii="宋体" w:hAnsi="宋体" w:eastAsia="宋体" w:cs="宋体"/>
          <w:color w:val="auto"/>
          <w:sz w:val="24"/>
          <w:szCs w:val="24"/>
          <w:highlight w:val="none"/>
        </w:rPr>
        <w:t>：</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（签字或盖章）                                （签字或盖章）</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（附：被授权人身份证正反面复印件）</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（供应商公章）</w:t>
      </w:r>
    </w:p>
    <w:p>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p>
    <w:p>
      <w:pPr>
        <w:tabs>
          <w:tab w:val="left" w:pos="6300"/>
        </w:tabs>
        <w:snapToGrid w:val="0"/>
        <w:spacing w:line="360" w:lineRule="auto"/>
        <w:ind w:right="480" w:firstLine="570"/>
        <w:jc w:val="right"/>
        <w:outlineLvl w:val="9"/>
        <w:rPr>
          <w:rFonts w:hint="eastAsia" w:ascii="宋体" w:hAnsi="宋体" w:eastAsia="宋体" w:cs="宋体"/>
          <w:color w:val="auto"/>
          <w:sz w:val="24"/>
          <w:szCs w:val="24"/>
          <w:highlight w:val="none"/>
        </w:rPr>
      </w:pPr>
    </w:p>
    <w:p>
      <w:pPr>
        <w:widowControl/>
        <w:spacing w:line="400" w:lineRule="exact"/>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说明：若供应商法定代表人（或分支机构负责人）亲自参加，则无需授权委托书。</w:t>
      </w:r>
      <w:r>
        <w:rPr>
          <w:rFonts w:hint="eastAsia" w:ascii="宋体" w:hAnsi="宋体" w:eastAsia="宋体" w:cs="宋体"/>
          <w:color w:val="auto"/>
          <w:sz w:val="24"/>
          <w:szCs w:val="24"/>
          <w:highlight w:val="none"/>
        </w:rPr>
        <w:br w:type="column"/>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）基本资格条件承诺函（格式）</w:t>
      </w:r>
    </w:p>
    <w:p>
      <w:pPr>
        <w:tabs>
          <w:tab w:val="left" w:pos="6300"/>
        </w:tabs>
        <w:snapToGrid w:val="0"/>
        <w:spacing w:line="500" w:lineRule="exact"/>
        <w:ind w:firstLine="643" w:firstLineChars="200"/>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基本资格条件承诺函</w:t>
      </w:r>
    </w:p>
    <w:p>
      <w:pPr>
        <w:tabs>
          <w:tab w:val="left" w:pos="6300"/>
        </w:tabs>
        <w:snapToGrid w:val="0"/>
        <w:spacing w:line="530" w:lineRule="exact"/>
        <w:rPr>
          <w:rFonts w:hint="eastAsia" w:ascii="宋体" w:hAnsi="宋体" w:eastAsia="宋体" w:cs="宋体"/>
          <w:color w:val="auto"/>
          <w:sz w:val="24"/>
          <w:highlight w:val="none"/>
        </w:rPr>
      </w:pP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w:t>
      </w:r>
      <w:r>
        <w:rPr>
          <w:rFonts w:hint="eastAsia" w:ascii="宋体" w:hAnsi="宋体" w:eastAsia="宋体" w:cs="宋体"/>
          <w:color w:val="auto"/>
          <w:sz w:val="24"/>
          <w:highlight w:val="none"/>
          <w:lang w:val="en-US" w:eastAsia="zh-CN"/>
        </w:rPr>
        <w:t>人</w:t>
      </w:r>
      <w:r>
        <w:rPr>
          <w:rFonts w:hint="eastAsia" w:ascii="宋体" w:hAnsi="宋体" w:eastAsia="宋体" w:cs="宋体"/>
          <w:color w:val="auto"/>
          <w:sz w:val="24"/>
          <w:highlight w:val="none"/>
        </w:rPr>
        <w:t>）：</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1.我方具有良好的商业信誉和健全的财务会计制度，具有履行合同所必需的设备和专业技术能力，具</w:t>
      </w:r>
      <w:r>
        <w:rPr>
          <w:rFonts w:hint="eastAsia" w:ascii="宋体" w:hAnsi="宋体" w:eastAsia="宋体" w:cs="宋体"/>
          <w:color w:val="auto"/>
          <w:sz w:val="24"/>
          <w:highlight w:val="none"/>
          <w:lang w:val="zh-CN"/>
        </w:rPr>
        <w:t>有依法缴纳税收和社会保障金的良好记录</w:t>
      </w:r>
      <w:r>
        <w:rPr>
          <w:rFonts w:hint="eastAsia" w:ascii="宋体" w:hAnsi="宋体" w:eastAsia="宋体" w:cs="宋体"/>
          <w:color w:val="auto"/>
          <w:sz w:val="24"/>
          <w:highlight w:val="none"/>
        </w:rPr>
        <w:t>，参加本项目采购活动前三年内无重大违法活动记录。</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3.我方在采购项目评审（评标）环节结束后，随时接受采购人的检查验证，配合提供相关证明材料，证明符合《中华人民共和国政府采购法》规定的供应商基本资格条件。</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我方对以上承诺负全部法律责任。</w:t>
      </w:r>
    </w:p>
    <w:p>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tabs>
          <w:tab w:val="left" w:pos="6300"/>
        </w:tabs>
        <w:snapToGrid w:val="0"/>
        <w:spacing w:line="500" w:lineRule="exact"/>
        <w:ind w:firstLine="480" w:firstLineChars="200"/>
        <w:rPr>
          <w:rFonts w:hint="eastAsia" w:ascii="宋体" w:hAnsi="宋体" w:eastAsia="宋体" w:cs="宋体"/>
          <w:color w:val="auto"/>
          <w:sz w:val="24"/>
          <w:highlight w:val="none"/>
        </w:rPr>
      </w:pPr>
    </w:p>
    <w:p>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p>
    <w:p>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p>
    <w:p>
      <w:pPr>
        <w:tabs>
          <w:tab w:val="left" w:pos="6300"/>
        </w:tabs>
        <w:snapToGrid w:val="0"/>
        <w:spacing w:line="500" w:lineRule="exact"/>
        <w:ind w:firstLine="480" w:firstLineChars="20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pPr>
        <w:widowControl/>
        <w:spacing w:line="400" w:lineRule="exact"/>
        <w:ind w:firstLine="7920" w:firstLineChars="33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年   月   日</w:t>
      </w:r>
    </w:p>
    <w:p>
      <w:pPr>
        <w:tabs>
          <w:tab w:val="left" w:pos="6300"/>
        </w:tabs>
        <w:snapToGrid w:val="0"/>
        <w:spacing w:line="360" w:lineRule="auto"/>
        <w:ind w:firstLine="57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jc w:val="center"/>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jc w:val="center"/>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jc w:val="center"/>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jc w:val="center"/>
        <w:outlineLvl w:val="9"/>
        <w:rPr>
          <w:rFonts w:hint="eastAsia" w:ascii="宋体" w:hAnsi="宋体" w:eastAsia="宋体" w:cs="宋体"/>
          <w:color w:val="auto"/>
          <w:sz w:val="24"/>
          <w:szCs w:val="24"/>
          <w:highlight w:val="none"/>
        </w:rPr>
      </w:pPr>
    </w:p>
    <w:p>
      <w:pPr>
        <w:tabs>
          <w:tab w:val="left" w:pos="6300"/>
        </w:tabs>
        <w:snapToGrid w:val="0"/>
        <w:spacing w:line="360" w:lineRule="auto"/>
        <w:ind w:firstLine="570"/>
        <w:jc w:val="center"/>
        <w:outlineLvl w:val="9"/>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pStyle w:val="5"/>
        <w:rPr>
          <w:rFonts w:hint="eastAsia" w:ascii="宋体" w:hAnsi="宋体" w:eastAsia="宋体" w:cs="宋体"/>
          <w:color w:val="auto"/>
          <w:highlight w:val="none"/>
        </w:rPr>
      </w:pPr>
    </w:p>
    <w:p>
      <w:pPr>
        <w:rPr>
          <w:rFonts w:hint="eastAsia"/>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tabs>
          <w:tab w:val="left" w:pos="6300"/>
        </w:tabs>
        <w:snapToGrid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）施工信誉及人员承诺</w:t>
      </w:r>
    </w:p>
    <w:p>
      <w:pPr>
        <w:spacing w:line="560" w:lineRule="exact"/>
        <w:ind w:firstLine="538"/>
        <w:jc w:val="center"/>
        <w:rPr>
          <w:rFonts w:hint="eastAsia" w:ascii="宋体" w:hAnsi="宋体" w:eastAsia="宋体" w:cs="宋体"/>
          <w:b/>
          <w:color w:val="auto"/>
          <w:highlight w:val="none"/>
          <w:lang w:eastAsia="zh-CN"/>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我单位参加</w:t>
      </w:r>
      <w:r>
        <w:rPr>
          <w:rFonts w:hint="eastAsia" w:ascii="宋体" w:hAnsi="宋体" w:eastAsia="宋体" w:cs="宋体"/>
          <w:color w:val="auto"/>
          <w:sz w:val="24"/>
          <w:szCs w:val="24"/>
          <w:highlight w:val="none"/>
          <w:u w:val="single"/>
          <w:lang w:eastAsia="zh-CN"/>
        </w:rPr>
        <w:t xml:space="preserve">              （项目名称）          </w:t>
      </w:r>
      <w:r>
        <w:rPr>
          <w:rFonts w:hint="eastAsia" w:ascii="宋体" w:hAnsi="宋体" w:eastAsia="宋体" w:cs="宋体"/>
          <w:color w:val="auto"/>
          <w:sz w:val="24"/>
          <w:szCs w:val="24"/>
          <w:highlight w:val="none"/>
          <w:lang w:eastAsia="zh-CN"/>
        </w:rPr>
        <w:t xml:space="preserve"> ，对以下内容作出承诺：</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eastAsia="zh-CN"/>
        </w:rPr>
        <w:t>①我单位未被有关行政部门暂停投标资格或</w:t>
      </w:r>
      <w:r>
        <w:rPr>
          <w:rFonts w:hint="eastAsia" w:ascii="宋体" w:hAnsi="宋体" w:eastAsia="宋体" w:cs="宋体"/>
          <w:b w:val="0"/>
          <w:bCs w:val="0"/>
          <w:snapToGrid w:val="0"/>
          <w:color w:val="auto"/>
          <w:sz w:val="24"/>
          <w:szCs w:val="24"/>
          <w:highlight w:val="none"/>
          <w:u w:val="none" w:color="auto"/>
        </w:rPr>
        <w:t>被有关行政部门暂停投标资格期限已满</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eastAsia="zh-CN"/>
        </w:rPr>
        <w:t>②磋商</w:t>
      </w:r>
      <w:r>
        <w:rPr>
          <w:rFonts w:hint="eastAsia" w:ascii="宋体" w:hAnsi="宋体" w:eastAsia="宋体" w:cs="宋体"/>
          <w:b w:val="0"/>
          <w:bCs w:val="0"/>
          <w:snapToGrid w:val="0"/>
          <w:color w:val="auto"/>
          <w:sz w:val="24"/>
          <w:szCs w:val="24"/>
          <w:highlight w:val="none"/>
          <w:u w:val="none" w:color="auto"/>
        </w:rPr>
        <w:t>截止前二年内</w:t>
      </w:r>
      <w:r>
        <w:rPr>
          <w:rFonts w:hint="eastAsia" w:ascii="宋体" w:hAnsi="宋体" w:eastAsia="宋体" w:cs="宋体"/>
          <w:b w:val="0"/>
          <w:bCs w:val="0"/>
          <w:snapToGrid w:val="0"/>
          <w:color w:val="auto"/>
          <w:sz w:val="24"/>
          <w:szCs w:val="24"/>
          <w:highlight w:val="none"/>
          <w:u w:val="none" w:color="auto"/>
          <w:lang w:eastAsia="zh-CN"/>
        </w:rPr>
        <w:t>我</w:t>
      </w:r>
      <w:r>
        <w:rPr>
          <w:rFonts w:hint="eastAsia" w:ascii="宋体" w:hAnsi="宋体" w:eastAsia="宋体" w:cs="宋体"/>
          <w:b w:val="0"/>
          <w:bCs w:val="0"/>
          <w:snapToGrid w:val="0"/>
          <w:color w:val="auto"/>
          <w:sz w:val="24"/>
          <w:szCs w:val="24"/>
          <w:highlight w:val="none"/>
          <w:u w:val="none" w:color="auto"/>
        </w:rPr>
        <w:t>单位和法定代表人无行贿犯罪记录</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lang w:eastAsia="zh-CN"/>
        </w:rPr>
        <w:t>③我单位未</w:t>
      </w:r>
      <w:r>
        <w:rPr>
          <w:rFonts w:hint="eastAsia" w:ascii="宋体" w:hAnsi="宋体" w:eastAsia="宋体" w:cs="宋体"/>
          <w:b w:val="0"/>
          <w:bCs w:val="0"/>
          <w:snapToGrid w:val="0"/>
          <w:color w:val="auto"/>
          <w:sz w:val="24"/>
          <w:szCs w:val="24"/>
          <w:highlight w:val="none"/>
          <w:u w:val="none" w:color="auto"/>
        </w:rPr>
        <w:t>被人民法院列为失信被执行人。“信用中国”网站（www.creditchina.gov.cn）查询被列为失信被执行人情况</w:t>
      </w:r>
      <w:r>
        <w:rPr>
          <w:rFonts w:hint="eastAsia" w:ascii="宋体" w:hAnsi="宋体" w:eastAsia="宋体" w:cs="宋体"/>
          <w:b w:val="0"/>
          <w:bCs w:val="0"/>
          <w:snapToGrid w:val="0"/>
          <w:color w:val="auto"/>
          <w:sz w:val="24"/>
          <w:szCs w:val="24"/>
          <w:highlight w:val="none"/>
          <w:u w:val="none" w:color="auto"/>
          <w:lang w:eastAsia="zh-CN"/>
        </w:rPr>
        <w:t>相关</w:t>
      </w:r>
      <w:r>
        <w:rPr>
          <w:rFonts w:hint="eastAsia" w:ascii="宋体" w:hAnsi="宋体" w:eastAsia="宋体" w:cs="宋体"/>
          <w:b w:val="0"/>
          <w:bCs w:val="0"/>
          <w:snapToGrid w:val="0"/>
          <w:color w:val="auto"/>
          <w:sz w:val="24"/>
          <w:szCs w:val="24"/>
          <w:highlight w:val="none"/>
          <w:u w:val="none" w:color="auto"/>
        </w:rPr>
        <w:t>查询截图</w:t>
      </w:r>
      <w:r>
        <w:rPr>
          <w:rFonts w:hint="eastAsia" w:ascii="宋体" w:hAnsi="宋体" w:eastAsia="宋体" w:cs="宋体"/>
          <w:b w:val="0"/>
          <w:bCs w:val="0"/>
          <w:snapToGrid w:val="0"/>
          <w:color w:val="auto"/>
          <w:sz w:val="24"/>
          <w:szCs w:val="24"/>
          <w:highlight w:val="none"/>
          <w:u w:val="none" w:color="auto"/>
          <w:lang w:eastAsia="zh-CN"/>
        </w:rPr>
        <w:t>附后</w:t>
      </w:r>
      <w:r>
        <w:rPr>
          <w:rFonts w:hint="eastAsia" w:ascii="宋体" w:hAnsi="宋体" w:eastAsia="宋体" w:cs="宋体"/>
          <w:b w:val="0"/>
          <w:bCs w:val="0"/>
          <w:snapToGrid w:val="0"/>
          <w:color w:val="auto"/>
          <w:sz w:val="24"/>
          <w:szCs w:val="24"/>
          <w:highlight w:val="none"/>
          <w:u w:val="none" w:color="auto"/>
        </w:rPr>
        <w:t>并加盖</w:t>
      </w:r>
      <w:r>
        <w:rPr>
          <w:rFonts w:hint="eastAsia" w:ascii="宋体" w:hAnsi="宋体" w:eastAsia="宋体" w:cs="宋体"/>
          <w:b w:val="0"/>
          <w:bCs w:val="0"/>
          <w:snapToGrid w:val="0"/>
          <w:color w:val="auto"/>
          <w:sz w:val="24"/>
          <w:szCs w:val="24"/>
          <w:highlight w:val="none"/>
          <w:u w:val="none" w:color="auto"/>
          <w:lang w:eastAsia="zh-CN"/>
        </w:rPr>
        <w:t>供应商</w:t>
      </w:r>
      <w:r>
        <w:rPr>
          <w:rFonts w:hint="eastAsia" w:ascii="宋体" w:hAnsi="宋体" w:eastAsia="宋体" w:cs="宋体"/>
          <w:b w:val="0"/>
          <w:bCs w:val="0"/>
          <w:snapToGrid w:val="0"/>
          <w:color w:val="auto"/>
          <w:sz w:val="24"/>
          <w:szCs w:val="24"/>
          <w:highlight w:val="none"/>
          <w:u w:val="none" w:color="auto"/>
        </w:rPr>
        <w:t>公章</w:t>
      </w:r>
      <w:r>
        <w:rPr>
          <w:rFonts w:hint="eastAsia" w:ascii="宋体" w:hAnsi="宋体" w:eastAsia="宋体" w:cs="宋体"/>
          <w:b w:val="0"/>
          <w:bCs w:val="0"/>
          <w:snapToGrid w:val="0"/>
          <w:color w:val="auto"/>
          <w:sz w:val="24"/>
          <w:szCs w:val="24"/>
          <w:highlight w:val="none"/>
          <w:u w:val="none" w:color="auto"/>
          <w:lang w:eastAsia="zh-CN"/>
        </w:rPr>
        <w:t>。</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lang w:eastAsia="zh-CN"/>
        </w:rPr>
        <w:t>④我单位还</w:t>
      </w:r>
      <w:r>
        <w:rPr>
          <w:rFonts w:hint="eastAsia" w:ascii="宋体" w:hAnsi="宋体" w:eastAsia="宋体" w:cs="宋体"/>
          <w:b w:val="0"/>
          <w:bCs w:val="0"/>
          <w:snapToGrid w:val="0"/>
          <w:color w:val="auto"/>
          <w:sz w:val="24"/>
          <w:szCs w:val="24"/>
          <w:highlight w:val="none"/>
          <w:u w:val="none" w:color="auto"/>
        </w:rPr>
        <w:t>承诺</w:t>
      </w:r>
      <w:r>
        <w:rPr>
          <w:rFonts w:hint="eastAsia" w:ascii="宋体" w:hAnsi="宋体" w:eastAsia="宋体" w:cs="宋体"/>
          <w:b w:val="0"/>
          <w:bCs w:val="0"/>
          <w:snapToGrid w:val="0"/>
          <w:color w:val="auto"/>
          <w:sz w:val="24"/>
          <w:szCs w:val="24"/>
          <w:highlight w:val="none"/>
          <w:u w:val="none" w:color="auto"/>
          <w:lang w:eastAsia="zh-CN"/>
        </w:rPr>
        <w:t>未</w:t>
      </w:r>
      <w:r>
        <w:rPr>
          <w:rFonts w:hint="eastAsia" w:ascii="宋体" w:hAnsi="宋体" w:eastAsia="宋体" w:cs="宋体"/>
          <w:b w:val="0"/>
          <w:bCs w:val="0"/>
          <w:snapToGrid w:val="0"/>
          <w:color w:val="auto"/>
          <w:sz w:val="24"/>
          <w:szCs w:val="24"/>
          <w:highlight w:val="none"/>
          <w:u w:val="none" w:color="auto"/>
        </w:rPr>
        <w:t>存在下列情形之一：</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1）被列入《重庆市工程建设领域</w:t>
      </w:r>
      <w:r>
        <w:rPr>
          <w:rFonts w:hint="eastAsia" w:ascii="宋体" w:hAnsi="宋体" w:eastAsia="宋体" w:cs="宋体"/>
          <w:b w:val="0"/>
          <w:bCs w:val="0"/>
          <w:snapToGrid w:val="0"/>
          <w:color w:val="auto"/>
          <w:sz w:val="24"/>
          <w:szCs w:val="24"/>
          <w:highlight w:val="none"/>
          <w:u w:val="none" w:color="auto"/>
          <w:lang w:eastAsia="zh-CN"/>
        </w:rPr>
        <w:t>招标</w:t>
      </w:r>
      <w:r>
        <w:rPr>
          <w:rFonts w:hint="eastAsia" w:ascii="宋体" w:hAnsi="宋体" w:eastAsia="宋体" w:cs="宋体"/>
          <w:b w:val="0"/>
          <w:bCs w:val="0"/>
          <w:snapToGrid w:val="0"/>
          <w:color w:val="auto"/>
          <w:sz w:val="24"/>
          <w:szCs w:val="24"/>
          <w:highlight w:val="none"/>
          <w:u w:val="none" w:color="auto"/>
        </w:rPr>
        <w:t>投标信用管理暂行办法》规定的重点关注名单且记分达到12分；</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2）被列入《重庆市工程建设领域</w:t>
      </w:r>
      <w:r>
        <w:rPr>
          <w:rFonts w:hint="eastAsia" w:ascii="宋体" w:hAnsi="宋体" w:eastAsia="宋体" w:cs="宋体"/>
          <w:b w:val="0"/>
          <w:bCs w:val="0"/>
          <w:snapToGrid w:val="0"/>
          <w:color w:val="auto"/>
          <w:sz w:val="24"/>
          <w:szCs w:val="24"/>
          <w:highlight w:val="none"/>
          <w:u w:val="none" w:color="auto"/>
          <w:lang w:eastAsia="zh-CN"/>
        </w:rPr>
        <w:t>招标</w:t>
      </w:r>
      <w:r>
        <w:rPr>
          <w:rFonts w:hint="eastAsia" w:ascii="宋体" w:hAnsi="宋体" w:eastAsia="宋体" w:cs="宋体"/>
          <w:b w:val="0"/>
          <w:bCs w:val="0"/>
          <w:snapToGrid w:val="0"/>
          <w:color w:val="auto"/>
          <w:sz w:val="24"/>
          <w:szCs w:val="24"/>
          <w:highlight w:val="none"/>
          <w:u w:val="none" w:color="auto"/>
        </w:rPr>
        <w:t>投标信用管理暂行办法》规定的黑名单；</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rPr>
      </w:pPr>
      <w:r>
        <w:rPr>
          <w:rFonts w:hint="eastAsia" w:ascii="宋体" w:hAnsi="宋体" w:eastAsia="宋体" w:cs="宋体"/>
          <w:b w:val="0"/>
          <w:bCs w:val="0"/>
          <w:snapToGrid w:val="0"/>
          <w:color w:val="auto"/>
          <w:sz w:val="24"/>
          <w:szCs w:val="24"/>
          <w:highlight w:val="none"/>
          <w:u w:val="none" w:color="auto"/>
        </w:rPr>
        <w:t>3）被国家、重庆市（含市或任意区县）有关行政部门处以暂停投标资格行政处罚，且在处罚期限内；</w:t>
      </w:r>
    </w:p>
    <w:p>
      <w:pPr>
        <w:pStyle w:val="31"/>
        <w:spacing w:line="360" w:lineRule="auto"/>
        <w:ind w:firstLine="480" w:firstLineChars="200"/>
        <w:outlineLvl w:val="9"/>
        <w:rPr>
          <w:rFonts w:hint="eastAsia" w:ascii="宋体" w:hAnsi="宋体" w:eastAsia="宋体" w:cs="宋体"/>
          <w:b w:val="0"/>
          <w:bCs w:val="0"/>
          <w:snapToGrid w:val="0"/>
          <w:color w:val="auto"/>
          <w:sz w:val="24"/>
          <w:szCs w:val="24"/>
          <w:highlight w:val="none"/>
          <w:u w:val="none" w:color="auto"/>
          <w:lang w:eastAsia="zh-CN"/>
        </w:rPr>
      </w:pPr>
      <w:r>
        <w:rPr>
          <w:rFonts w:hint="eastAsia" w:ascii="宋体" w:hAnsi="宋体" w:eastAsia="宋体" w:cs="宋体"/>
          <w:b w:val="0"/>
          <w:bCs w:val="0"/>
          <w:snapToGrid w:val="0"/>
          <w:color w:val="auto"/>
          <w:sz w:val="24"/>
          <w:szCs w:val="24"/>
          <w:highlight w:val="none"/>
          <w:u w:val="none" w:color="auto"/>
        </w:rPr>
        <w:t>4）被重庆市住房和城乡建设主管部门暂停在渝承揽新业务。</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⑤我单位承诺拟派的项目经理未在在建工程中担任项目经理，且除法定原因外不得对人员进行变更。</w:t>
      </w:r>
    </w:p>
    <w:p>
      <w:pPr>
        <w:tabs>
          <w:tab w:val="left" w:pos="6300"/>
        </w:tabs>
        <w:snapToGrid w:val="0"/>
        <w:spacing w:line="360" w:lineRule="auto"/>
        <w:ind w:firstLine="48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 w:val="24"/>
          <w:szCs w:val="24"/>
          <w:highlight w:val="none"/>
          <w:lang w:val="en-US" w:eastAsia="zh-CN"/>
        </w:rPr>
        <w:t xml:space="preserve"> ⑥</w:t>
      </w:r>
      <w:r>
        <w:rPr>
          <w:rFonts w:hint="eastAsia" w:ascii="宋体" w:hAnsi="宋体" w:eastAsia="宋体" w:cs="宋体"/>
          <w:b w:val="0"/>
          <w:bCs w:val="0"/>
          <w:snapToGrid w:val="0"/>
          <w:color w:val="auto"/>
          <w:sz w:val="24"/>
          <w:szCs w:val="24"/>
          <w:highlight w:val="none"/>
          <w:u w:val="none" w:color="auto"/>
          <w:lang w:val="en-US" w:eastAsia="zh-CN"/>
        </w:rPr>
        <w:t>我单位承诺项目技术负责人</w:t>
      </w:r>
      <w:r>
        <w:rPr>
          <w:rFonts w:hint="eastAsia" w:ascii="宋体" w:hAnsi="宋体" w:eastAsia="宋体" w:cs="宋体"/>
          <w:b w:val="0"/>
          <w:bCs w:val="0"/>
          <w:snapToGrid w:val="0"/>
          <w:color w:val="auto"/>
          <w:sz w:val="24"/>
          <w:szCs w:val="24"/>
          <w:highlight w:val="none"/>
          <w:u w:val="none" w:color="auto"/>
          <w:lang w:eastAsia="zh-CN"/>
        </w:rPr>
        <w:t>除法定原因外不得进行变更。</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lang w:eastAsia="zh-CN"/>
        </w:rPr>
      </w:pPr>
    </w:p>
    <w:p>
      <w:pPr>
        <w:tabs>
          <w:tab w:val="left" w:pos="6300"/>
        </w:tabs>
        <w:snapToGrid w:val="0"/>
        <w:spacing w:line="360" w:lineRule="auto"/>
        <w:ind w:left="0" w:leftChars="0" w:firstLine="5018" w:firstLineChars="2091"/>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供应商（公章）：</w:t>
      </w:r>
    </w:p>
    <w:p>
      <w:pPr>
        <w:tabs>
          <w:tab w:val="left" w:pos="6300"/>
        </w:tabs>
        <w:snapToGrid w:val="0"/>
        <w:spacing w:line="360" w:lineRule="auto"/>
        <w:ind w:left="0" w:leftChars="0" w:firstLine="5018" w:firstLineChars="2091"/>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法定代表人（或分支机构负责人）或授权</w:t>
      </w:r>
    </w:p>
    <w:p>
      <w:pPr>
        <w:tabs>
          <w:tab w:val="left" w:pos="6300"/>
        </w:tabs>
        <w:snapToGrid w:val="0"/>
        <w:spacing w:line="360" w:lineRule="auto"/>
        <w:ind w:left="0" w:leftChars="0" w:firstLine="5539" w:firstLineChars="2308"/>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代表人（签字）：</w:t>
      </w:r>
    </w:p>
    <w:p>
      <w:pPr>
        <w:tabs>
          <w:tab w:val="left" w:pos="6300"/>
        </w:tabs>
        <w:snapToGrid w:val="0"/>
        <w:spacing w:line="360" w:lineRule="auto"/>
        <w:ind w:left="0" w:leftChars="0" w:firstLine="5018" w:firstLineChars="2091"/>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单位地址：</w:t>
      </w:r>
    </w:p>
    <w:p>
      <w:pPr>
        <w:tabs>
          <w:tab w:val="left" w:pos="6300"/>
        </w:tabs>
        <w:snapToGrid w:val="0"/>
        <w:spacing w:line="360" w:lineRule="auto"/>
        <w:ind w:left="0" w:leftChars="0" w:firstLine="5018" w:firstLineChars="2091"/>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电    话：                                         </w:t>
      </w:r>
    </w:p>
    <w:p>
      <w:pPr>
        <w:tabs>
          <w:tab w:val="left" w:pos="6300"/>
        </w:tabs>
        <w:snapToGrid w:val="0"/>
        <w:spacing w:line="360" w:lineRule="auto"/>
        <w:ind w:left="0" w:leftChars="0" w:firstLine="5018" w:firstLineChars="2091"/>
        <w:jc w:val="lef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   年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 xml:space="preserve">  日</w:t>
      </w:r>
    </w:p>
    <w:p>
      <w:pPr>
        <w:tabs>
          <w:tab w:val="left" w:pos="6300"/>
        </w:tabs>
        <w:snapToGrid w:val="0"/>
        <w:spacing w:line="360" w:lineRule="auto"/>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注：如声明与实际不符，我单位将自愿被取消候选或</w:t>
      </w:r>
      <w:r>
        <w:rPr>
          <w:rFonts w:hint="eastAsia" w:ascii="宋体" w:hAnsi="宋体" w:cs="宋体"/>
          <w:color w:val="auto"/>
          <w:sz w:val="24"/>
          <w:szCs w:val="24"/>
          <w:highlight w:val="none"/>
          <w:lang w:val="en-US" w:eastAsia="zh-CN"/>
        </w:rPr>
        <w:t>成交</w:t>
      </w:r>
      <w:r>
        <w:rPr>
          <w:rFonts w:hint="eastAsia" w:ascii="宋体" w:hAnsi="宋体" w:eastAsia="宋体" w:cs="宋体"/>
          <w:color w:val="auto"/>
          <w:sz w:val="24"/>
          <w:szCs w:val="24"/>
          <w:highlight w:val="none"/>
          <w:lang w:eastAsia="zh-CN"/>
        </w:rPr>
        <w:t>资格。</w:t>
      </w:r>
    </w:p>
    <w:p>
      <w:pP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pPr>
        <w:numPr>
          <w:ilvl w:val="0"/>
          <w:numId w:val="0"/>
        </w:numPr>
        <w:tabs>
          <w:tab w:val="left" w:pos="6300"/>
        </w:tabs>
        <w:snapToGrid w:val="0"/>
        <w:spacing w:line="360" w:lineRule="auto"/>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特定资格条件</w:t>
      </w: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tabs>
          <w:tab w:val="left" w:pos="6300"/>
        </w:tabs>
        <w:snapToGrid w:val="0"/>
        <w:spacing w:line="360" w:lineRule="auto"/>
        <w:ind w:firstLine="480" w:firstLineChars="200"/>
        <w:outlineLvl w:val="9"/>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sz w:val="24"/>
          <w:szCs w:val="24"/>
          <w:highlight w:val="none"/>
        </w:rPr>
      </w:pPr>
    </w:p>
    <w:p>
      <w:pPr>
        <w:pStyle w:val="5"/>
        <w:rPr>
          <w:rFonts w:hint="eastAsia" w:ascii="宋体" w:hAnsi="宋体" w:eastAsia="宋体" w:cs="宋体"/>
          <w:color w:val="auto"/>
          <w:sz w:val="24"/>
          <w:szCs w:val="24"/>
          <w:highlight w:val="none"/>
        </w:rPr>
      </w:pPr>
    </w:p>
    <w:p>
      <w:pPr>
        <w:rPr>
          <w:rFonts w:hint="eastAsia" w:ascii="宋体" w:hAnsi="宋体" w:eastAsia="宋体" w:cs="宋体"/>
          <w:color w:val="auto"/>
          <w:highlight w:val="none"/>
        </w:rPr>
      </w:pPr>
    </w:p>
    <w:p>
      <w:pPr>
        <w:tabs>
          <w:tab w:val="left" w:pos="6300"/>
        </w:tabs>
        <w:snapToGrid w:val="0"/>
        <w:spacing w:line="360" w:lineRule="auto"/>
        <w:outlineLvl w:val="9"/>
        <w:rPr>
          <w:rFonts w:hint="eastAsia" w:ascii="宋体" w:hAnsi="宋体" w:eastAsia="宋体" w:cs="宋体"/>
          <w:color w:val="auto"/>
          <w:sz w:val="24"/>
          <w:szCs w:val="24"/>
          <w:highlight w:val="none"/>
        </w:rPr>
      </w:pPr>
    </w:p>
    <w:p>
      <w:pPr>
        <w:spacing w:before="0" w:after="0" w:line="360" w:lineRule="auto"/>
        <w:outlineLvl w:val="1"/>
        <w:rPr>
          <w:rFonts w:hint="eastAsia" w:ascii="宋体" w:hAnsi="宋体" w:eastAsia="宋体" w:cs="宋体"/>
          <w:color w:val="auto"/>
          <w:sz w:val="24"/>
          <w:szCs w:val="24"/>
          <w:highlight w:val="none"/>
        </w:rPr>
      </w:pPr>
      <w:bookmarkStart w:id="1573" w:name="_Toc17276"/>
      <w:bookmarkStart w:id="1574" w:name="_Toc14422"/>
      <w:bookmarkStart w:id="1575" w:name="_Toc13044"/>
      <w:bookmarkStart w:id="1576" w:name="_Toc2628"/>
    </w:p>
    <w:p>
      <w:pPr>
        <w:pStyle w:val="5"/>
        <w:rPr>
          <w:rFonts w:hint="eastAsia" w:ascii="宋体" w:hAnsi="宋体" w:eastAsia="宋体" w:cs="宋体"/>
          <w:color w:val="auto"/>
          <w:highlight w:val="none"/>
        </w:rPr>
      </w:pPr>
    </w:p>
    <w:p>
      <w:pPr>
        <w:spacing w:before="0" w:after="0" w:line="360" w:lineRule="auto"/>
        <w:outlineLvl w:val="1"/>
        <w:rPr>
          <w:rFonts w:hint="eastAsia" w:ascii="宋体" w:hAnsi="宋体" w:eastAsia="宋体" w:cs="宋体"/>
          <w:color w:val="auto"/>
          <w:sz w:val="24"/>
          <w:szCs w:val="24"/>
          <w:highlight w:val="none"/>
        </w:rPr>
      </w:pPr>
    </w:p>
    <w:p>
      <w:pPr>
        <w:spacing w:before="0" w:after="0" w:line="360" w:lineRule="auto"/>
        <w:outlineLvl w:val="1"/>
        <w:rPr>
          <w:rFonts w:hint="eastAsia" w:ascii="宋体" w:hAnsi="宋体" w:eastAsia="宋体" w:cs="宋体"/>
          <w:color w:val="auto"/>
          <w:sz w:val="24"/>
          <w:szCs w:val="24"/>
          <w:highlight w:val="none"/>
        </w:rPr>
      </w:pPr>
    </w:p>
    <w:p>
      <w:pPr>
        <w:spacing w:before="0" w:after="0" w:line="360" w:lineRule="auto"/>
        <w:outlineLvl w:val="1"/>
        <w:rPr>
          <w:rFonts w:hint="eastAsia" w:ascii="宋体" w:hAnsi="宋体" w:eastAsia="宋体" w:cs="宋体"/>
          <w:color w:val="auto"/>
          <w:sz w:val="24"/>
          <w:szCs w:val="24"/>
          <w:highlight w:val="none"/>
        </w:rPr>
      </w:pPr>
    </w:p>
    <w:p>
      <w:pPr>
        <w:spacing w:before="0" w:after="0" w:line="360" w:lineRule="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五、其他应提供的资料</w:t>
      </w:r>
      <w:bookmarkEnd w:id="1573"/>
      <w:bookmarkEnd w:id="1574"/>
      <w:bookmarkEnd w:id="1575"/>
      <w:bookmarkEnd w:id="1576"/>
    </w:p>
    <w:p>
      <w:pPr>
        <w:spacing w:line="360" w:lineRule="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(一)其他资料</w:t>
      </w:r>
    </w:p>
    <w:p>
      <w:pPr>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1、其他与项目有关的资料（</w:t>
      </w:r>
      <w:r>
        <w:rPr>
          <w:rFonts w:hint="eastAsia" w:ascii="宋体" w:hAnsi="宋体" w:eastAsia="宋体" w:cs="宋体"/>
          <w:color w:val="auto"/>
          <w:sz w:val="24"/>
          <w:szCs w:val="24"/>
          <w:highlight w:val="none"/>
          <w:lang w:eastAsia="zh-CN"/>
        </w:rPr>
        <w:t>如有，</w:t>
      </w:r>
      <w:r>
        <w:rPr>
          <w:rFonts w:hint="eastAsia" w:ascii="宋体" w:hAnsi="宋体" w:eastAsia="宋体" w:cs="宋体"/>
          <w:color w:val="auto"/>
          <w:sz w:val="24"/>
          <w:szCs w:val="24"/>
          <w:highlight w:val="none"/>
        </w:rPr>
        <w:t>自附）：供应商总体情况介绍、其他与本项目有关的资料等。</w:t>
      </w: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outlineLvl w:val="9"/>
        <w:rPr>
          <w:rFonts w:hint="eastAsia" w:ascii="宋体" w:hAnsi="宋体" w:eastAsia="宋体" w:cs="宋体"/>
          <w:color w:val="auto"/>
          <w:sz w:val="24"/>
          <w:szCs w:val="24"/>
          <w:highlight w:val="none"/>
        </w:rPr>
      </w:pPr>
    </w:p>
    <w:p>
      <w:pPr>
        <w:spacing w:line="360" w:lineRule="auto"/>
        <w:ind w:firstLine="480" w:firstLineChars="200"/>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（结束）</w:t>
      </w:r>
    </w:p>
    <w:sectPr>
      <w:pgSz w:w="11905" w:h="16838"/>
      <w:pgMar w:top="850" w:right="850" w:bottom="1134" w:left="1304" w:header="850" w:footer="992" w:gutter="0"/>
      <w:pgNumType w:fmt="decimal"/>
      <w:cols w:space="0" w:num="1"/>
      <w:rtlGutter w:val="0"/>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文鼎粗黑">
    <w:altName w:val="新宋体"/>
    <w:panose1 w:val="00000000000000000000"/>
    <w:charset w:val="86"/>
    <w:family w:val="modern"/>
    <w:pitch w:val="default"/>
    <w:sig w:usb0="00000000" w:usb1="00000000" w:usb2="0000001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方正仿宋_GBK">
    <w:panose1 w:val="02000000000000000000"/>
    <w:charset w:val="86"/>
    <w:family w:val="script"/>
    <w:pitch w:val="default"/>
    <w:sig w:usb0="A00002BF" w:usb1="38CF7CFA" w:usb2="00082016" w:usb3="00000000" w:csb0="00040001" w:csb1="00000000"/>
    <w:embedRegular r:id="rId1" w:fontKey="{0AAFC06D-A4D0-4B2A-BCE1-6C5A48AA78A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新宋体">
    <w:panose1 w:val="02010609030101010101"/>
    <w:charset w:val="86"/>
    <w:family w:val="auto"/>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r>
      <w:fldChar w:fldCharType="begin"/>
    </w:r>
    <w:r>
      <w:rPr>
        <w:rStyle w:val="64"/>
      </w:rPr>
      <w:instrText xml:space="preserve">PAGE  </w:instrText>
    </w:r>
    <w:r>
      <w:fldChar w:fldCharType="separate"/>
    </w:r>
    <w:r>
      <w:fldChar w:fldCharType="end"/>
    </w:r>
  </w:p>
  <w:p>
    <w:pPr>
      <w:pStyle w:val="3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framePr w:wrap="around" w:vAnchor="text" w:hAnchor="margin" w:xAlign="center" w:y="1"/>
      <w:rPr>
        <w:rStyle w:val="64"/>
      </w:rPr>
    </w:pPr>
  </w:p>
  <w:p>
    <w:pPr>
      <w:pStyle w:val="36"/>
      <w:jc w:val="center"/>
      <w:rPr>
        <w:rFonts w:hint="eastAsia"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- 8 -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TwUxMoBAACcAwAADgAAAGRycy9lMm9Eb2MueG1srVPNjtMwEL4j8Q6W&#10;79RpkVCJ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kTwUxMoBAACcAwAADgAAAAAAAAABACAAAAAeAQAAZHJzL2Uyb0Rv&#10;Yy54bWxQSwUGAAAAAAYABgBZAQAAWgUAAAAA&#10;">
              <v:fill on="f" focussize="0,0"/>
              <v:stroke on="f"/>
              <v:imagedata o:title=""/>
              <o:lock v:ext="edit" aspectratio="f"/>
              <v:textbox inset="0mm,0mm,0mm,0mm" style="mso-fit-shape-to-text:t;">
                <w:txbxContent>
                  <w:p>
                    <w:pPr>
                      <w:pStyle w:val="36"/>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- 8 -</w:t>
                    </w:r>
                    <w:r>
                      <w:rPr>
                        <w:rFonts w:ascii="宋体" w:hAnsi="宋体"/>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572"/>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posOffset>2877185</wp:posOffset>
              </wp:positionH>
              <wp:positionV relativeFrom="paragraph">
                <wp:posOffset>-210820</wp:posOffset>
              </wp:positionV>
              <wp:extent cx="293370" cy="34861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3370" cy="348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6"/>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26.55pt;margin-top:-16.6pt;height:27.45pt;width:23.1pt;mso-position-horizontal-relative:margin;z-index:251660288;mso-width-relative:page;mso-height-relative:page;" filled="f" stroked="f" coordsize="21600,21600" o:gfxdata="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ynnt2gAAAAoBAAAPAAAAAAAAAAEAIAAAACIAAABkcnMvZG93&#10;bnJldi54bWxQSwECFAAUAAAACACHTuJApqK9OjcCAABhBAAADgAAAAAAAAABACAAAAApAQAAZHJz&#10;L2Uyb0RvYy54bWxQSwUGAAAAAAYABgBZAQAA0gUAAAAA&#10;">
              <v:fill on="f" focussize="0,0"/>
              <v:stroke on="f" weight="0.5pt"/>
              <v:imagedata o:title=""/>
              <o:lock v:ext="edit" aspectratio="f"/>
              <v:textbox inset="0mm,0mm,0mm,0mm">
                <w:txbxContent>
                  <w:p>
                    <w:pPr>
                      <w:pStyle w:val="36"/>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6"/>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- 16 -</w:t>
                          </w:r>
                          <w:r>
                            <w:rPr>
                              <w:rFonts w:ascii="宋体" w:hAnsi="宋体"/>
                              <w:sz w:val="21"/>
                              <w:szCs w:val="21"/>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jEWoXLAQAAnAMAAA4AAAAAAAAAAQAgAAAAHgEAAGRycy9lMm9E&#10;b2MueG1sUEsFBgAAAAAGAAYAWQEAAFsFAAAAAA==&#10;">
              <v:fill on="f" focussize="0,0"/>
              <v:stroke on="f"/>
              <v:imagedata o:title=""/>
              <o:lock v:ext="edit" aspectratio="f"/>
              <v:textbox inset="0mm,0mm,0mm,0mm" style="mso-fit-shape-to-text:t;">
                <w:txbxContent>
                  <w:p>
                    <w:pPr>
                      <w:pStyle w:val="36"/>
                      <w:jc w:val="center"/>
                    </w:pPr>
                    <w:r>
                      <w:rPr>
                        <w:rFonts w:ascii="宋体" w:hAnsi="宋体"/>
                        <w:sz w:val="21"/>
                        <w:szCs w:val="21"/>
                      </w:rPr>
                      <w:fldChar w:fldCharType="begin"/>
                    </w:r>
                    <w:r>
                      <w:rPr>
                        <w:rStyle w:val="64"/>
                        <w:rFonts w:ascii="宋体" w:hAnsi="宋体"/>
                        <w:sz w:val="21"/>
                        <w:szCs w:val="21"/>
                      </w:rPr>
                      <w:instrText xml:space="preserve"> PAGE </w:instrText>
                    </w:r>
                    <w:r>
                      <w:rPr>
                        <w:rFonts w:ascii="宋体" w:hAnsi="宋体"/>
                        <w:sz w:val="21"/>
                        <w:szCs w:val="21"/>
                      </w:rPr>
                      <w:fldChar w:fldCharType="separate"/>
                    </w:r>
                    <w:r>
                      <w:rPr>
                        <w:rStyle w:val="64"/>
                        <w:rFonts w:ascii="宋体" w:hAnsi="宋体"/>
                        <w:sz w:val="21"/>
                        <w:szCs w:val="21"/>
                      </w:rPr>
                      <w:t>- 16 -</w:t>
                    </w:r>
                    <w:r>
                      <w:rPr>
                        <w:rFonts w:ascii="宋体" w:hAnsi="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宋体" w:hAnsi="宋体" w:cs="宋体"/>
        <w:sz w:val="21"/>
        <w:szCs w:val="21"/>
        <w:lang w:val="en-US" w:eastAsia="zh-CN"/>
      </w:rPr>
    </w:pPr>
  </w:p>
  <w:p>
    <w:pPr>
      <w:pStyle w:val="37"/>
      <w:jc w:val="both"/>
      <w:rPr>
        <w:rFonts w:hint="eastAsia" w:ascii="宋体" w:hAnsi="宋体" w:cs="宋体"/>
        <w:sz w:val="21"/>
        <w:szCs w:val="21"/>
        <w:lang w:val="en-US" w:eastAsia="zh-CN"/>
      </w:rPr>
    </w:pPr>
  </w:p>
  <w:p>
    <w:pPr>
      <w:pStyle w:val="37"/>
      <w:jc w:val="both"/>
      <w:rPr>
        <w:rFonts w:hint="eastAsia" w:ascii="宋体" w:hAnsi="宋体" w:cs="宋体"/>
        <w:sz w:val="21"/>
        <w:szCs w:val="21"/>
        <w:lang w:val="en-US" w:eastAsia="zh-CN"/>
      </w:rPr>
    </w:pPr>
  </w:p>
  <w:p>
    <w:pPr>
      <w:pStyle w:val="37"/>
      <w:jc w:val="both"/>
      <w:rPr>
        <w:rFonts w:hint="eastAsia" w:ascii="宋体" w:hAnsi="宋体" w:cs="宋体"/>
        <w:sz w:val="21"/>
        <w:szCs w:val="21"/>
        <w:lang w:val="en-US" w:eastAsia="zh-CN"/>
      </w:rPr>
    </w:pPr>
  </w:p>
  <w:p>
    <w:pPr>
      <w:pStyle w:val="37"/>
      <w:jc w:val="both"/>
      <w:rPr>
        <w:rFonts w:hint="eastAsia" w:ascii="方正仿宋_GBK" w:eastAsia="方正仿宋_GBK"/>
        <w:sz w:val="21"/>
        <w:szCs w:val="21"/>
      </w:rPr>
    </w:pPr>
    <w:r>
      <w:rPr>
        <w:rFonts w:hint="eastAsia" w:ascii="宋体" w:hAnsi="宋体" w:cs="宋体"/>
        <w:sz w:val="21"/>
        <w:szCs w:val="21"/>
        <w:lang w:val="en-US" w:eastAsia="zh-CN"/>
      </w:rPr>
      <w:t>河南恒业工程咨询有限公司</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jc w:val="both"/>
      <w:rPr>
        <w:rFonts w:hint="eastAsia" w:ascii="宋体" w:hAnsi="宋体" w:cs="宋体"/>
        <w:sz w:val="21"/>
        <w:szCs w:val="21"/>
        <w:lang w:val="en-US" w:eastAsia="zh-CN"/>
      </w:rPr>
    </w:pPr>
  </w:p>
  <w:p>
    <w:pPr>
      <w:pStyle w:val="37"/>
      <w:jc w:val="both"/>
      <w:rPr>
        <w:rFonts w:hint="eastAsia" w:ascii="宋体" w:hAnsi="宋体" w:cs="宋体"/>
        <w:sz w:val="21"/>
        <w:szCs w:val="21"/>
        <w:lang w:val="en-US" w:eastAsia="zh-CN"/>
      </w:rPr>
    </w:pPr>
  </w:p>
  <w:p>
    <w:pPr>
      <w:pStyle w:val="37"/>
      <w:jc w:val="both"/>
      <w:rPr>
        <w:rFonts w:hint="eastAsia" w:ascii="宋体" w:hAnsi="宋体" w:cs="宋体"/>
        <w:sz w:val="21"/>
        <w:szCs w:val="21"/>
        <w:lang w:val="en-US" w:eastAsia="zh-CN"/>
      </w:rPr>
    </w:pPr>
  </w:p>
  <w:p>
    <w:pPr>
      <w:pStyle w:val="37"/>
      <w:jc w:val="both"/>
      <w:rPr>
        <w:rFonts w:hint="eastAsia" w:ascii="宋体" w:hAnsi="宋体" w:cs="宋体"/>
        <w:sz w:val="21"/>
        <w:szCs w:val="21"/>
        <w:lang w:val="en-US" w:eastAsia="zh-CN"/>
      </w:rPr>
    </w:pPr>
  </w:p>
  <w:p>
    <w:pPr>
      <w:pStyle w:val="37"/>
      <w:jc w:val="both"/>
      <w:rPr>
        <w:rFonts w:hint="eastAsia" w:ascii="方正仿宋_GBK" w:eastAsia="方正仿宋_GBK"/>
        <w:sz w:val="21"/>
        <w:szCs w:val="21"/>
      </w:rPr>
    </w:pPr>
    <w:r>
      <w:rPr>
        <w:rFonts w:hint="eastAsia" w:ascii="宋体" w:hAnsi="宋体" w:cs="宋体"/>
        <w:sz w:val="21"/>
        <w:szCs w:val="21"/>
        <w:lang w:val="en-US" w:eastAsia="zh-CN"/>
      </w:rPr>
      <w:t>河南恒业工程咨询有限公司</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竞争性磋商文件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hint="eastAsia"/>
        <w:u w:val="single"/>
      </w:rPr>
    </w:pPr>
    <w:r>
      <w:rPr>
        <w:rFonts w:hint="eastAsia" w:ascii="方正仿宋_GBK" w:eastAsia="方正仿宋_GBK"/>
        <w:sz w:val="21"/>
        <w:szCs w:val="21"/>
        <w:u w:val="single"/>
        <w:lang w:val="en-US" w:eastAsia="zh-CN"/>
      </w:rPr>
      <w:t xml:space="preserve">河南恒业工程咨询有限公司                                                     </w:t>
    </w:r>
    <w:r>
      <w:rPr>
        <w:rFonts w:hint="eastAsia" w:ascii="方正仿宋_GBK" w:eastAsia="方正仿宋_GBK"/>
        <w:sz w:val="21"/>
        <w:szCs w:val="21"/>
        <w:u w:val="single"/>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2C850"/>
    <w:multiLevelType w:val="singleLevel"/>
    <w:tmpl w:val="8EA2C850"/>
    <w:lvl w:ilvl="0" w:tentative="0">
      <w:start w:val="1"/>
      <w:numFmt w:val="chineseCounting"/>
      <w:suff w:val="nothing"/>
      <w:lvlText w:val="（%1）"/>
      <w:lvlJc w:val="left"/>
      <w:pPr>
        <w:ind w:left="0" w:firstLine="420"/>
      </w:pPr>
      <w:rPr>
        <w:rFonts w:hint="eastAsia"/>
      </w:rPr>
    </w:lvl>
  </w:abstractNum>
  <w:abstractNum w:abstractNumId="1">
    <w:nsid w:val="8F48BBB6"/>
    <w:multiLevelType w:val="multilevel"/>
    <w:tmpl w:val="8F48BBB6"/>
    <w:lvl w:ilvl="0" w:tentative="0">
      <w:start w:val="1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
    <w:nsid w:val="A831586E"/>
    <w:multiLevelType w:val="singleLevel"/>
    <w:tmpl w:val="A831586E"/>
    <w:lvl w:ilvl="0" w:tentative="0">
      <w:start w:val="2"/>
      <w:numFmt w:val="decimal"/>
      <w:suff w:val="nothing"/>
      <w:lvlText w:val="（%1）"/>
      <w:lvlJc w:val="left"/>
    </w:lvl>
  </w:abstractNum>
  <w:abstractNum w:abstractNumId="3">
    <w:nsid w:val="00000006"/>
    <w:multiLevelType w:val="singleLevel"/>
    <w:tmpl w:val="00000006"/>
    <w:lvl w:ilvl="0" w:tentative="0">
      <w:start w:val="1"/>
      <w:numFmt w:val="decimal"/>
      <w:suff w:val="nothing"/>
      <w:lvlText w:val="（%1）"/>
      <w:lvlJc w:val="left"/>
    </w:lvl>
  </w:abstractNum>
  <w:abstractNum w:abstractNumId="4">
    <w:nsid w:val="00000009"/>
    <w:multiLevelType w:val="multilevel"/>
    <w:tmpl w:val="00000009"/>
    <w:lvl w:ilvl="0" w:tentative="0">
      <w:start w:val="1"/>
      <w:numFmt w:val="upperLetter"/>
      <w:pStyle w:val="113"/>
      <w:suff w:val="nothing"/>
      <w:lvlText w:val="附　录　%1"/>
      <w:lvlJc w:val="left"/>
      <w:pPr>
        <w:ind w:left="0" w:firstLine="0"/>
      </w:pPr>
      <w:rPr>
        <w:rFonts w:hint="eastAsia" w:ascii="黑体" w:hAnsi="Times New Roman" w:eastAsia="黑体"/>
        <w:b w:val="0"/>
        <w:i w:val="0"/>
        <w:sz w:val="21"/>
      </w:rPr>
    </w:lvl>
    <w:lvl w:ilvl="1" w:tentative="0">
      <w:start w:val="1"/>
      <w:numFmt w:val="decimal"/>
      <w:pStyle w:val="15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0000000A"/>
    <w:multiLevelType w:val="multilevel"/>
    <w:tmpl w:val="0000000A"/>
    <w:lvl w:ilvl="0" w:tentative="0">
      <w:start w:val="1"/>
      <w:numFmt w:val="bullet"/>
      <w:pStyle w:val="164"/>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B"/>
    <w:multiLevelType w:val="singleLevel"/>
    <w:tmpl w:val="0000000B"/>
    <w:lvl w:ilvl="0" w:tentative="0">
      <w:start w:val="1"/>
      <w:numFmt w:val="bullet"/>
      <w:pStyle w:val="91"/>
      <w:lvlText w:val=""/>
      <w:lvlJc w:val="left"/>
      <w:pPr>
        <w:tabs>
          <w:tab w:val="left" w:pos="360"/>
        </w:tabs>
        <w:ind w:left="360" w:hanging="360"/>
      </w:pPr>
      <w:rPr>
        <w:rFonts w:hint="default" w:ascii="Wingdings" w:hAnsi="Wingdings"/>
      </w:rPr>
    </w:lvl>
  </w:abstractNum>
  <w:abstractNum w:abstractNumId="7">
    <w:nsid w:val="0000000D"/>
    <w:multiLevelType w:val="singleLevel"/>
    <w:tmpl w:val="0000000D"/>
    <w:lvl w:ilvl="0" w:tentative="0">
      <w:start w:val="1"/>
      <w:numFmt w:val="bullet"/>
      <w:pStyle w:val="22"/>
      <w:lvlText w:val=""/>
      <w:lvlJc w:val="left"/>
      <w:pPr>
        <w:tabs>
          <w:tab w:val="left" w:pos="1200"/>
        </w:tabs>
        <w:ind w:left="1200" w:hanging="360"/>
      </w:pPr>
      <w:rPr>
        <w:rFonts w:hint="default" w:ascii="Wingdings" w:hAnsi="Wingdings"/>
      </w:rPr>
    </w:lvl>
  </w:abstractNum>
  <w:abstractNum w:abstractNumId="8">
    <w:nsid w:val="0000000E"/>
    <w:multiLevelType w:val="multilevel"/>
    <w:tmpl w:val="0000000E"/>
    <w:lvl w:ilvl="0" w:tentative="0">
      <w:start w:val="1"/>
      <w:numFmt w:val="bullet"/>
      <w:pStyle w:val="92"/>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9">
    <w:nsid w:val="00000010"/>
    <w:multiLevelType w:val="singleLevel"/>
    <w:tmpl w:val="00000010"/>
    <w:lvl w:ilvl="0" w:tentative="0">
      <w:start w:val="1"/>
      <w:numFmt w:val="bullet"/>
      <w:pStyle w:val="15"/>
      <w:lvlText w:val=""/>
      <w:lvlJc w:val="left"/>
      <w:pPr>
        <w:tabs>
          <w:tab w:val="left" w:pos="1620"/>
        </w:tabs>
        <w:ind w:left="1620" w:hanging="360"/>
      </w:pPr>
      <w:rPr>
        <w:rFonts w:hint="default" w:ascii="Wingdings" w:hAnsi="Wingdings"/>
      </w:rPr>
    </w:lvl>
  </w:abstractNum>
  <w:abstractNum w:abstractNumId="10">
    <w:nsid w:val="00000011"/>
    <w:multiLevelType w:val="multilevel"/>
    <w:tmpl w:val="00000011"/>
    <w:lvl w:ilvl="0" w:tentative="0">
      <w:start w:val="1"/>
      <w:numFmt w:val="decimal"/>
      <w:pStyle w:val="152"/>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00000012"/>
    <w:multiLevelType w:val="multilevel"/>
    <w:tmpl w:val="00000012"/>
    <w:lvl w:ilvl="0" w:tentative="0">
      <w:start w:val="1"/>
      <w:numFmt w:val="bullet"/>
      <w:pStyle w:val="11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00000013"/>
    <w:multiLevelType w:val="singleLevel"/>
    <w:tmpl w:val="00000013"/>
    <w:lvl w:ilvl="0" w:tentative="0">
      <w:start w:val="1"/>
      <w:numFmt w:val="decimal"/>
      <w:pStyle w:val="14"/>
      <w:lvlText w:val="%1."/>
      <w:lvlJc w:val="left"/>
      <w:pPr>
        <w:tabs>
          <w:tab w:val="left" w:pos="425"/>
        </w:tabs>
        <w:ind w:left="425" w:hanging="425"/>
      </w:pPr>
      <w:rPr>
        <w:rFonts w:hint="default"/>
      </w:rPr>
    </w:lvl>
  </w:abstractNum>
  <w:abstractNum w:abstractNumId="13">
    <w:nsid w:val="00000014"/>
    <w:multiLevelType w:val="singleLevel"/>
    <w:tmpl w:val="00000014"/>
    <w:lvl w:ilvl="0" w:tentative="0">
      <w:start w:val="1"/>
      <w:numFmt w:val="bullet"/>
      <w:pStyle w:val="28"/>
      <w:lvlText w:val=""/>
      <w:lvlJc w:val="left"/>
      <w:pPr>
        <w:tabs>
          <w:tab w:val="left" w:pos="780"/>
        </w:tabs>
        <w:ind w:left="780" w:hanging="360"/>
      </w:pPr>
      <w:rPr>
        <w:rFonts w:hint="default" w:ascii="Wingdings" w:hAnsi="Wingdings"/>
      </w:rPr>
    </w:lvl>
  </w:abstractNum>
  <w:abstractNum w:abstractNumId="14">
    <w:nsid w:val="00000016"/>
    <w:multiLevelType w:val="singleLevel"/>
    <w:tmpl w:val="00000016"/>
    <w:lvl w:ilvl="0" w:tentative="0">
      <w:start w:val="1"/>
      <w:numFmt w:val="decimal"/>
      <w:pStyle w:val="132"/>
      <w:lvlText w:val="%1)"/>
      <w:lvlJc w:val="left"/>
      <w:pPr>
        <w:tabs>
          <w:tab w:val="left" w:pos="425"/>
        </w:tabs>
        <w:ind w:left="425" w:hanging="425"/>
      </w:pPr>
      <w:rPr>
        <w:rFonts w:hint="eastAsia"/>
      </w:rPr>
    </w:lvl>
  </w:abstractNum>
  <w:abstractNum w:abstractNumId="15">
    <w:nsid w:val="00000017"/>
    <w:multiLevelType w:val="multilevel"/>
    <w:tmpl w:val="00000017"/>
    <w:lvl w:ilvl="0" w:tentative="0">
      <w:start w:val="1"/>
      <w:numFmt w:val="chineseCountingThousand"/>
      <w:pStyle w:val="111"/>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61027DAC"/>
    <w:multiLevelType w:val="singleLevel"/>
    <w:tmpl w:val="61027DAC"/>
    <w:lvl w:ilvl="0" w:tentative="0">
      <w:start w:val="1"/>
      <w:numFmt w:val="chineseCounting"/>
      <w:suff w:val="nothing"/>
      <w:lvlText w:val="%1、"/>
      <w:lvlJc w:val="left"/>
    </w:lvl>
  </w:abstractNum>
  <w:num w:numId="1">
    <w:abstractNumId w:val="12"/>
  </w:num>
  <w:num w:numId="2">
    <w:abstractNumId w:val="9"/>
  </w:num>
  <w:num w:numId="3">
    <w:abstractNumId w:val="7"/>
  </w:num>
  <w:num w:numId="4">
    <w:abstractNumId w:val="13"/>
  </w:num>
  <w:num w:numId="5">
    <w:abstractNumId w:val="6"/>
  </w:num>
  <w:num w:numId="6">
    <w:abstractNumId w:val="8"/>
  </w:num>
  <w:num w:numId="7">
    <w:abstractNumId w:val="15"/>
  </w:num>
  <w:num w:numId="8">
    <w:abstractNumId w:val="4"/>
  </w:num>
  <w:num w:numId="9">
    <w:abstractNumId w:val="11"/>
  </w:num>
  <w:num w:numId="10">
    <w:abstractNumId w:val="14"/>
  </w:num>
  <w:num w:numId="11">
    <w:abstractNumId w:val="10"/>
  </w:num>
  <w:num w:numId="12">
    <w:abstractNumId w:val="5"/>
  </w:num>
  <w:num w:numId="13">
    <w:abstractNumId w:val="0"/>
  </w:num>
  <w:num w:numId="14">
    <w:abstractNumId w:val="2"/>
  </w:num>
  <w:num w:numId="15">
    <w:abstractNumId w:val="3"/>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5ZTRlZGQ2OTcwODMzMmYxMTJmZjFkNzU4ZmRhZDYifQ=="/>
  </w:docVars>
  <w:rsids>
    <w:rsidRoot w:val="00172A27"/>
    <w:rsid w:val="000040DE"/>
    <w:rsid w:val="000075E8"/>
    <w:rsid w:val="00007798"/>
    <w:rsid w:val="00010F47"/>
    <w:rsid w:val="00011B4B"/>
    <w:rsid w:val="000120A2"/>
    <w:rsid w:val="00015708"/>
    <w:rsid w:val="00016545"/>
    <w:rsid w:val="00016B79"/>
    <w:rsid w:val="00016DD2"/>
    <w:rsid w:val="00017816"/>
    <w:rsid w:val="00021B72"/>
    <w:rsid w:val="00034D5A"/>
    <w:rsid w:val="0003632F"/>
    <w:rsid w:val="000429D1"/>
    <w:rsid w:val="00044E84"/>
    <w:rsid w:val="00045B91"/>
    <w:rsid w:val="00046980"/>
    <w:rsid w:val="0004789B"/>
    <w:rsid w:val="00047E9C"/>
    <w:rsid w:val="00050A18"/>
    <w:rsid w:val="0005298B"/>
    <w:rsid w:val="0005417C"/>
    <w:rsid w:val="000576E1"/>
    <w:rsid w:val="00063981"/>
    <w:rsid w:val="00067155"/>
    <w:rsid w:val="0008073C"/>
    <w:rsid w:val="000811E5"/>
    <w:rsid w:val="00090C5A"/>
    <w:rsid w:val="00091B1C"/>
    <w:rsid w:val="00097D0B"/>
    <w:rsid w:val="000A164E"/>
    <w:rsid w:val="000A7A1B"/>
    <w:rsid w:val="000B08E9"/>
    <w:rsid w:val="000B114F"/>
    <w:rsid w:val="000B14E8"/>
    <w:rsid w:val="000B42F4"/>
    <w:rsid w:val="000B4453"/>
    <w:rsid w:val="000B7377"/>
    <w:rsid w:val="000B7F54"/>
    <w:rsid w:val="000C6A03"/>
    <w:rsid w:val="000D73A2"/>
    <w:rsid w:val="000E01C9"/>
    <w:rsid w:val="000E01D8"/>
    <w:rsid w:val="000E3259"/>
    <w:rsid w:val="000E7F6B"/>
    <w:rsid w:val="000F23B5"/>
    <w:rsid w:val="000F4FE8"/>
    <w:rsid w:val="000F7DBF"/>
    <w:rsid w:val="0010014A"/>
    <w:rsid w:val="00100639"/>
    <w:rsid w:val="001011D1"/>
    <w:rsid w:val="001033BC"/>
    <w:rsid w:val="0010346D"/>
    <w:rsid w:val="0010750E"/>
    <w:rsid w:val="00116856"/>
    <w:rsid w:val="00120259"/>
    <w:rsid w:val="001266BF"/>
    <w:rsid w:val="00131F3A"/>
    <w:rsid w:val="00133D16"/>
    <w:rsid w:val="00134017"/>
    <w:rsid w:val="00134D29"/>
    <w:rsid w:val="00135B07"/>
    <w:rsid w:val="00144004"/>
    <w:rsid w:val="00145640"/>
    <w:rsid w:val="001477A4"/>
    <w:rsid w:val="00147FB4"/>
    <w:rsid w:val="0015011C"/>
    <w:rsid w:val="00150429"/>
    <w:rsid w:val="001572BD"/>
    <w:rsid w:val="0016679E"/>
    <w:rsid w:val="00177975"/>
    <w:rsid w:val="00180ACB"/>
    <w:rsid w:val="00184F1C"/>
    <w:rsid w:val="00186159"/>
    <w:rsid w:val="00186623"/>
    <w:rsid w:val="001879FD"/>
    <w:rsid w:val="00195D5C"/>
    <w:rsid w:val="00196449"/>
    <w:rsid w:val="00197B72"/>
    <w:rsid w:val="001A2404"/>
    <w:rsid w:val="001A4A1D"/>
    <w:rsid w:val="001A4CF3"/>
    <w:rsid w:val="001A6DCC"/>
    <w:rsid w:val="001B3DBD"/>
    <w:rsid w:val="001B418B"/>
    <w:rsid w:val="001B4377"/>
    <w:rsid w:val="001C1453"/>
    <w:rsid w:val="001C20E6"/>
    <w:rsid w:val="001C20F2"/>
    <w:rsid w:val="001C6FE1"/>
    <w:rsid w:val="001D148A"/>
    <w:rsid w:val="001D2321"/>
    <w:rsid w:val="001D2DCD"/>
    <w:rsid w:val="001D326A"/>
    <w:rsid w:val="001D5055"/>
    <w:rsid w:val="001D58C9"/>
    <w:rsid w:val="001D630C"/>
    <w:rsid w:val="001D7AFF"/>
    <w:rsid w:val="001E201B"/>
    <w:rsid w:val="001E5CAC"/>
    <w:rsid w:val="001E725F"/>
    <w:rsid w:val="001F1AF7"/>
    <w:rsid w:val="001F2CC8"/>
    <w:rsid w:val="001F4964"/>
    <w:rsid w:val="001F4E83"/>
    <w:rsid w:val="001F7063"/>
    <w:rsid w:val="002000EA"/>
    <w:rsid w:val="00202B04"/>
    <w:rsid w:val="002037FD"/>
    <w:rsid w:val="00204936"/>
    <w:rsid w:val="002100EE"/>
    <w:rsid w:val="00213479"/>
    <w:rsid w:val="0021704D"/>
    <w:rsid w:val="00222097"/>
    <w:rsid w:val="00226556"/>
    <w:rsid w:val="00230CA9"/>
    <w:rsid w:val="002342F9"/>
    <w:rsid w:val="002348E0"/>
    <w:rsid w:val="00250E69"/>
    <w:rsid w:val="002643C1"/>
    <w:rsid w:val="00265203"/>
    <w:rsid w:val="00271D47"/>
    <w:rsid w:val="002721EA"/>
    <w:rsid w:val="002736A1"/>
    <w:rsid w:val="00276A46"/>
    <w:rsid w:val="00280797"/>
    <w:rsid w:val="00280B54"/>
    <w:rsid w:val="00280E8A"/>
    <w:rsid w:val="00285164"/>
    <w:rsid w:val="002929E1"/>
    <w:rsid w:val="00293B3C"/>
    <w:rsid w:val="002A4956"/>
    <w:rsid w:val="002A6710"/>
    <w:rsid w:val="002B5BD5"/>
    <w:rsid w:val="002B5D80"/>
    <w:rsid w:val="002B7904"/>
    <w:rsid w:val="002C06B5"/>
    <w:rsid w:val="002C2507"/>
    <w:rsid w:val="002C2E6E"/>
    <w:rsid w:val="002C45CE"/>
    <w:rsid w:val="002D7725"/>
    <w:rsid w:val="002E26EC"/>
    <w:rsid w:val="002E26F0"/>
    <w:rsid w:val="002E6F8D"/>
    <w:rsid w:val="002E743B"/>
    <w:rsid w:val="002F3DE3"/>
    <w:rsid w:val="002F632E"/>
    <w:rsid w:val="003026AA"/>
    <w:rsid w:val="003079EE"/>
    <w:rsid w:val="00310AF9"/>
    <w:rsid w:val="00311291"/>
    <w:rsid w:val="00312C54"/>
    <w:rsid w:val="0031320D"/>
    <w:rsid w:val="0031374D"/>
    <w:rsid w:val="0031465E"/>
    <w:rsid w:val="00315742"/>
    <w:rsid w:val="003163B3"/>
    <w:rsid w:val="00320C6F"/>
    <w:rsid w:val="00322A7A"/>
    <w:rsid w:val="00341DEB"/>
    <w:rsid w:val="003434CB"/>
    <w:rsid w:val="00344C5E"/>
    <w:rsid w:val="003464ED"/>
    <w:rsid w:val="00346A3D"/>
    <w:rsid w:val="00350C20"/>
    <w:rsid w:val="003548FA"/>
    <w:rsid w:val="00355A74"/>
    <w:rsid w:val="00361427"/>
    <w:rsid w:val="0036458B"/>
    <w:rsid w:val="00371D2F"/>
    <w:rsid w:val="00373401"/>
    <w:rsid w:val="00375455"/>
    <w:rsid w:val="0038033A"/>
    <w:rsid w:val="00384161"/>
    <w:rsid w:val="00387610"/>
    <w:rsid w:val="003928CF"/>
    <w:rsid w:val="00395C2F"/>
    <w:rsid w:val="003973D3"/>
    <w:rsid w:val="003A0892"/>
    <w:rsid w:val="003A09F2"/>
    <w:rsid w:val="003A260A"/>
    <w:rsid w:val="003A449E"/>
    <w:rsid w:val="003A71F3"/>
    <w:rsid w:val="003B19F5"/>
    <w:rsid w:val="003B1FFB"/>
    <w:rsid w:val="003B42C2"/>
    <w:rsid w:val="003C2E2A"/>
    <w:rsid w:val="003C4B53"/>
    <w:rsid w:val="003D0BB2"/>
    <w:rsid w:val="003D0E0A"/>
    <w:rsid w:val="003D3B22"/>
    <w:rsid w:val="003D42A0"/>
    <w:rsid w:val="00402636"/>
    <w:rsid w:val="00402B32"/>
    <w:rsid w:val="004101AB"/>
    <w:rsid w:val="00410C93"/>
    <w:rsid w:val="00411B4A"/>
    <w:rsid w:val="0041212A"/>
    <w:rsid w:val="004165D0"/>
    <w:rsid w:val="00417E99"/>
    <w:rsid w:val="00420063"/>
    <w:rsid w:val="0042689D"/>
    <w:rsid w:val="00427935"/>
    <w:rsid w:val="004332ED"/>
    <w:rsid w:val="004344EE"/>
    <w:rsid w:val="0044554C"/>
    <w:rsid w:val="00446394"/>
    <w:rsid w:val="0044695E"/>
    <w:rsid w:val="00447455"/>
    <w:rsid w:val="00460DBE"/>
    <w:rsid w:val="00462878"/>
    <w:rsid w:val="004646EB"/>
    <w:rsid w:val="00465B7A"/>
    <w:rsid w:val="00472117"/>
    <w:rsid w:val="00472285"/>
    <w:rsid w:val="00472AA2"/>
    <w:rsid w:val="00492BEA"/>
    <w:rsid w:val="00493769"/>
    <w:rsid w:val="004953EC"/>
    <w:rsid w:val="00495813"/>
    <w:rsid w:val="004A0D29"/>
    <w:rsid w:val="004A0DE1"/>
    <w:rsid w:val="004A2410"/>
    <w:rsid w:val="004A27AC"/>
    <w:rsid w:val="004A31AE"/>
    <w:rsid w:val="004B176E"/>
    <w:rsid w:val="004B478A"/>
    <w:rsid w:val="004C068F"/>
    <w:rsid w:val="004C1DD0"/>
    <w:rsid w:val="004C64E4"/>
    <w:rsid w:val="004D7983"/>
    <w:rsid w:val="004D7BD6"/>
    <w:rsid w:val="004E156F"/>
    <w:rsid w:val="004E55DB"/>
    <w:rsid w:val="004F161C"/>
    <w:rsid w:val="004F42EF"/>
    <w:rsid w:val="004F4F7F"/>
    <w:rsid w:val="00501A6B"/>
    <w:rsid w:val="00502758"/>
    <w:rsid w:val="00502B2F"/>
    <w:rsid w:val="00504179"/>
    <w:rsid w:val="00504FD7"/>
    <w:rsid w:val="005102C8"/>
    <w:rsid w:val="0051068E"/>
    <w:rsid w:val="00512D00"/>
    <w:rsid w:val="00514179"/>
    <w:rsid w:val="005272C4"/>
    <w:rsid w:val="00530820"/>
    <w:rsid w:val="00536E92"/>
    <w:rsid w:val="00537A5F"/>
    <w:rsid w:val="00542E11"/>
    <w:rsid w:val="00544BEA"/>
    <w:rsid w:val="005460D5"/>
    <w:rsid w:val="00547F59"/>
    <w:rsid w:val="00550196"/>
    <w:rsid w:val="00551CEF"/>
    <w:rsid w:val="0055398E"/>
    <w:rsid w:val="00563238"/>
    <w:rsid w:val="00566A85"/>
    <w:rsid w:val="00570A9B"/>
    <w:rsid w:val="00570EB3"/>
    <w:rsid w:val="00573AE3"/>
    <w:rsid w:val="00576B57"/>
    <w:rsid w:val="00586747"/>
    <w:rsid w:val="005902D9"/>
    <w:rsid w:val="00596AB7"/>
    <w:rsid w:val="005A1EA7"/>
    <w:rsid w:val="005A478C"/>
    <w:rsid w:val="005A5FAF"/>
    <w:rsid w:val="005B0724"/>
    <w:rsid w:val="005B1E46"/>
    <w:rsid w:val="005C1B86"/>
    <w:rsid w:val="005C23F7"/>
    <w:rsid w:val="005C42AC"/>
    <w:rsid w:val="005C4F84"/>
    <w:rsid w:val="005D2C99"/>
    <w:rsid w:val="005D37D0"/>
    <w:rsid w:val="005D703E"/>
    <w:rsid w:val="005D7906"/>
    <w:rsid w:val="005E001E"/>
    <w:rsid w:val="005E5525"/>
    <w:rsid w:val="005F212F"/>
    <w:rsid w:val="005F5F80"/>
    <w:rsid w:val="005F77E0"/>
    <w:rsid w:val="00605716"/>
    <w:rsid w:val="00605D32"/>
    <w:rsid w:val="00613410"/>
    <w:rsid w:val="00615AF9"/>
    <w:rsid w:val="00617986"/>
    <w:rsid w:val="006277CE"/>
    <w:rsid w:val="00630802"/>
    <w:rsid w:val="00637A7A"/>
    <w:rsid w:val="0064583B"/>
    <w:rsid w:val="00651ECE"/>
    <w:rsid w:val="00654A48"/>
    <w:rsid w:val="0065651B"/>
    <w:rsid w:val="00660A81"/>
    <w:rsid w:val="0066353E"/>
    <w:rsid w:val="00664607"/>
    <w:rsid w:val="00664761"/>
    <w:rsid w:val="00670089"/>
    <w:rsid w:val="00680AE4"/>
    <w:rsid w:val="00681D17"/>
    <w:rsid w:val="00684E51"/>
    <w:rsid w:val="00685E53"/>
    <w:rsid w:val="006A100B"/>
    <w:rsid w:val="006A143A"/>
    <w:rsid w:val="006A1E48"/>
    <w:rsid w:val="006A3285"/>
    <w:rsid w:val="006A7652"/>
    <w:rsid w:val="006B1E61"/>
    <w:rsid w:val="006B72DE"/>
    <w:rsid w:val="006C5FC1"/>
    <w:rsid w:val="006D44E1"/>
    <w:rsid w:val="006D7DA1"/>
    <w:rsid w:val="006E21FA"/>
    <w:rsid w:val="006E3BEB"/>
    <w:rsid w:val="006E58DB"/>
    <w:rsid w:val="006F0FB7"/>
    <w:rsid w:val="006F126E"/>
    <w:rsid w:val="006F27DC"/>
    <w:rsid w:val="006F7DCF"/>
    <w:rsid w:val="00704E5D"/>
    <w:rsid w:val="00705739"/>
    <w:rsid w:val="007061F8"/>
    <w:rsid w:val="0071099A"/>
    <w:rsid w:val="00711CE4"/>
    <w:rsid w:val="007122CD"/>
    <w:rsid w:val="00715FB5"/>
    <w:rsid w:val="00716059"/>
    <w:rsid w:val="007169CF"/>
    <w:rsid w:val="007171A6"/>
    <w:rsid w:val="0071799D"/>
    <w:rsid w:val="00717EDF"/>
    <w:rsid w:val="00726088"/>
    <w:rsid w:val="00730B6A"/>
    <w:rsid w:val="00736D88"/>
    <w:rsid w:val="00736DD2"/>
    <w:rsid w:val="0073722D"/>
    <w:rsid w:val="00737A25"/>
    <w:rsid w:val="00740462"/>
    <w:rsid w:val="0074681C"/>
    <w:rsid w:val="00746936"/>
    <w:rsid w:val="00746CF9"/>
    <w:rsid w:val="00746EC2"/>
    <w:rsid w:val="00747D16"/>
    <w:rsid w:val="007515A5"/>
    <w:rsid w:val="0075297C"/>
    <w:rsid w:val="00752BF5"/>
    <w:rsid w:val="00761248"/>
    <w:rsid w:val="007647B1"/>
    <w:rsid w:val="00765343"/>
    <w:rsid w:val="007654E2"/>
    <w:rsid w:val="0076555E"/>
    <w:rsid w:val="00766551"/>
    <w:rsid w:val="00771E46"/>
    <w:rsid w:val="00771FF7"/>
    <w:rsid w:val="00772E76"/>
    <w:rsid w:val="0078431B"/>
    <w:rsid w:val="0078616F"/>
    <w:rsid w:val="00792E92"/>
    <w:rsid w:val="007959AC"/>
    <w:rsid w:val="007A20E0"/>
    <w:rsid w:val="007A6062"/>
    <w:rsid w:val="007B2204"/>
    <w:rsid w:val="007B4B60"/>
    <w:rsid w:val="007B58F6"/>
    <w:rsid w:val="007C1B6A"/>
    <w:rsid w:val="007C1BCA"/>
    <w:rsid w:val="007C1F60"/>
    <w:rsid w:val="007C4793"/>
    <w:rsid w:val="007D60D6"/>
    <w:rsid w:val="007D66DE"/>
    <w:rsid w:val="007D7E65"/>
    <w:rsid w:val="007E19E0"/>
    <w:rsid w:val="007E6A52"/>
    <w:rsid w:val="007F6EB7"/>
    <w:rsid w:val="00801CBC"/>
    <w:rsid w:val="008041D4"/>
    <w:rsid w:val="00805933"/>
    <w:rsid w:val="0081156A"/>
    <w:rsid w:val="00811D97"/>
    <w:rsid w:val="00811E9E"/>
    <w:rsid w:val="00812357"/>
    <w:rsid w:val="00815F15"/>
    <w:rsid w:val="00820383"/>
    <w:rsid w:val="00820E71"/>
    <w:rsid w:val="00824E6B"/>
    <w:rsid w:val="00827398"/>
    <w:rsid w:val="00827C12"/>
    <w:rsid w:val="00835CD7"/>
    <w:rsid w:val="008377CF"/>
    <w:rsid w:val="00842974"/>
    <w:rsid w:val="00844DA0"/>
    <w:rsid w:val="00851EF4"/>
    <w:rsid w:val="00854248"/>
    <w:rsid w:val="008551E9"/>
    <w:rsid w:val="0085550A"/>
    <w:rsid w:val="008610AB"/>
    <w:rsid w:val="0086146D"/>
    <w:rsid w:val="008616EF"/>
    <w:rsid w:val="00863C25"/>
    <w:rsid w:val="008641B7"/>
    <w:rsid w:val="00864DC1"/>
    <w:rsid w:val="00867CDC"/>
    <w:rsid w:val="008705BC"/>
    <w:rsid w:val="00875A42"/>
    <w:rsid w:val="008857CC"/>
    <w:rsid w:val="008904A8"/>
    <w:rsid w:val="00891AA1"/>
    <w:rsid w:val="00892468"/>
    <w:rsid w:val="008A3182"/>
    <w:rsid w:val="008A5B2C"/>
    <w:rsid w:val="008B0B9C"/>
    <w:rsid w:val="008B3360"/>
    <w:rsid w:val="008C2D34"/>
    <w:rsid w:val="008C510F"/>
    <w:rsid w:val="008C6841"/>
    <w:rsid w:val="008E0772"/>
    <w:rsid w:val="008E15ED"/>
    <w:rsid w:val="008E1ACA"/>
    <w:rsid w:val="008E35D0"/>
    <w:rsid w:val="008E3E8A"/>
    <w:rsid w:val="008E66B8"/>
    <w:rsid w:val="008E76F5"/>
    <w:rsid w:val="008F1988"/>
    <w:rsid w:val="008F6252"/>
    <w:rsid w:val="0090056E"/>
    <w:rsid w:val="009023F3"/>
    <w:rsid w:val="00903540"/>
    <w:rsid w:val="0090383C"/>
    <w:rsid w:val="00912132"/>
    <w:rsid w:val="0091433C"/>
    <w:rsid w:val="00915390"/>
    <w:rsid w:val="009211CD"/>
    <w:rsid w:val="00922FAD"/>
    <w:rsid w:val="00924F0A"/>
    <w:rsid w:val="0092708B"/>
    <w:rsid w:val="0093049D"/>
    <w:rsid w:val="00930547"/>
    <w:rsid w:val="00932A69"/>
    <w:rsid w:val="00936BBF"/>
    <w:rsid w:val="00937713"/>
    <w:rsid w:val="00937803"/>
    <w:rsid w:val="00944CC5"/>
    <w:rsid w:val="0094759E"/>
    <w:rsid w:val="009554DC"/>
    <w:rsid w:val="00955CC4"/>
    <w:rsid w:val="0096224A"/>
    <w:rsid w:val="00966820"/>
    <w:rsid w:val="00966A99"/>
    <w:rsid w:val="009671A3"/>
    <w:rsid w:val="009702E8"/>
    <w:rsid w:val="00971E57"/>
    <w:rsid w:val="009723CF"/>
    <w:rsid w:val="00974075"/>
    <w:rsid w:val="00980037"/>
    <w:rsid w:val="0098197A"/>
    <w:rsid w:val="00982CEC"/>
    <w:rsid w:val="00983B43"/>
    <w:rsid w:val="00991B37"/>
    <w:rsid w:val="00991C2E"/>
    <w:rsid w:val="00991EE4"/>
    <w:rsid w:val="00995B27"/>
    <w:rsid w:val="009964BC"/>
    <w:rsid w:val="009B6096"/>
    <w:rsid w:val="009C3034"/>
    <w:rsid w:val="009C59BF"/>
    <w:rsid w:val="009C76AA"/>
    <w:rsid w:val="009D3162"/>
    <w:rsid w:val="009D3181"/>
    <w:rsid w:val="009E348B"/>
    <w:rsid w:val="009E3B5B"/>
    <w:rsid w:val="009E737D"/>
    <w:rsid w:val="009F3261"/>
    <w:rsid w:val="00A03977"/>
    <w:rsid w:val="00A140B2"/>
    <w:rsid w:val="00A17B30"/>
    <w:rsid w:val="00A17D3F"/>
    <w:rsid w:val="00A26FF7"/>
    <w:rsid w:val="00A34FF8"/>
    <w:rsid w:val="00A3557D"/>
    <w:rsid w:val="00A35D47"/>
    <w:rsid w:val="00A371A8"/>
    <w:rsid w:val="00A40149"/>
    <w:rsid w:val="00A445DC"/>
    <w:rsid w:val="00A44BEA"/>
    <w:rsid w:val="00A47655"/>
    <w:rsid w:val="00A52D1B"/>
    <w:rsid w:val="00A556BA"/>
    <w:rsid w:val="00A569E8"/>
    <w:rsid w:val="00A66286"/>
    <w:rsid w:val="00A711C6"/>
    <w:rsid w:val="00A75A98"/>
    <w:rsid w:val="00A81327"/>
    <w:rsid w:val="00A84863"/>
    <w:rsid w:val="00A90941"/>
    <w:rsid w:val="00A95D95"/>
    <w:rsid w:val="00A977EC"/>
    <w:rsid w:val="00AA3FD1"/>
    <w:rsid w:val="00AB11B3"/>
    <w:rsid w:val="00AB2287"/>
    <w:rsid w:val="00AB5ED3"/>
    <w:rsid w:val="00AB6B0C"/>
    <w:rsid w:val="00AB70CD"/>
    <w:rsid w:val="00AC03A8"/>
    <w:rsid w:val="00AC1DFE"/>
    <w:rsid w:val="00AC4898"/>
    <w:rsid w:val="00AC48B3"/>
    <w:rsid w:val="00AC5E69"/>
    <w:rsid w:val="00AC7AC9"/>
    <w:rsid w:val="00AD433E"/>
    <w:rsid w:val="00AE1920"/>
    <w:rsid w:val="00AF01B3"/>
    <w:rsid w:val="00AF0F13"/>
    <w:rsid w:val="00AF7992"/>
    <w:rsid w:val="00B00AB3"/>
    <w:rsid w:val="00B10333"/>
    <w:rsid w:val="00B14C52"/>
    <w:rsid w:val="00B17214"/>
    <w:rsid w:val="00B200AA"/>
    <w:rsid w:val="00B20679"/>
    <w:rsid w:val="00B2759D"/>
    <w:rsid w:val="00B27FD1"/>
    <w:rsid w:val="00B3027B"/>
    <w:rsid w:val="00B30645"/>
    <w:rsid w:val="00B31390"/>
    <w:rsid w:val="00B36F24"/>
    <w:rsid w:val="00B40DAC"/>
    <w:rsid w:val="00B4390F"/>
    <w:rsid w:val="00B478C3"/>
    <w:rsid w:val="00B52715"/>
    <w:rsid w:val="00B61348"/>
    <w:rsid w:val="00B6263F"/>
    <w:rsid w:val="00B62F28"/>
    <w:rsid w:val="00B67114"/>
    <w:rsid w:val="00B70750"/>
    <w:rsid w:val="00B7532E"/>
    <w:rsid w:val="00B75449"/>
    <w:rsid w:val="00B85E97"/>
    <w:rsid w:val="00B90DD1"/>
    <w:rsid w:val="00BA1A28"/>
    <w:rsid w:val="00BA527C"/>
    <w:rsid w:val="00BB6799"/>
    <w:rsid w:val="00BB7494"/>
    <w:rsid w:val="00BC1D85"/>
    <w:rsid w:val="00BC2390"/>
    <w:rsid w:val="00BC7017"/>
    <w:rsid w:val="00BD353A"/>
    <w:rsid w:val="00BD7B84"/>
    <w:rsid w:val="00BE07A9"/>
    <w:rsid w:val="00BF46A7"/>
    <w:rsid w:val="00BF5230"/>
    <w:rsid w:val="00C03907"/>
    <w:rsid w:val="00C04660"/>
    <w:rsid w:val="00C05DA4"/>
    <w:rsid w:val="00C06F05"/>
    <w:rsid w:val="00C07C0D"/>
    <w:rsid w:val="00C1090C"/>
    <w:rsid w:val="00C12AA2"/>
    <w:rsid w:val="00C217CA"/>
    <w:rsid w:val="00C240C8"/>
    <w:rsid w:val="00C26513"/>
    <w:rsid w:val="00C272CC"/>
    <w:rsid w:val="00C31132"/>
    <w:rsid w:val="00C32204"/>
    <w:rsid w:val="00C32267"/>
    <w:rsid w:val="00C328C9"/>
    <w:rsid w:val="00C37F72"/>
    <w:rsid w:val="00C414DB"/>
    <w:rsid w:val="00C420C1"/>
    <w:rsid w:val="00C45963"/>
    <w:rsid w:val="00C472B8"/>
    <w:rsid w:val="00C5154C"/>
    <w:rsid w:val="00C51F38"/>
    <w:rsid w:val="00C53124"/>
    <w:rsid w:val="00C53B2E"/>
    <w:rsid w:val="00C54839"/>
    <w:rsid w:val="00C6160A"/>
    <w:rsid w:val="00C64041"/>
    <w:rsid w:val="00C65711"/>
    <w:rsid w:val="00C745EF"/>
    <w:rsid w:val="00C74E11"/>
    <w:rsid w:val="00C76ECD"/>
    <w:rsid w:val="00C77AD7"/>
    <w:rsid w:val="00C81857"/>
    <w:rsid w:val="00C81946"/>
    <w:rsid w:val="00C82CAF"/>
    <w:rsid w:val="00C84E04"/>
    <w:rsid w:val="00C910BE"/>
    <w:rsid w:val="00C922BE"/>
    <w:rsid w:val="00C96E06"/>
    <w:rsid w:val="00CA5844"/>
    <w:rsid w:val="00CA7415"/>
    <w:rsid w:val="00CB154E"/>
    <w:rsid w:val="00CB265C"/>
    <w:rsid w:val="00CB4540"/>
    <w:rsid w:val="00CB7A07"/>
    <w:rsid w:val="00CC15E8"/>
    <w:rsid w:val="00CC59BB"/>
    <w:rsid w:val="00CC7002"/>
    <w:rsid w:val="00CD3C99"/>
    <w:rsid w:val="00CD635D"/>
    <w:rsid w:val="00CD7CED"/>
    <w:rsid w:val="00CE04C7"/>
    <w:rsid w:val="00CF156B"/>
    <w:rsid w:val="00CF15EF"/>
    <w:rsid w:val="00CF1965"/>
    <w:rsid w:val="00CF1E02"/>
    <w:rsid w:val="00CF597A"/>
    <w:rsid w:val="00CF6D82"/>
    <w:rsid w:val="00CF735D"/>
    <w:rsid w:val="00D010CD"/>
    <w:rsid w:val="00D05BAA"/>
    <w:rsid w:val="00D12B6F"/>
    <w:rsid w:val="00D13B7A"/>
    <w:rsid w:val="00D164CC"/>
    <w:rsid w:val="00D22BAD"/>
    <w:rsid w:val="00D22C4B"/>
    <w:rsid w:val="00D230C7"/>
    <w:rsid w:val="00D23E7D"/>
    <w:rsid w:val="00D2405F"/>
    <w:rsid w:val="00D309EC"/>
    <w:rsid w:val="00D30C7F"/>
    <w:rsid w:val="00D41BA9"/>
    <w:rsid w:val="00D52376"/>
    <w:rsid w:val="00D6070B"/>
    <w:rsid w:val="00D612C2"/>
    <w:rsid w:val="00D65430"/>
    <w:rsid w:val="00D745E0"/>
    <w:rsid w:val="00D76AA3"/>
    <w:rsid w:val="00D80604"/>
    <w:rsid w:val="00D80C8E"/>
    <w:rsid w:val="00D8472F"/>
    <w:rsid w:val="00D91928"/>
    <w:rsid w:val="00D91EDE"/>
    <w:rsid w:val="00DA086B"/>
    <w:rsid w:val="00DA1D7A"/>
    <w:rsid w:val="00DA3462"/>
    <w:rsid w:val="00DA6834"/>
    <w:rsid w:val="00DA77D8"/>
    <w:rsid w:val="00DA7C32"/>
    <w:rsid w:val="00DA7E05"/>
    <w:rsid w:val="00DB4794"/>
    <w:rsid w:val="00DB4B89"/>
    <w:rsid w:val="00DB5C3E"/>
    <w:rsid w:val="00DB628E"/>
    <w:rsid w:val="00DC40FE"/>
    <w:rsid w:val="00DC7755"/>
    <w:rsid w:val="00DD014D"/>
    <w:rsid w:val="00DD122D"/>
    <w:rsid w:val="00DD310D"/>
    <w:rsid w:val="00DE1E39"/>
    <w:rsid w:val="00DE450D"/>
    <w:rsid w:val="00DE647B"/>
    <w:rsid w:val="00DF47D6"/>
    <w:rsid w:val="00DF5425"/>
    <w:rsid w:val="00DF782C"/>
    <w:rsid w:val="00E00C5A"/>
    <w:rsid w:val="00E02619"/>
    <w:rsid w:val="00E030A0"/>
    <w:rsid w:val="00E0425A"/>
    <w:rsid w:val="00E06585"/>
    <w:rsid w:val="00E075A1"/>
    <w:rsid w:val="00E124E3"/>
    <w:rsid w:val="00E14812"/>
    <w:rsid w:val="00E15DDE"/>
    <w:rsid w:val="00E20AFA"/>
    <w:rsid w:val="00E2199B"/>
    <w:rsid w:val="00E2339E"/>
    <w:rsid w:val="00E24B56"/>
    <w:rsid w:val="00E3245B"/>
    <w:rsid w:val="00E32DCD"/>
    <w:rsid w:val="00E3707B"/>
    <w:rsid w:val="00E430FE"/>
    <w:rsid w:val="00E44052"/>
    <w:rsid w:val="00E45282"/>
    <w:rsid w:val="00E45E70"/>
    <w:rsid w:val="00E46D01"/>
    <w:rsid w:val="00E50685"/>
    <w:rsid w:val="00E53CA4"/>
    <w:rsid w:val="00E57F6B"/>
    <w:rsid w:val="00E61A86"/>
    <w:rsid w:val="00E6554D"/>
    <w:rsid w:val="00E7342C"/>
    <w:rsid w:val="00E76363"/>
    <w:rsid w:val="00E8269A"/>
    <w:rsid w:val="00E83F74"/>
    <w:rsid w:val="00E91D81"/>
    <w:rsid w:val="00E92BC2"/>
    <w:rsid w:val="00E94426"/>
    <w:rsid w:val="00E944D8"/>
    <w:rsid w:val="00EA010E"/>
    <w:rsid w:val="00EB1E33"/>
    <w:rsid w:val="00EC0881"/>
    <w:rsid w:val="00EC2B4D"/>
    <w:rsid w:val="00EC42C5"/>
    <w:rsid w:val="00EC4D1E"/>
    <w:rsid w:val="00EC78B3"/>
    <w:rsid w:val="00EC7955"/>
    <w:rsid w:val="00EE062D"/>
    <w:rsid w:val="00EF0615"/>
    <w:rsid w:val="00EF1B2D"/>
    <w:rsid w:val="00F16313"/>
    <w:rsid w:val="00F20B73"/>
    <w:rsid w:val="00F20FF1"/>
    <w:rsid w:val="00F21B91"/>
    <w:rsid w:val="00F24157"/>
    <w:rsid w:val="00F35457"/>
    <w:rsid w:val="00F3595B"/>
    <w:rsid w:val="00F36D58"/>
    <w:rsid w:val="00F40533"/>
    <w:rsid w:val="00F426A6"/>
    <w:rsid w:val="00F429FD"/>
    <w:rsid w:val="00F4537F"/>
    <w:rsid w:val="00F4623C"/>
    <w:rsid w:val="00F46E44"/>
    <w:rsid w:val="00F53857"/>
    <w:rsid w:val="00F56399"/>
    <w:rsid w:val="00F6095B"/>
    <w:rsid w:val="00F61C86"/>
    <w:rsid w:val="00F62781"/>
    <w:rsid w:val="00F63223"/>
    <w:rsid w:val="00F70C68"/>
    <w:rsid w:val="00F726DD"/>
    <w:rsid w:val="00F7750A"/>
    <w:rsid w:val="00F80006"/>
    <w:rsid w:val="00F80084"/>
    <w:rsid w:val="00F92554"/>
    <w:rsid w:val="00F95676"/>
    <w:rsid w:val="00FA5C8C"/>
    <w:rsid w:val="00FB1B2D"/>
    <w:rsid w:val="00FB2FE0"/>
    <w:rsid w:val="00FB768E"/>
    <w:rsid w:val="00FD159B"/>
    <w:rsid w:val="00FD2470"/>
    <w:rsid w:val="00FD5823"/>
    <w:rsid w:val="00FE1C27"/>
    <w:rsid w:val="00FE1FC6"/>
    <w:rsid w:val="00FE2214"/>
    <w:rsid w:val="00FE5C31"/>
    <w:rsid w:val="00FF01B8"/>
    <w:rsid w:val="00FF090F"/>
    <w:rsid w:val="00FF1B0E"/>
    <w:rsid w:val="00FF20D2"/>
    <w:rsid w:val="00FF51AD"/>
    <w:rsid w:val="00FF748B"/>
    <w:rsid w:val="00FF75F5"/>
    <w:rsid w:val="01455E20"/>
    <w:rsid w:val="014C4DA3"/>
    <w:rsid w:val="014E7DF8"/>
    <w:rsid w:val="019B1D8E"/>
    <w:rsid w:val="01A3054D"/>
    <w:rsid w:val="01B04A57"/>
    <w:rsid w:val="01BF2E53"/>
    <w:rsid w:val="01C322B5"/>
    <w:rsid w:val="01E701BD"/>
    <w:rsid w:val="01FD42EF"/>
    <w:rsid w:val="02225B04"/>
    <w:rsid w:val="02287B47"/>
    <w:rsid w:val="02581D9E"/>
    <w:rsid w:val="02876218"/>
    <w:rsid w:val="02B34A0E"/>
    <w:rsid w:val="02B90617"/>
    <w:rsid w:val="02F1210D"/>
    <w:rsid w:val="0305720D"/>
    <w:rsid w:val="030F7D7F"/>
    <w:rsid w:val="03167942"/>
    <w:rsid w:val="031A3CA3"/>
    <w:rsid w:val="034507C1"/>
    <w:rsid w:val="034F5342"/>
    <w:rsid w:val="03871AC5"/>
    <w:rsid w:val="038A743F"/>
    <w:rsid w:val="039A72E3"/>
    <w:rsid w:val="039C1972"/>
    <w:rsid w:val="03A21BA4"/>
    <w:rsid w:val="03A42709"/>
    <w:rsid w:val="03B5765B"/>
    <w:rsid w:val="03B81994"/>
    <w:rsid w:val="03C615F6"/>
    <w:rsid w:val="03CA0EF7"/>
    <w:rsid w:val="03D0064C"/>
    <w:rsid w:val="03D8403F"/>
    <w:rsid w:val="03DD41E0"/>
    <w:rsid w:val="03E04545"/>
    <w:rsid w:val="03EC0A7C"/>
    <w:rsid w:val="03F23DB9"/>
    <w:rsid w:val="04137E9D"/>
    <w:rsid w:val="04174E69"/>
    <w:rsid w:val="042579AF"/>
    <w:rsid w:val="043F5336"/>
    <w:rsid w:val="044960E2"/>
    <w:rsid w:val="044A41E0"/>
    <w:rsid w:val="044F56CA"/>
    <w:rsid w:val="047C0CFB"/>
    <w:rsid w:val="04875678"/>
    <w:rsid w:val="0489289F"/>
    <w:rsid w:val="049D7D30"/>
    <w:rsid w:val="04E25073"/>
    <w:rsid w:val="04EA0E44"/>
    <w:rsid w:val="04F762AA"/>
    <w:rsid w:val="050B604F"/>
    <w:rsid w:val="050F2F93"/>
    <w:rsid w:val="0516417A"/>
    <w:rsid w:val="051831FE"/>
    <w:rsid w:val="0532395C"/>
    <w:rsid w:val="05512DC5"/>
    <w:rsid w:val="05557879"/>
    <w:rsid w:val="056E0815"/>
    <w:rsid w:val="05985A19"/>
    <w:rsid w:val="059F31BE"/>
    <w:rsid w:val="05B53165"/>
    <w:rsid w:val="05C61D4F"/>
    <w:rsid w:val="05F116DB"/>
    <w:rsid w:val="06271033"/>
    <w:rsid w:val="06A65E21"/>
    <w:rsid w:val="06B01218"/>
    <w:rsid w:val="06BD234C"/>
    <w:rsid w:val="06EE4DCE"/>
    <w:rsid w:val="06F71488"/>
    <w:rsid w:val="07153728"/>
    <w:rsid w:val="07241961"/>
    <w:rsid w:val="07562B52"/>
    <w:rsid w:val="07623F28"/>
    <w:rsid w:val="076B1B05"/>
    <w:rsid w:val="07866B35"/>
    <w:rsid w:val="07A6721E"/>
    <w:rsid w:val="07B166D3"/>
    <w:rsid w:val="07EC5B6A"/>
    <w:rsid w:val="07F50040"/>
    <w:rsid w:val="083A7E73"/>
    <w:rsid w:val="08406A72"/>
    <w:rsid w:val="084728DB"/>
    <w:rsid w:val="08732797"/>
    <w:rsid w:val="088A671F"/>
    <w:rsid w:val="08A837EF"/>
    <w:rsid w:val="08C94732"/>
    <w:rsid w:val="08D67B5E"/>
    <w:rsid w:val="08E04FFA"/>
    <w:rsid w:val="09057BD3"/>
    <w:rsid w:val="09310326"/>
    <w:rsid w:val="09440A55"/>
    <w:rsid w:val="094610EE"/>
    <w:rsid w:val="094F5CA6"/>
    <w:rsid w:val="09757A77"/>
    <w:rsid w:val="097C7DBF"/>
    <w:rsid w:val="098777E1"/>
    <w:rsid w:val="099F0025"/>
    <w:rsid w:val="09B337F1"/>
    <w:rsid w:val="09BC63DC"/>
    <w:rsid w:val="0A03399A"/>
    <w:rsid w:val="0A0A148C"/>
    <w:rsid w:val="0A19654F"/>
    <w:rsid w:val="0A374837"/>
    <w:rsid w:val="0A5707DA"/>
    <w:rsid w:val="0A5A0032"/>
    <w:rsid w:val="0A663C52"/>
    <w:rsid w:val="0A791E7B"/>
    <w:rsid w:val="0AB726E1"/>
    <w:rsid w:val="0B061A6D"/>
    <w:rsid w:val="0B213DEB"/>
    <w:rsid w:val="0B3311B7"/>
    <w:rsid w:val="0B373CEC"/>
    <w:rsid w:val="0B417F5D"/>
    <w:rsid w:val="0B495343"/>
    <w:rsid w:val="0B551684"/>
    <w:rsid w:val="0B666AB6"/>
    <w:rsid w:val="0B691BA4"/>
    <w:rsid w:val="0B6A69A5"/>
    <w:rsid w:val="0B705B32"/>
    <w:rsid w:val="0BB12C60"/>
    <w:rsid w:val="0BC57FCB"/>
    <w:rsid w:val="0BD7795F"/>
    <w:rsid w:val="0BE701E1"/>
    <w:rsid w:val="0C16425B"/>
    <w:rsid w:val="0C6A432F"/>
    <w:rsid w:val="0C6C2EBA"/>
    <w:rsid w:val="0C906B10"/>
    <w:rsid w:val="0CC82832"/>
    <w:rsid w:val="0CD55ADD"/>
    <w:rsid w:val="0D161224"/>
    <w:rsid w:val="0D283103"/>
    <w:rsid w:val="0D372842"/>
    <w:rsid w:val="0D5D2CCB"/>
    <w:rsid w:val="0D946CC6"/>
    <w:rsid w:val="0D974529"/>
    <w:rsid w:val="0DA008CB"/>
    <w:rsid w:val="0DA10CEA"/>
    <w:rsid w:val="0DB70202"/>
    <w:rsid w:val="0DC56131"/>
    <w:rsid w:val="0DC92267"/>
    <w:rsid w:val="0DE2187D"/>
    <w:rsid w:val="0DE71D57"/>
    <w:rsid w:val="0E1D1547"/>
    <w:rsid w:val="0E3779F6"/>
    <w:rsid w:val="0E475264"/>
    <w:rsid w:val="0E573B33"/>
    <w:rsid w:val="0E577081"/>
    <w:rsid w:val="0E593CC0"/>
    <w:rsid w:val="0E7961B8"/>
    <w:rsid w:val="0E91758D"/>
    <w:rsid w:val="0E9E5AED"/>
    <w:rsid w:val="0EA37190"/>
    <w:rsid w:val="0EAF3145"/>
    <w:rsid w:val="0ED4767E"/>
    <w:rsid w:val="0ED6799B"/>
    <w:rsid w:val="0ED743AF"/>
    <w:rsid w:val="0EE61168"/>
    <w:rsid w:val="0EEB406A"/>
    <w:rsid w:val="0F38503B"/>
    <w:rsid w:val="0F450BD5"/>
    <w:rsid w:val="0F4F1617"/>
    <w:rsid w:val="0F5C22C8"/>
    <w:rsid w:val="0F7F7388"/>
    <w:rsid w:val="0F916077"/>
    <w:rsid w:val="0FDD12D7"/>
    <w:rsid w:val="0FF84F97"/>
    <w:rsid w:val="10085014"/>
    <w:rsid w:val="1025028D"/>
    <w:rsid w:val="104F087B"/>
    <w:rsid w:val="106A0646"/>
    <w:rsid w:val="107234F8"/>
    <w:rsid w:val="108B0F37"/>
    <w:rsid w:val="10AD7AFF"/>
    <w:rsid w:val="10B7353B"/>
    <w:rsid w:val="10B822C3"/>
    <w:rsid w:val="10B83333"/>
    <w:rsid w:val="10D44D14"/>
    <w:rsid w:val="10E31CE6"/>
    <w:rsid w:val="10E50C55"/>
    <w:rsid w:val="11492446"/>
    <w:rsid w:val="114C4C6F"/>
    <w:rsid w:val="116726A5"/>
    <w:rsid w:val="117326DD"/>
    <w:rsid w:val="117C0CD5"/>
    <w:rsid w:val="118247F2"/>
    <w:rsid w:val="11836716"/>
    <w:rsid w:val="11DB2CE1"/>
    <w:rsid w:val="120A1E83"/>
    <w:rsid w:val="12246E1E"/>
    <w:rsid w:val="125B69CE"/>
    <w:rsid w:val="126B47CF"/>
    <w:rsid w:val="12740CA6"/>
    <w:rsid w:val="1289484C"/>
    <w:rsid w:val="12AA2E04"/>
    <w:rsid w:val="12DB0FFA"/>
    <w:rsid w:val="12EA29CC"/>
    <w:rsid w:val="13217712"/>
    <w:rsid w:val="13324AEF"/>
    <w:rsid w:val="1387529A"/>
    <w:rsid w:val="13956339"/>
    <w:rsid w:val="13B14F39"/>
    <w:rsid w:val="13C845DB"/>
    <w:rsid w:val="13D57099"/>
    <w:rsid w:val="13F9419C"/>
    <w:rsid w:val="13FD56D7"/>
    <w:rsid w:val="14702F2B"/>
    <w:rsid w:val="14794131"/>
    <w:rsid w:val="147A5E14"/>
    <w:rsid w:val="14842FDA"/>
    <w:rsid w:val="14870DFA"/>
    <w:rsid w:val="149462C0"/>
    <w:rsid w:val="15064EC5"/>
    <w:rsid w:val="150E404C"/>
    <w:rsid w:val="151F5055"/>
    <w:rsid w:val="155C67F3"/>
    <w:rsid w:val="159D17DF"/>
    <w:rsid w:val="15F31439"/>
    <w:rsid w:val="16193175"/>
    <w:rsid w:val="161F2390"/>
    <w:rsid w:val="163B2C9D"/>
    <w:rsid w:val="16622B36"/>
    <w:rsid w:val="169F3504"/>
    <w:rsid w:val="16A01F5E"/>
    <w:rsid w:val="16A67FBD"/>
    <w:rsid w:val="16C541B1"/>
    <w:rsid w:val="16C62C14"/>
    <w:rsid w:val="16CB3FD0"/>
    <w:rsid w:val="16D2686D"/>
    <w:rsid w:val="17010C23"/>
    <w:rsid w:val="170D257A"/>
    <w:rsid w:val="1720351D"/>
    <w:rsid w:val="17486B2E"/>
    <w:rsid w:val="177041E6"/>
    <w:rsid w:val="17886391"/>
    <w:rsid w:val="17946CC0"/>
    <w:rsid w:val="17A758DD"/>
    <w:rsid w:val="17BF5BF1"/>
    <w:rsid w:val="17E16C5F"/>
    <w:rsid w:val="17FD24FB"/>
    <w:rsid w:val="1809683F"/>
    <w:rsid w:val="18253EF7"/>
    <w:rsid w:val="18257925"/>
    <w:rsid w:val="18267E2A"/>
    <w:rsid w:val="1839695A"/>
    <w:rsid w:val="186C1987"/>
    <w:rsid w:val="18755061"/>
    <w:rsid w:val="18D379C9"/>
    <w:rsid w:val="18ED7A84"/>
    <w:rsid w:val="190B27C1"/>
    <w:rsid w:val="192369B5"/>
    <w:rsid w:val="192D0D66"/>
    <w:rsid w:val="193D6ED5"/>
    <w:rsid w:val="194F17D4"/>
    <w:rsid w:val="19802EBF"/>
    <w:rsid w:val="198D0053"/>
    <w:rsid w:val="1998322A"/>
    <w:rsid w:val="19A8796C"/>
    <w:rsid w:val="19F13D8A"/>
    <w:rsid w:val="19F57AA3"/>
    <w:rsid w:val="1A0122F1"/>
    <w:rsid w:val="1A2024D1"/>
    <w:rsid w:val="1A352FE5"/>
    <w:rsid w:val="1A947CA7"/>
    <w:rsid w:val="1AA1066B"/>
    <w:rsid w:val="1AA7500A"/>
    <w:rsid w:val="1AB739A1"/>
    <w:rsid w:val="1B396C6F"/>
    <w:rsid w:val="1B486183"/>
    <w:rsid w:val="1B6548E5"/>
    <w:rsid w:val="1B742B04"/>
    <w:rsid w:val="1B885A2E"/>
    <w:rsid w:val="1BC66C13"/>
    <w:rsid w:val="1BD62C71"/>
    <w:rsid w:val="1BE07CE7"/>
    <w:rsid w:val="1C010C92"/>
    <w:rsid w:val="1C032CBE"/>
    <w:rsid w:val="1C174A97"/>
    <w:rsid w:val="1C3367A0"/>
    <w:rsid w:val="1C363CF1"/>
    <w:rsid w:val="1C4C181D"/>
    <w:rsid w:val="1C8B2B42"/>
    <w:rsid w:val="1C9F51F1"/>
    <w:rsid w:val="1CA31C73"/>
    <w:rsid w:val="1CC64A12"/>
    <w:rsid w:val="1CCD16BF"/>
    <w:rsid w:val="1CE36466"/>
    <w:rsid w:val="1D0B230E"/>
    <w:rsid w:val="1D1330CB"/>
    <w:rsid w:val="1D1A76AB"/>
    <w:rsid w:val="1D3A1AFC"/>
    <w:rsid w:val="1D5063F2"/>
    <w:rsid w:val="1D540CAD"/>
    <w:rsid w:val="1D577421"/>
    <w:rsid w:val="1D5D57EA"/>
    <w:rsid w:val="1D6751C7"/>
    <w:rsid w:val="1DA028D8"/>
    <w:rsid w:val="1DA27A9C"/>
    <w:rsid w:val="1DE12129"/>
    <w:rsid w:val="1DE54C96"/>
    <w:rsid w:val="1DF516A5"/>
    <w:rsid w:val="1E1C30DF"/>
    <w:rsid w:val="1E2102B5"/>
    <w:rsid w:val="1E210477"/>
    <w:rsid w:val="1E5A048F"/>
    <w:rsid w:val="1E7F5581"/>
    <w:rsid w:val="1EA60E6C"/>
    <w:rsid w:val="1EA672B9"/>
    <w:rsid w:val="1EE850F8"/>
    <w:rsid w:val="1EF205B6"/>
    <w:rsid w:val="1EFD5594"/>
    <w:rsid w:val="1F153868"/>
    <w:rsid w:val="1F160956"/>
    <w:rsid w:val="1F1E305A"/>
    <w:rsid w:val="1F2B2044"/>
    <w:rsid w:val="1F7D1BAF"/>
    <w:rsid w:val="1F9B67B9"/>
    <w:rsid w:val="1FAF67D1"/>
    <w:rsid w:val="1FB166CE"/>
    <w:rsid w:val="1FB40A91"/>
    <w:rsid w:val="1FC01594"/>
    <w:rsid w:val="1FF40688"/>
    <w:rsid w:val="1FF44AED"/>
    <w:rsid w:val="201025F6"/>
    <w:rsid w:val="201A0C1F"/>
    <w:rsid w:val="202767D5"/>
    <w:rsid w:val="20373DF4"/>
    <w:rsid w:val="204154C8"/>
    <w:rsid w:val="206678D1"/>
    <w:rsid w:val="20693B1B"/>
    <w:rsid w:val="207E2328"/>
    <w:rsid w:val="20890FCD"/>
    <w:rsid w:val="20A35B12"/>
    <w:rsid w:val="20E0368A"/>
    <w:rsid w:val="20FB77A3"/>
    <w:rsid w:val="211B776F"/>
    <w:rsid w:val="21495E2C"/>
    <w:rsid w:val="214D17CE"/>
    <w:rsid w:val="21595114"/>
    <w:rsid w:val="216A1240"/>
    <w:rsid w:val="21A05CE5"/>
    <w:rsid w:val="21B63DE8"/>
    <w:rsid w:val="21C24D24"/>
    <w:rsid w:val="21D75ECA"/>
    <w:rsid w:val="21DC77E4"/>
    <w:rsid w:val="21F9084D"/>
    <w:rsid w:val="22033DEA"/>
    <w:rsid w:val="221A7073"/>
    <w:rsid w:val="221E7F4E"/>
    <w:rsid w:val="223E4185"/>
    <w:rsid w:val="224F1BA5"/>
    <w:rsid w:val="22504FC5"/>
    <w:rsid w:val="22506A94"/>
    <w:rsid w:val="227E4AA4"/>
    <w:rsid w:val="228571EF"/>
    <w:rsid w:val="22B029F6"/>
    <w:rsid w:val="22D149C9"/>
    <w:rsid w:val="22D550CE"/>
    <w:rsid w:val="22DE4BDC"/>
    <w:rsid w:val="22ED0E42"/>
    <w:rsid w:val="23070089"/>
    <w:rsid w:val="231D6F5D"/>
    <w:rsid w:val="23441E25"/>
    <w:rsid w:val="23621D50"/>
    <w:rsid w:val="236C2036"/>
    <w:rsid w:val="237827E2"/>
    <w:rsid w:val="238941C1"/>
    <w:rsid w:val="23AB2692"/>
    <w:rsid w:val="23AF01A9"/>
    <w:rsid w:val="23BA21CB"/>
    <w:rsid w:val="23C50EE9"/>
    <w:rsid w:val="23D07270"/>
    <w:rsid w:val="23DF28B6"/>
    <w:rsid w:val="23EE24A7"/>
    <w:rsid w:val="240323D6"/>
    <w:rsid w:val="240E64CA"/>
    <w:rsid w:val="24265291"/>
    <w:rsid w:val="24521655"/>
    <w:rsid w:val="24663B7A"/>
    <w:rsid w:val="246B7B9C"/>
    <w:rsid w:val="249021A2"/>
    <w:rsid w:val="249B034B"/>
    <w:rsid w:val="24AB3D61"/>
    <w:rsid w:val="24AD421C"/>
    <w:rsid w:val="24CA59BE"/>
    <w:rsid w:val="24CF2207"/>
    <w:rsid w:val="24F26053"/>
    <w:rsid w:val="25113FCE"/>
    <w:rsid w:val="251C6570"/>
    <w:rsid w:val="251E0DCD"/>
    <w:rsid w:val="2535116B"/>
    <w:rsid w:val="25493224"/>
    <w:rsid w:val="255B11AF"/>
    <w:rsid w:val="25724CDC"/>
    <w:rsid w:val="257E575E"/>
    <w:rsid w:val="2588441E"/>
    <w:rsid w:val="25CC56F8"/>
    <w:rsid w:val="25D043AE"/>
    <w:rsid w:val="25D21A0E"/>
    <w:rsid w:val="25EB238A"/>
    <w:rsid w:val="2619292C"/>
    <w:rsid w:val="262756A6"/>
    <w:rsid w:val="263730AC"/>
    <w:rsid w:val="26407DEA"/>
    <w:rsid w:val="266F314A"/>
    <w:rsid w:val="267A1965"/>
    <w:rsid w:val="268B66D1"/>
    <w:rsid w:val="26981A99"/>
    <w:rsid w:val="2698751C"/>
    <w:rsid w:val="26AA5CFF"/>
    <w:rsid w:val="26DE5AC6"/>
    <w:rsid w:val="276444B3"/>
    <w:rsid w:val="27687B0B"/>
    <w:rsid w:val="27805AE0"/>
    <w:rsid w:val="27972652"/>
    <w:rsid w:val="27B2387F"/>
    <w:rsid w:val="27BB1438"/>
    <w:rsid w:val="27E86D24"/>
    <w:rsid w:val="27ED433A"/>
    <w:rsid w:val="27F91AF3"/>
    <w:rsid w:val="282B4094"/>
    <w:rsid w:val="286B1C01"/>
    <w:rsid w:val="28793224"/>
    <w:rsid w:val="2879797C"/>
    <w:rsid w:val="288777FA"/>
    <w:rsid w:val="289A5D88"/>
    <w:rsid w:val="28AF7278"/>
    <w:rsid w:val="28BB4FD8"/>
    <w:rsid w:val="28DF3340"/>
    <w:rsid w:val="290766AA"/>
    <w:rsid w:val="2930419F"/>
    <w:rsid w:val="29371E75"/>
    <w:rsid w:val="295A33D5"/>
    <w:rsid w:val="296332A4"/>
    <w:rsid w:val="29940694"/>
    <w:rsid w:val="29CE5AA6"/>
    <w:rsid w:val="29E56F74"/>
    <w:rsid w:val="2A0456B5"/>
    <w:rsid w:val="2A4335DA"/>
    <w:rsid w:val="2A513AAE"/>
    <w:rsid w:val="2A683319"/>
    <w:rsid w:val="2A835621"/>
    <w:rsid w:val="2A905E6D"/>
    <w:rsid w:val="2A97543B"/>
    <w:rsid w:val="2A9D2FDA"/>
    <w:rsid w:val="2AA0303E"/>
    <w:rsid w:val="2AA75FB7"/>
    <w:rsid w:val="2AAA54AF"/>
    <w:rsid w:val="2AF8546F"/>
    <w:rsid w:val="2AFB21F0"/>
    <w:rsid w:val="2B041B39"/>
    <w:rsid w:val="2B0D691B"/>
    <w:rsid w:val="2B582302"/>
    <w:rsid w:val="2B630403"/>
    <w:rsid w:val="2B6867F0"/>
    <w:rsid w:val="2B986F27"/>
    <w:rsid w:val="2BA5018F"/>
    <w:rsid w:val="2BA70D64"/>
    <w:rsid w:val="2BD251DB"/>
    <w:rsid w:val="2BDA7274"/>
    <w:rsid w:val="2BE31B76"/>
    <w:rsid w:val="2BF003C3"/>
    <w:rsid w:val="2C0726E5"/>
    <w:rsid w:val="2C0F13A8"/>
    <w:rsid w:val="2C9D07D4"/>
    <w:rsid w:val="2C9F57ED"/>
    <w:rsid w:val="2CA46733"/>
    <w:rsid w:val="2CA61B4E"/>
    <w:rsid w:val="2CB059DD"/>
    <w:rsid w:val="2CBB615C"/>
    <w:rsid w:val="2CDF267C"/>
    <w:rsid w:val="2CE67F55"/>
    <w:rsid w:val="2D08671B"/>
    <w:rsid w:val="2D2A5034"/>
    <w:rsid w:val="2D94222E"/>
    <w:rsid w:val="2DA44757"/>
    <w:rsid w:val="2DAA3EEC"/>
    <w:rsid w:val="2DBE22D5"/>
    <w:rsid w:val="2E00003A"/>
    <w:rsid w:val="2E1A73D4"/>
    <w:rsid w:val="2E4E06DD"/>
    <w:rsid w:val="2EEE712A"/>
    <w:rsid w:val="2EF2592A"/>
    <w:rsid w:val="2F1705E4"/>
    <w:rsid w:val="2F230E74"/>
    <w:rsid w:val="2F236894"/>
    <w:rsid w:val="2F3446C5"/>
    <w:rsid w:val="2F802FFC"/>
    <w:rsid w:val="2F8A56AC"/>
    <w:rsid w:val="2F8C72FD"/>
    <w:rsid w:val="2F8D527B"/>
    <w:rsid w:val="2F9C2C97"/>
    <w:rsid w:val="2FA76720"/>
    <w:rsid w:val="2FBE615D"/>
    <w:rsid w:val="2FD654F5"/>
    <w:rsid w:val="30075E17"/>
    <w:rsid w:val="300D4E4E"/>
    <w:rsid w:val="302128C0"/>
    <w:rsid w:val="303117F9"/>
    <w:rsid w:val="30634FA4"/>
    <w:rsid w:val="309F600A"/>
    <w:rsid w:val="30B23390"/>
    <w:rsid w:val="30D737A5"/>
    <w:rsid w:val="310D21FF"/>
    <w:rsid w:val="312D32BA"/>
    <w:rsid w:val="3137365B"/>
    <w:rsid w:val="318B24CE"/>
    <w:rsid w:val="319E4FC0"/>
    <w:rsid w:val="31A41FD2"/>
    <w:rsid w:val="31A804E0"/>
    <w:rsid w:val="31C90822"/>
    <w:rsid w:val="31F63741"/>
    <w:rsid w:val="320150B0"/>
    <w:rsid w:val="320230AF"/>
    <w:rsid w:val="321C4D43"/>
    <w:rsid w:val="32501E57"/>
    <w:rsid w:val="3256389A"/>
    <w:rsid w:val="325A6198"/>
    <w:rsid w:val="325C256C"/>
    <w:rsid w:val="32677565"/>
    <w:rsid w:val="32706E5E"/>
    <w:rsid w:val="32797223"/>
    <w:rsid w:val="327E5510"/>
    <w:rsid w:val="32814284"/>
    <w:rsid w:val="32B57576"/>
    <w:rsid w:val="32C47E1A"/>
    <w:rsid w:val="32DF28E0"/>
    <w:rsid w:val="32F41F9B"/>
    <w:rsid w:val="330214F8"/>
    <w:rsid w:val="331222E4"/>
    <w:rsid w:val="332B556A"/>
    <w:rsid w:val="335677E3"/>
    <w:rsid w:val="3363457A"/>
    <w:rsid w:val="33827C15"/>
    <w:rsid w:val="338B1842"/>
    <w:rsid w:val="33932B19"/>
    <w:rsid w:val="33A82AE9"/>
    <w:rsid w:val="33DD748D"/>
    <w:rsid w:val="34055197"/>
    <w:rsid w:val="34104957"/>
    <w:rsid w:val="341D3686"/>
    <w:rsid w:val="343F350B"/>
    <w:rsid w:val="347650FB"/>
    <w:rsid w:val="34811952"/>
    <w:rsid w:val="34955515"/>
    <w:rsid w:val="349F69BC"/>
    <w:rsid w:val="34A831FA"/>
    <w:rsid w:val="34C10051"/>
    <w:rsid w:val="34EE4B33"/>
    <w:rsid w:val="350A5A84"/>
    <w:rsid w:val="353101FF"/>
    <w:rsid w:val="353E1D9C"/>
    <w:rsid w:val="355B7A5C"/>
    <w:rsid w:val="35610F49"/>
    <w:rsid w:val="35866538"/>
    <w:rsid w:val="35C84D03"/>
    <w:rsid w:val="35EC1B82"/>
    <w:rsid w:val="361876C1"/>
    <w:rsid w:val="36212589"/>
    <w:rsid w:val="36CE5337"/>
    <w:rsid w:val="36D80A21"/>
    <w:rsid w:val="36F4391C"/>
    <w:rsid w:val="36FC4A46"/>
    <w:rsid w:val="37415EED"/>
    <w:rsid w:val="377B4C56"/>
    <w:rsid w:val="378A47B4"/>
    <w:rsid w:val="37923C2C"/>
    <w:rsid w:val="37B1770F"/>
    <w:rsid w:val="37CE6BA6"/>
    <w:rsid w:val="380B213D"/>
    <w:rsid w:val="38350DA6"/>
    <w:rsid w:val="383919EF"/>
    <w:rsid w:val="385D6CE2"/>
    <w:rsid w:val="3862667F"/>
    <w:rsid w:val="38695C08"/>
    <w:rsid w:val="388070CB"/>
    <w:rsid w:val="38906381"/>
    <w:rsid w:val="38E430BF"/>
    <w:rsid w:val="39006664"/>
    <w:rsid w:val="39041EF1"/>
    <w:rsid w:val="394F1964"/>
    <w:rsid w:val="39643545"/>
    <w:rsid w:val="396C5BC4"/>
    <w:rsid w:val="396E5FD4"/>
    <w:rsid w:val="39865A99"/>
    <w:rsid w:val="39C926A6"/>
    <w:rsid w:val="39D51F9C"/>
    <w:rsid w:val="39E65153"/>
    <w:rsid w:val="3A0F4109"/>
    <w:rsid w:val="3A104AA6"/>
    <w:rsid w:val="3A245753"/>
    <w:rsid w:val="3A397859"/>
    <w:rsid w:val="3A5632C1"/>
    <w:rsid w:val="3A6B5A2C"/>
    <w:rsid w:val="3A765618"/>
    <w:rsid w:val="3A7B4041"/>
    <w:rsid w:val="3AB02BB0"/>
    <w:rsid w:val="3AD17567"/>
    <w:rsid w:val="3AE6769C"/>
    <w:rsid w:val="3AF44529"/>
    <w:rsid w:val="3B127174"/>
    <w:rsid w:val="3B3034BF"/>
    <w:rsid w:val="3B4721C9"/>
    <w:rsid w:val="3B5F1FA9"/>
    <w:rsid w:val="3B770B25"/>
    <w:rsid w:val="3B867791"/>
    <w:rsid w:val="3BDC7B05"/>
    <w:rsid w:val="3BE11B78"/>
    <w:rsid w:val="3C070E9B"/>
    <w:rsid w:val="3C0D197F"/>
    <w:rsid w:val="3C0E1DAB"/>
    <w:rsid w:val="3C424BB7"/>
    <w:rsid w:val="3C4A5934"/>
    <w:rsid w:val="3C7C608A"/>
    <w:rsid w:val="3C974E20"/>
    <w:rsid w:val="3CC60566"/>
    <w:rsid w:val="3D1763BB"/>
    <w:rsid w:val="3D42259B"/>
    <w:rsid w:val="3D4C64CE"/>
    <w:rsid w:val="3D697964"/>
    <w:rsid w:val="3D7C0CDF"/>
    <w:rsid w:val="3DAD7028"/>
    <w:rsid w:val="3DC5798E"/>
    <w:rsid w:val="3DCE6570"/>
    <w:rsid w:val="3DE20031"/>
    <w:rsid w:val="3DEF6D71"/>
    <w:rsid w:val="3DF143B4"/>
    <w:rsid w:val="3E1C537D"/>
    <w:rsid w:val="3E522CF1"/>
    <w:rsid w:val="3E5B5FD6"/>
    <w:rsid w:val="3E77306A"/>
    <w:rsid w:val="3EA01CAF"/>
    <w:rsid w:val="3EC333D5"/>
    <w:rsid w:val="3F0906AE"/>
    <w:rsid w:val="3F1733B4"/>
    <w:rsid w:val="3F725BD0"/>
    <w:rsid w:val="3F7E262E"/>
    <w:rsid w:val="3FB706D4"/>
    <w:rsid w:val="3FF17E21"/>
    <w:rsid w:val="3FFF2A05"/>
    <w:rsid w:val="400F588F"/>
    <w:rsid w:val="401A4D5C"/>
    <w:rsid w:val="401D4934"/>
    <w:rsid w:val="403640A0"/>
    <w:rsid w:val="40464259"/>
    <w:rsid w:val="404B1145"/>
    <w:rsid w:val="404F5A9E"/>
    <w:rsid w:val="40524840"/>
    <w:rsid w:val="406F400B"/>
    <w:rsid w:val="40767B5A"/>
    <w:rsid w:val="40792372"/>
    <w:rsid w:val="40BC26A4"/>
    <w:rsid w:val="40C43912"/>
    <w:rsid w:val="40D92A56"/>
    <w:rsid w:val="40DF3372"/>
    <w:rsid w:val="41306717"/>
    <w:rsid w:val="413D4C78"/>
    <w:rsid w:val="416A5F3E"/>
    <w:rsid w:val="41A1483C"/>
    <w:rsid w:val="41A526EB"/>
    <w:rsid w:val="41F47551"/>
    <w:rsid w:val="420A4B33"/>
    <w:rsid w:val="42300205"/>
    <w:rsid w:val="42343F2F"/>
    <w:rsid w:val="423829E6"/>
    <w:rsid w:val="4250579A"/>
    <w:rsid w:val="42892F19"/>
    <w:rsid w:val="42AF4942"/>
    <w:rsid w:val="42B9250B"/>
    <w:rsid w:val="42F559B6"/>
    <w:rsid w:val="43045F97"/>
    <w:rsid w:val="430D1F81"/>
    <w:rsid w:val="432852EE"/>
    <w:rsid w:val="43402A34"/>
    <w:rsid w:val="436F0690"/>
    <w:rsid w:val="43B23807"/>
    <w:rsid w:val="43CE3D9C"/>
    <w:rsid w:val="441577C8"/>
    <w:rsid w:val="441611D2"/>
    <w:rsid w:val="44625DA9"/>
    <w:rsid w:val="44690DCB"/>
    <w:rsid w:val="448636F5"/>
    <w:rsid w:val="44A31473"/>
    <w:rsid w:val="44A445FC"/>
    <w:rsid w:val="44EB49DE"/>
    <w:rsid w:val="44F837AC"/>
    <w:rsid w:val="45027C9F"/>
    <w:rsid w:val="4517609A"/>
    <w:rsid w:val="45195996"/>
    <w:rsid w:val="4527575F"/>
    <w:rsid w:val="453602ED"/>
    <w:rsid w:val="454B2248"/>
    <w:rsid w:val="456730A2"/>
    <w:rsid w:val="456E21B7"/>
    <w:rsid w:val="4584426D"/>
    <w:rsid w:val="459556D0"/>
    <w:rsid w:val="459D286A"/>
    <w:rsid w:val="45AB656C"/>
    <w:rsid w:val="45E11A59"/>
    <w:rsid w:val="45FE550D"/>
    <w:rsid w:val="460647DB"/>
    <w:rsid w:val="460743C1"/>
    <w:rsid w:val="46232FD9"/>
    <w:rsid w:val="46361480"/>
    <w:rsid w:val="464A7A26"/>
    <w:rsid w:val="468734B5"/>
    <w:rsid w:val="46AB379E"/>
    <w:rsid w:val="46F861FE"/>
    <w:rsid w:val="471971D7"/>
    <w:rsid w:val="472114B3"/>
    <w:rsid w:val="47574ED5"/>
    <w:rsid w:val="477E322A"/>
    <w:rsid w:val="47946182"/>
    <w:rsid w:val="47B85718"/>
    <w:rsid w:val="47E55806"/>
    <w:rsid w:val="47EE727A"/>
    <w:rsid w:val="480212E4"/>
    <w:rsid w:val="48141963"/>
    <w:rsid w:val="481E3CAF"/>
    <w:rsid w:val="486852CD"/>
    <w:rsid w:val="48CC603C"/>
    <w:rsid w:val="48F04535"/>
    <w:rsid w:val="48F2280F"/>
    <w:rsid w:val="49030132"/>
    <w:rsid w:val="49276862"/>
    <w:rsid w:val="49563C70"/>
    <w:rsid w:val="49F82017"/>
    <w:rsid w:val="4A0F3AA8"/>
    <w:rsid w:val="4A162E25"/>
    <w:rsid w:val="4A1E7D71"/>
    <w:rsid w:val="4A345E97"/>
    <w:rsid w:val="4A6F6339"/>
    <w:rsid w:val="4A82130D"/>
    <w:rsid w:val="4AA82DC8"/>
    <w:rsid w:val="4AA94FE1"/>
    <w:rsid w:val="4AD81028"/>
    <w:rsid w:val="4AD903A6"/>
    <w:rsid w:val="4B0009A3"/>
    <w:rsid w:val="4B6242AE"/>
    <w:rsid w:val="4B757195"/>
    <w:rsid w:val="4B7B5516"/>
    <w:rsid w:val="4B93188E"/>
    <w:rsid w:val="4B97485C"/>
    <w:rsid w:val="4B9A4EF7"/>
    <w:rsid w:val="4B9A5C02"/>
    <w:rsid w:val="4BD0004D"/>
    <w:rsid w:val="4BD13BDD"/>
    <w:rsid w:val="4BD94EF1"/>
    <w:rsid w:val="4BFC3F60"/>
    <w:rsid w:val="4C211DEB"/>
    <w:rsid w:val="4C331221"/>
    <w:rsid w:val="4C7406E4"/>
    <w:rsid w:val="4CE949DD"/>
    <w:rsid w:val="4CEF5247"/>
    <w:rsid w:val="4D26389B"/>
    <w:rsid w:val="4D3C1CBC"/>
    <w:rsid w:val="4D3E1A41"/>
    <w:rsid w:val="4D441616"/>
    <w:rsid w:val="4D561F8A"/>
    <w:rsid w:val="4D603D40"/>
    <w:rsid w:val="4DD2099B"/>
    <w:rsid w:val="4DD721AF"/>
    <w:rsid w:val="4DE21E80"/>
    <w:rsid w:val="4DE46FA3"/>
    <w:rsid w:val="4DEE6A6C"/>
    <w:rsid w:val="4DF2488B"/>
    <w:rsid w:val="4E0D4978"/>
    <w:rsid w:val="4E612ADD"/>
    <w:rsid w:val="4E7A6CDD"/>
    <w:rsid w:val="4E930626"/>
    <w:rsid w:val="4E952F4C"/>
    <w:rsid w:val="4EA13833"/>
    <w:rsid w:val="4EAC0B3B"/>
    <w:rsid w:val="4ECE2BA0"/>
    <w:rsid w:val="4ED42133"/>
    <w:rsid w:val="4ED61411"/>
    <w:rsid w:val="4EE36B9A"/>
    <w:rsid w:val="4EE60603"/>
    <w:rsid w:val="4EF978AA"/>
    <w:rsid w:val="4F0F6B93"/>
    <w:rsid w:val="4F286AA0"/>
    <w:rsid w:val="4F3069AF"/>
    <w:rsid w:val="4F314167"/>
    <w:rsid w:val="4F506B8B"/>
    <w:rsid w:val="4F530479"/>
    <w:rsid w:val="4F5F0396"/>
    <w:rsid w:val="4F721DFD"/>
    <w:rsid w:val="4FB37077"/>
    <w:rsid w:val="4FB73FF2"/>
    <w:rsid w:val="4FC60E49"/>
    <w:rsid w:val="4FF97D59"/>
    <w:rsid w:val="50093106"/>
    <w:rsid w:val="501854B2"/>
    <w:rsid w:val="501D1BFB"/>
    <w:rsid w:val="503A7260"/>
    <w:rsid w:val="50444C70"/>
    <w:rsid w:val="50960912"/>
    <w:rsid w:val="50D70322"/>
    <w:rsid w:val="510257AA"/>
    <w:rsid w:val="510C3D28"/>
    <w:rsid w:val="51100483"/>
    <w:rsid w:val="51450E51"/>
    <w:rsid w:val="5145110D"/>
    <w:rsid w:val="514E0D61"/>
    <w:rsid w:val="51564780"/>
    <w:rsid w:val="515F4466"/>
    <w:rsid w:val="51694182"/>
    <w:rsid w:val="51A34E23"/>
    <w:rsid w:val="51B23955"/>
    <w:rsid w:val="51CC027B"/>
    <w:rsid w:val="51ED2772"/>
    <w:rsid w:val="51F44A1A"/>
    <w:rsid w:val="51FD102C"/>
    <w:rsid w:val="5209324E"/>
    <w:rsid w:val="52550425"/>
    <w:rsid w:val="526A01B2"/>
    <w:rsid w:val="52721214"/>
    <w:rsid w:val="528A60C1"/>
    <w:rsid w:val="52CA2BDA"/>
    <w:rsid w:val="52D92ACB"/>
    <w:rsid w:val="52ED37EA"/>
    <w:rsid w:val="52FF5060"/>
    <w:rsid w:val="5303385B"/>
    <w:rsid w:val="5317216E"/>
    <w:rsid w:val="532056A7"/>
    <w:rsid w:val="53212C9A"/>
    <w:rsid w:val="53357A5F"/>
    <w:rsid w:val="5337414A"/>
    <w:rsid w:val="535D1863"/>
    <w:rsid w:val="536D2D63"/>
    <w:rsid w:val="53715F2A"/>
    <w:rsid w:val="5378128D"/>
    <w:rsid w:val="538440C1"/>
    <w:rsid w:val="538A2FB6"/>
    <w:rsid w:val="53B474B1"/>
    <w:rsid w:val="53C24C02"/>
    <w:rsid w:val="53ED1B55"/>
    <w:rsid w:val="53FF09A5"/>
    <w:rsid w:val="54125760"/>
    <w:rsid w:val="543D1E39"/>
    <w:rsid w:val="54683611"/>
    <w:rsid w:val="54760269"/>
    <w:rsid w:val="54882314"/>
    <w:rsid w:val="551D6479"/>
    <w:rsid w:val="553936C7"/>
    <w:rsid w:val="55503D0D"/>
    <w:rsid w:val="55505D8E"/>
    <w:rsid w:val="55605B44"/>
    <w:rsid w:val="556709D9"/>
    <w:rsid w:val="55A21A47"/>
    <w:rsid w:val="55C47FB0"/>
    <w:rsid w:val="55D37A00"/>
    <w:rsid w:val="55DD07E4"/>
    <w:rsid w:val="55DE5FF1"/>
    <w:rsid w:val="56051FA0"/>
    <w:rsid w:val="561A2B34"/>
    <w:rsid w:val="563542EF"/>
    <w:rsid w:val="56445C52"/>
    <w:rsid w:val="565E4A22"/>
    <w:rsid w:val="567A473C"/>
    <w:rsid w:val="567C685A"/>
    <w:rsid w:val="568A4405"/>
    <w:rsid w:val="572509FE"/>
    <w:rsid w:val="573158F2"/>
    <w:rsid w:val="575874B0"/>
    <w:rsid w:val="57896CC2"/>
    <w:rsid w:val="57AF75B5"/>
    <w:rsid w:val="57B02894"/>
    <w:rsid w:val="57B21C5E"/>
    <w:rsid w:val="57C45A30"/>
    <w:rsid w:val="57CF2865"/>
    <w:rsid w:val="57D07A83"/>
    <w:rsid w:val="5804183D"/>
    <w:rsid w:val="58125F6B"/>
    <w:rsid w:val="5895790E"/>
    <w:rsid w:val="589C5AA0"/>
    <w:rsid w:val="58AF40BA"/>
    <w:rsid w:val="58CB5D36"/>
    <w:rsid w:val="58F41E00"/>
    <w:rsid w:val="5904547E"/>
    <w:rsid w:val="5912044E"/>
    <w:rsid w:val="59155290"/>
    <w:rsid w:val="59243F1A"/>
    <w:rsid w:val="593103D1"/>
    <w:rsid w:val="594A3113"/>
    <w:rsid w:val="59822285"/>
    <w:rsid w:val="598B35A4"/>
    <w:rsid w:val="59956797"/>
    <w:rsid w:val="59B17869"/>
    <w:rsid w:val="59BF6350"/>
    <w:rsid w:val="59C81634"/>
    <w:rsid w:val="59C91512"/>
    <w:rsid w:val="59F16A7E"/>
    <w:rsid w:val="5A081B16"/>
    <w:rsid w:val="5A16720F"/>
    <w:rsid w:val="5A6E1991"/>
    <w:rsid w:val="5A765E4D"/>
    <w:rsid w:val="5A9E1A64"/>
    <w:rsid w:val="5B004D3B"/>
    <w:rsid w:val="5B046E23"/>
    <w:rsid w:val="5B52442B"/>
    <w:rsid w:val="5B5624AD"/>
    <w:rsid w:val="5B5C75B8"/>
    <w:rsid w:val="5B9B486D"/>
    <w:rsid w:val="5BA81A1E"/>
    <w:rsid w:val="5BAA082F"/>
    <w:rsid w:val="5BB456CF"/>
    <w:rsid w:val="5BC56CDB"/>
    <w:rsid w:val="5BC86507"/>
    <w:rsid w:val="5BD277FC"/>
    <w:rsid w:val="5C1A571F"/>
    <w:rsid w:val="5C642A6C"/>
    <w:rsid w:val="5C8D0F8F"/>
    <w:rsid w:val="5C93375D"/>
    <w:rsid w:val="5C9F7AE0"/>
    <w:rsid w:val="5CC54337"/>
    <w:rsid w:val="5CD42396"/>
    <w:rsid w:val="5CF6096E"/>
    <w:rsid w:val="5D2F0DE4"/>
    <w:rsid w:val="5D803474"/>
    <w:rsid w:val="5DD73F4E"/>
    <w:rsid w:val="5DFF328D"/>
    <w:rsid w:val="5E361221"/>
    <w:rsid w:val="5E4329A9"/>
    <w:rsid w:val="5E4979C9"/>
    <w:rsid w:val="5E574CCE"/>
    <w:rsid w:val="5E5D7575"/>
    <w:rsid w:val="5EB961D7"/>
    <w:rsid w:val="5EBC570F"/>
    <w:rsid w:val="5EDF2124"/>
    <w:rsid w:val="5F122C6D"/>
    <w:rsid w:val="5F2913A4"/>
    <w:rsid w:val="5F2A1FBD"/>
    <w:rsid w:val="5F372A2B"/>
    <w:rsid w:val="5F4B049B"/>
    <w:rsid w:val="5F8D332E"/>
    <w:rsid w:val="5F9D6D47"/>
    <w:rsid w:val="5FBE113F"/>
    <w:rsid w:val="5FE0591A"/>
    <w:rsid w:val="5FEA65BE"/>
    <w:rsid w:val="5FEE27D6"/>
    <w:rsid w:val="601C6014"/>
    <w:rsid w:val="602E031A"/>
    <w:rsid w:val="60315C67"/>
    <w:rsid w:val="60370042"/>
    <w:rsid w:val="603D79F0"/>
    <w:rsid w:val="60525262"/>
    <w:rsid w:val="6092717B"/>
    <w:rsid w:val="60A645BF"/>
    <w:rsid w:val="60D157CD"/>
    <w:rsid w:val="611D0634"/>
    <w:rsid w:val="61241E74"/>
    <w:rsid w:val="614B41FA"/>
    <w:rsid w:val="615C0E12"/>
    <w:rsid w:val="61724D70"/>
    <w:rsid w:val="618C6671"/>
    <w:rsid w:val="61BB2F1D"/>
    <w:rsid w:val="61C219AC"/>
    <w:rsid w:val="61D2537B"/>
    <w:rsid w:val="621E4DD2"/>
    <w:rsid w:val="6228765E"/>
    <w:rsid w:val="62314115"/>
    <w:rsid w:val="62533726"/>
    <w:rsid w:val="625E6059"/>
    <w:rsid w:val="626A7586"/>
    <w:rsid w:val="62770720"/>
    <w:rsid w:val="62B20B7A"/>
    <w:rsid w:val="62B86D05"/>
    <w:rsid w:val="62BF668A"/>
    <w:rsid w:val="62D476E6"/>
    <w:rsid w:val="62D50D55"/>
    <w:rsid w:val="62DE5370"/>
    <w:rsid w:val="62F05CE3"/>
    <w:rsid w:val="630F38FF"/>
    <w:rsid w:val="632C3261"/>
    <w:rsid w:val="634A2DD9"/>
    <w:rsid w:val="634B39D0"/>
    <w:rsid w:val="634D1F72"/>
    <w:rsid w:val="635D341B"/>
    <w:rsid w:val="636C3357"/>
    <w:rsid w:val="637469D3"/>
    <w:rsid w:val="6377272F"/>
    <w:rsid w:val="63B54ABB"/>
    <w:rsid w:val="63DF58D6"/>
    <w:rsid w:val="63E32202"/>
    <w:rsid w:val="63EA0E5F"/>
    <w:rsid w:val="63EE5B9E"/>
    <w:rsid w:val="63EE63EF"/>
    <w:rsid w:val="642A7476"/>
    <w:rsid w:val="642C6D22"/>
    <w:rsid w:val="643B54A6"/>
    <w:rsid w:val="64493213"/>
    <w:rsid w:val="644E430E"/>
    <w:rsid w:val="64851AD1"/>
    <w:rsid w:val="64B05C06"/>
    <w:rsid w:val="64E92E99"/>
    <w:rsid w:val="64F76ECE"/>
    <w:rsid w:val="64F920B9"/>
    <w:rsid w:val="65242442"/>
    <w:rsid w:val="65612A4E"/>
    <w:rsid w:val="65893811"/>
    <w:rsid w:val="65A37571"/>
    <w:rsid w:val="65BC4E4F"/>
    <w:rsid w:val="65CD0BAA"/>
    <w:rsid w:val="65FC5260"/>
    <w:rsid w:val="6607448B"/>
    <w:rsid w:val="661F7EFA"/>
    <w:rsid w:val="66227E65"/>
    <w:rsid w:val="66232F48"/>
    <w:rsid w:val="66656BF5"/>
    <w:rsid w:val="6678677C"/>
    <w:rsid w:val="667A0F13"/>
    <w:rsid w:val="66B87D97"/>
    <w:rsid w:val="66F71D32"/>
    <w:rsid w:val="670542E0"/>
    <w:rsid w:val="671958AB"/>
    <w:rsid w:val="67217967"/>
    <w:rsid w:val="6727424C"/>
    <w:rsid w:val="67305AC8"/>
    <w:rsid w:val="673D16E4"/>
    <w:rsid w:val="674B743F"/>
    <w:rsid w:val="67654716"/>
    <w:rsid w:val="67A8373F"/>
    <w:rsid w:val="67A859DF"/>
    <w:rsid w:val="67F849BD"/>
    <w:rsid w:val="6808644D"/>
    <w:rsid w:val="680B78E9"/>
    <w:rsid w:val="682A4432"/>
    <w:rsid w:val="683008C4"/>
    <w:rsid w:val="686A7A87"/>
    <w:rsid w:val="691373B9"/>
    <w:rsid w:val="69491C9C"/>
    <w:rsid w:val="696C7460"/>
    <w:rsid w:val="69766CBF"/>
    <w:rsid w:val="698832AB"/>
    <w:rsid w:val="69AD67AA"/>
    <w:rsid w:val="69B30FE8"/>
    <w:rsid w:val="69D93C0D"/>
    <w:rsid w:val="69EF040C"/>
    <w:rsid w:val="69FF2086"/>
    <w:rsid w:val="6A00458E"/>
    <w:rsid w:val="6A0975E5"/>
    <w:rsid w:val="6A60436C"/>
    <w:rsid w:val="6A646BD0"/>
    <w:rsid w:val="6A905FE4"/>
    <w:rsid w:val="6A965366"/>
    <w:rsid w:val="6A987EDB"/>
    <w:rsid w:val="6AD23BD6"/>
    <w:rsid w:val="6B00694B"/>
    <w:rsid w:val="6B1717D5"/>
    <w:rsid w:val="6B630195"/>
    <w:rsid w:val="6B7F65EF"/>
    <w:rsid w:val="6B897740"/>
    <w:rsid w:val="6B966C10"/>
    <w:rsid w:val="6BA544F6"/>
    <w:rsid w:val="6BAE41F1"/>
    <w:rsid w:val="6BF7773D"/>
    <w:rsid w:val="6C0264F0"/>
    <w:rsid w:val="6C141FA8"/>
    <w:rsid w:val="6C175356"/>
    <w:rsid w:val="6C1D092C"/>
    <w:rsid w:val="6C35702A"/>
    <w:rsid w:val="6C5A092B"/>
    <w:rsid w:val="6CBC663E"/>
    <w:rsid w:val="6CC46527"/>
    <w:rsid w:val="6CCA6148"/>
    <w:rsid w:val="6CCC773F"/>
    <w:rsid w:val="6CD01578"/>
    <w:rsid w:val="6D3648D2"/>
    <w:rsid w:val="6D4228CF"/>
    <w:rsid w:val="6D680D88"/>
    <w:rsid w:val="6D8A778A"/>
    <w:rsid w:val="6D8D1315"/>
    <w:rsid w:val="6D920BBA"/>
    <w:rsid w:val="6DA65890"/>
    <w:rsid w:val="6DB45BF4"/>
    <w:rsid w:val="6E24026E"/>
    <w:rsid w:val="6E4E195F"/>
    <w:rsid w:val="6E5E6489"/>
    <w:rsid w:val="6E657958"/>
    <w:rsid w:val="6E9B4CBF"/>
    <w:rsid w:val="6ECF003B"/>
    <w:rsid w:val="6EFA48BE"/>
    <w:rsid w:val="6F031C05"/>
    <w:rsid w:val="6F312307"/>
    <w:rsid w:val="6F47368B"/>
    <w:rsid w:val="6F7002FB"/>
    <w:rsid w:val="6F9E4163"/>
    <w:rsid w:val="6FAF1B9C"/>
    <w:rsid w:val="6FB774A7"/>
    <w:rsid w:val="6FC53FF3"/>
    <w:rsid w:val="6FC575AA"/>
    <w:rsid w:val="6FDD63C1"/>
    <w:rsid w:val="6FE969BF"/>
    <w:rsid w:val="6FF24DAC"/>
    <w:rsid w:val="6FFE44CE"/>
    <w:rsid w:val="7008124A"/>
    <w:rsid w:val="701E1078"/>
    <w:rsid w:val="702528D6"/>
    <w:rsid w:val="70966176"/>
    <w:rsid w:val="70D66CD1"/>
    <w:rsid w:val="710347E2"/>
    <w:rsid w:val="712C16D9"/>
    <w:rsid w:val="7136673F"/>
    <w:rsid w:val="713D23C9"/>
    <w:rsid w:val="715E6B04"/>
    <w:rsid w:val="716A79EE"/>
    <w:rsid w:val="7184194E"/>
    <w:rsid w:val="7196057A"/>
    <w:rsid w:val="71A07C48"/>
    <w:rsid w:val="71B84A8F"/>
    <w:rsid w:val="71C447F2"/>
    <w:rsid w:val="71F57CC7"/>
    <w:rsid w:val="721B2E1F"/>
    <w:rsid w:val="722804EF"/>
    <w:rsid w:val="72304E0D"/>
    <w:rsid w:val="724D4BCE"/>
    <w:rsid w:val="725A41E6"/>
    <w:rsid w:val="725C7C37"/>
    <w:rsid w:val="725F3CCA"/>
    <w:rsid w:val="72754DD0"/>
    <w:rsid w:val="7292581F"/>
    <w:rsid w:val="729C6045"/>
    <w:rsid w:val="72E036F3"/>
    <w:rsid w:val="72EE2CB5"/>
    <w:rsid w:val="72F03052"/>
    <w:rsid w:val="72FD5629"/>
    <w:rsid w:val="72FE2799"/>
    <w:rsid w:val="731A1CFB"/>
    <w:rsid w:val="73672A46"/>
    <w:rsid w:val="73863215"/>
    <w:rsid w:val="73881D46"/>
    <w:rsid w:val="73C00E01"/>
    <w:rsid w:val="73F2552D"/>
    <w:rsid w:val="74076A03"/>
    <w:rsid w:val="74180545"/>
    <w:rsid w:val="7435280E"/>
    <w:rsid w:val="744E168B"/>
    <w:rsid w:val="74573FCC"/>
    <w:rsid w:val="747C1451"/>
    <w:rsid w:val="747C1FBA"/>
    <w:rsid w:val="748464C0"/>
    <w:rsid w:val="74A52CDC"/>
    <w:rsid w:val="74C55CC7"/>
    <w:rsid w:val="74D64644"/>
    <w:rsid w:val="74DD0860"/>
    <w:rsid w:val="74EC1B6B"/>
    <w:rsid w:val="74FE5A98"/>
    <w:rsid w:val="74FE6933"/>
    <w:rsid w:val="7506427D"/>
    <w:rsid w:val="75067C5F"/>
    <w:rsid w:val="754C7E9E"/>
    <w:rsid w:val="75874AC7"/>
    <w:rsid w:val="75AB43D2"/>
    <w:rsid w:val="75B34B4C"/>
    <w:rsid w:val="75CC3B04"/>
    <w:rsid w:val="75D42D9B"/>
    <w:rsid w:val="75DA4653"/>
    <w:rsid w:val="75DC28C5"/>
    <w:rsid w:val="75E17342"/>
    <w:rsid w:val="75E435B5"/>
    <w:rsid w:val="76053869"/>
    <w:rsid w:val="7615375C"/>
    <w:rsid w:val="761907A1"/>
    <w:rsid w:val="763E69A1"/>
    <w:rsid w:val="76552C82"/>
    <w:rsid w:val="767167F0"/>
    <w:rsid w:val="76F61765"/>
    <w:rsid w:val="76F91952"/>
    <w:rsid w:val="772611CE"/>
    <w:rsid w:val="775D777E"/>
    <w:rsid w:val="7782124A"/>
    <w:rsid w:val="77867922"/>
    <w:rsid w:val="779932B8"/>
    <w:rsid w:val="77AA7B88"/>
    <w:rsid w:val="77CA180A"/>
    <w:rsid w:val="77DB55E5"/>
    <w:rsid w:val="77F27D60"/>
    <w:rsid w:val="780816B9"/>
    <w:rsid w:val="78151EBB"/>
    <w:rsid w:val="7824459A"/>
    <w:rsid w:val="783F0030"/>
    <w:rsid w:val="786F440E"/>
    <w:rsid w:val="787C1F73"/>
    <w:rsid w:val="787D30C6"/>
    <w:rsid w:val="78BF0EA6"/>
    <w:rsid w:val="78D67A12"/>
    <w:rsid w:val="790A1DCA"/>
    <w:rsid w:val="790C34C1"/>
    <w:rsid w:val="7932084E"/>
    <w:rsid w:val="794F0EFC"/>
    <w:rsid w:val="7967259B"/>
    <w:rsid w:val="799A3A30"/>
    <w:rsid w:val="799F0E05"/>
    <w:rsid w:val="79A0327D"/>
    <w:rsid w:val="79D3684F"/>
    <w:rsid w:val="79E21324"/>
    <w:rsid w:val="7A2510EB"/>
    <w:rsid w:val="7A3D0039"/>
    <w:rsid w:val="7A4D0F99"/>
    <w:rsid w:val="7A4E609F"/>
    <w:rsid w:val="7A523D7B"/>
    <w:rsid w:val="7AAC2312"/>
    <w:rsid w:val="7AC215B6"/>
    <w:rsid w:val="7AC377CA"/>
    <w:rsid w:val="7AE7429C"/>
    <w:rsid w:val="7AF15938"/>
    <w:rsid w:val="7B063C9E"/>
    <w:rsid w:val="7B0B187B"/>
    <w:rsid w:val="7B154E25"/>
    <w:rsid w:val="7B211F2B"/>
    <w:rsid w:val="7B562F9A"/>
    <w:rsid w:val="7B703005"/>
    <w:rsid w:val="7B871498"/>
    <w:rsid w:val="7BF60965"/>
    <w:rsid w:val="7BF73AA0"/>
    <w:rsid w:val="7BF97CE1"/>
    <w:rsid w:val="7C0641F8"/>
    <w:rsid w:val="7C065936"/>
    <w:rsid w:val="7C137AF7"/>
    <w:rsid w:val="7C257FD3"/>
    <w:rsid w:val="7C2C2B50"/>
    <w:rsid w:val="7C357557"/>
    <w:rsid w:val="7C3E228A"/>
    <w:rsid w:val="7C3F3BAE"/>
    <w:rsid w:val="7C601F79"/>
    <w:rsid w:val="7C777723"/>
    <w:rsid w:val="7C866018"/>
    <w:rsid w:val="7C8F6FAD"/>
    <w:rsid w:val="7D2B6949"/>
    <w:rsid w:val="7D4E22FA"/>
    <w:rsid w:val="7D4F7841"/>
    <w:rsid w:val="7D576E3F"/>
    <w:rsid w:val="7D5F563D"/>
    <w:rsid w:val="7D8C5993"/>
    <w:rsid w:val="7DAA2796"/>
    <w:rsid w:val="7DC160ED"/>
    <w:rsid w:val="7DF41444"/>
    <w:rsid w:val="7E0F1775"/>
    <w:rsid w:val="7E251787"/>
    <w:rsid w:val="7E2A305C"/>
    <w:rsid w:val="7E4618C1"/>
    <w:rsid w:val="7E4E0324"/>
    <w:rsid w:val="7E742B41"/>
    <w:rsid w:val="7EA2519F"/>
    <w:rsid w:val="7EB63B18"/>
    <w:rsid w:val="7EFB09B4"/>
    <w:rsid w:val="7F04278F"/>
    <w:rsid w:val="7F0A5923"/>
    <w:rsid w:val="7F2D7092"/>
    <w:rsid w:val="7F5E62AF"/>
    <w:rsid w:val="7FA14FAA"/>
    <w:rsid w:val="7FB41CAA"/>
    <w:rsid w:val="7FC3677C"/>
    <w:rsid w:val="7FC64925"/>
    <w:rsid w:val="7FC91C6B"/>
    <w:rsid w:val="7FE33B71"/>
    <w:rsid w:val="7FE42A9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autoRedefine/>
    <w:qFormat/>
    <w:uiPriority w:val="0"/>
    <w:pPr>
      <w:keepNext/>
      <w:snapToGrid w:val="0"/>
      <w:spacing w:line="360" w:lineRule="atLeast"/>
      <w:outlineLvl w:val="0"/>
    </w:pPr>
    <w:rPr>
      <w:rFonts w:ascii="宋体"/>
    </w:rPr>
  </w:style>
  <w:style w:type="paragraph" w:styleId="4">
    <w:name w:val="heading 2"/>
    <w:basedOn w:val="1"/>
    <w:next w:val="1"/>
    <w:link w:val="212"/>
    <w:autoRedefine/>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link w:val="232"/>
    <w:autoRedefine/>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autoRedefine/>
    <w:qFormat/>
    <w:uiPriority w:val="0"/>
    <w:pPr>
      <w:keepNext/>
      <w:keepLines/>
      <w:spacing w:before="280" w:beforeLines="0" w:beforeAutospacing="0" w:after="290" w:afterLines="0" w:afterAutospacing="0" w:line="372" w:lineRule="auto"/>
      <w:outlineLvl w:val="3"/>
    </w:pPr>
    <w:rPr>
      <w:rFonts w:ascii="Arial" w:hAnsi="Arial" w:eastAsia="黑体"/>
      <w:b/>
    </w:rPr>
  </w:style>
  <w:style w:type="paragraph" w:styleId="7">
    <w:name w:val="heading 5"/>
    <w:basedOn w:val="1"/>
    <w:next w:val="1"/>
    <w:autoRedefine/>
    <w:qFormat/>
    <w:uiPriority w:val="0"/>
    <w:pPr>
      <w:keepNext/>
      <w:keepLines/>
      <w:tabs>
        <w:tab w:val="left" w:pos="2551"/>
      </w:tabs>
      <w:spacing w:before="280" w:beforeLines="0" w:beforeAutospacing="0" w:after="290" w:afterLines="0" w:afterAutospacing="0" w:line="372" w:lineRule="auto"/>
      <w:ind w:left="2551" w:hanging="850"/>
      <w:outlineLvl w:val="4"/>
    </w:pPr>
    <w:rPr>
      <w:b/>
    </w:rPr>
  </w:style>
  <w:style w:type="paragraph" w:styleId="8">
    <w:name w:val="heading 6"/>
    <w:basedOn w:val="1"/>
    <w:next w:val="1"/>
    <w:autoRedefine/>
    <w:qFormat/>
    <w:uiPriority w:val="0"/>
    <w:pPr>
      <w:keepNext/>
      <w:keepLines/>
      <w:tabs>
        <w:tab w:val="left" w:pos="1152"/>
      </w:tabs>
      <w:adjustRightInd w:val="0"/>
      <w:snapToGrid w:val="0"/>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autoRedefine/>
    <w:qFormat/>
    <w:uiPriority w:val="0"/>
    <w:pPr>
      <w:keepNext/>
      <w:keepLines/>
      <w:tabs>
        <w:tab w:val="left" w:pos="1296"/>
      </w:tabs>
      <w:adjustRightInd w:val="0"/>
      <w:snapToGrid w:val="0"/>
      <w:spacing w:before="240" w:beforeLines="0" w:beforeAutospacing="0" w:after="64" w:afterLines="0" w:afterAutospacing="0" w:line="317" w:lineRule="auto"/>
      <w:ind w:left="1296" w:hanging="1296"/>
      <w:outlineLvl w:val="6"/>
    </w:pPr>
    <w:rPr>
      <w:rFonts w:ascii="Arial" w:hAnsi="Arial" w:eastAsia="黑体"/>
      <w:b/>
      <w:sz w:val="24"/>
    </w:rPr>
  </w:style>
  <w:style w:type="paragraph" w:styleId="10">
    <w:name w:val="heading 8"/>
    <w:basedOn w:val="1"/>
    <w:next w:val="1"/>
    <w:autoRedefine/>
    <w:qFormat/>
    <w:uiPriority w:val="0"/>
    <w:pPr>
      <w:keepNext/>
      <w:keepLines/>
      <w:tabs>
        <w:tab w:val="left" w:pos="1440"/>
      </w:tabs>
      <w:adjustRightInd w:val="0"/>
      <w:snapToGrid w:val="0"/>
      <w:spacing w:before="240" w:beforeLines="0" w:beforeAutospacing="0" w:after="64" w:afterLines="0" w:afterAutospacing="0" w:line="317" w:lineRule="auto"/>
      <w:ind w:left="1440" w:hanging="1440"/>
      <w:outlineLvl w:val="7"/>
    </w:pPr>
    <w:rPr>
      <w:rFonts w:ascii="Arial" w:hAnsi="Arial" w:eastAsia="黑体"/>
      <w:b/>
      <w:sz w:val="24"/>
    </w:rPr>
  </w:style>
  <w:style w:type="paragraph" w:styleId="11">
    <w:name w:val="heading 9"/>
    <w:basedOn w:val="1"/>
    <w:next w:val="1"/>
    <w:autoRedefine/>
    <w:qFormat/>
    <w:uiPriority w:val="0"/>
    <w:pPr>
      <w:keepNext/>
      <w:keepLines/>
      <w:tabs>
        <w:tab w:val="left" w:pos="1584"/>
      </w:tabs>
      <w:adjustRightInd w:val="0"/>
      <w:snapToGrid w:val="0"/>
      <w:spacing w:before="240" w:beforeLines="0" w:beforeAutospacing="0" w:after="64" w:afterLines="0" w:afterAutospacing="0" w:line="317" w:lineRule="auto"/>
      <w:ind w:left="1584" w:hanging="1584"/>
      <w:outlineLvl w:val="8"/>
    </w:pPr>
    <w:rPr>
      <w:rFonts w:ascii="Arial" w:hAnsi="Arial" w:eastAsia="黑体"/>
      <w:b/>
      <w:sz w:val="24"/>
    </w:rPr>
  </w:style>
  <w:style w:type="character" w:default="1" w:styleId="62">
    <w:name w:val="Default Paragraph Font"/>
    <w:autoRedefine/>
    <w:qFormat/>
    <w:uiPriority w:val="0"/>
  </w:style>
  <w:style w:type="table" w:default="1" w:styleId="60">
    <w:name w:val="Normal Table"/>
    <w:autoRedefine/>
    <w:semiHidden/>
    <w:qFormat/>
    <w:uiPriority w:val="0"/>
    <w:tblPr>
      <w:tblCellMar>
        <w:top w:w="0" w:type="dxa"/>
        <w:left w:w="108" w:type="dxa"/>
        <w:bottom w:w="0" w:type="dxa"/>
        <w:right w:w="108" w:type="dxa"/>
      </w:tblCellMar>
    </w:tblPr>
  </w:style>
  <w:style w:type="paragraph" w:customStyle="1" w:styleId="2">
    <w:name w:val="Default"/>
    <w:autoRedefine/>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styleId="12">
    <w:name w:val="List 3"/>
    <w:basedOn w:val="1"/>
    <w:autoRedefine/>
    <w:qFormat/>
    <w:uiPriority w:val="0"/>
    <w:pPr>
      <w:adjustRightInd w:val="0"/>
      <w:snapToGrid w:val="0"/>
      <w:spacing w:line="360" w:lineRule="auto"/>
      <w:ind w:left="100" w:leftChars="400" w:hanging="200" w:hangingChars="200"/>
    </w:pPr>
    <w:rPr>
      <w:sz w:val="24"/>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numPr>
        <w:ilvl w:val="0"/>
        <w:numId w:val="1"/>
      </w:numPr>
      <w:tabs>
        <w:tab w:val="left" w:pos="780"/>
        <w:tab w:val="clear" w:pos="425"/>
      </w:tabs>
      <w:spacing w:line="360" w:lineRule="auto"/>
    </w:pPr>
    <w:rPr>
      <w:sz w:val="24"/>
    </w:rPr>
  </w:style>
  <w:style w:type="paragraph" w:styleId="15">
    <w:name w:val="List Bullet 4"/>
    <w:basedOn w:val="1"/>
    <w:autoRedefine/>
    <w:qFormat/>
    <w:uiPriority w:val="0"/>
    <w:pPr>
      <w:widowControl/>
      <w:numPr>
        <w:ilvl w:val="0"/>
        <w:numId w:val="2"/>
      </w:numPr>
      <w:tabs>
        <w:tab w:val="left" w:pos="1134"/>
        <w:tab w:val="clear" w:pos="1620"/>
      </w:tabs>
      <w:adjustRightInd w:val="0"/>
      <w:snapToGrid w:val="0"/>
      <w:spacing w:before="120" w:beforeLines="0" w:line="280" w:lineRule="atLeast"/>
      <w:ind w:left="1418" w:hanging="284"/>
      <w:jc w:val="left"/>
    </w:pPr>
    <w:rPr>
      <w:rFonts w:ascii="宋体"/>
      <w:kern w:val="0"/>
      <w:sz w:val="22"/>
    </w:rPr>
  </w:style>
  <w:style w:type="paragraph" w:styleId="16">
    <w:name w:val="Normal Indent"/>
    <w:basedOn w:val="1"/>
    <w:autoRedefine/>
    <w:qFormat/>
    <w:uiPriority w:val="0"/>
    <w:pPr>
      <w:adjustRightInd w:val="0"/>
      <w:snapToGrid w:val="0"/>
      <w:spacing w:line="360" w:lineRule="auto"/>
      <w:ind w:firstLine="420"/>
    </w:pPr>
    <w:rPr>
      <w:sz w:val="24"/>
    </w:rPr>
  </w:style>
  <w:style w:type="paragraph" w:styleId="17">
    <w:name w:val="caption"/>
    <w:basedOn w:val="1"/>
    <w:next w:val="1"/>
    <w:autoRedefine/>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8">
    <w:name w:val="Document Map"/>
    <w:basedOn w:val="1"/>
    <w:autoRedefine/>
    <w:qFormat/>
    <w:uiPriority w:val="0"/>
    <w:pPr>
      <w:shd w:val="clear" w:color="auto" w:fill="000080"/>
    </w:pPr>
  </w:style>
  <w:style w:type="paragraph" w:styleId="19">
    <w:name w:val="toa heading"/>
    <w:basedOn w:val="1"/>
    <w:next w:val="1"/>
    <w:autoRedefine/>
    <w:qFormat/>
    <w:uiPriority w:val="0"/>
    <w:pPr>
      <w:spacing w:before="120" w:beforeLines="0"/>
    </w:pPr>
    <w:rPr>
      <w:rFonts w:ascii="Arial" w:hAnsi="Arial"/>
      <w:sz w:val="24"/>
    </w:rPr>
  </w:style>
  <w:style w:type="paragraph" w:styleId="20">
    <w:name w:val="annotation text"/>
    <w:basedOn w:val="1"/>
    <w:link w:val="211"/>
    <w:autoRedefine/>
    <w:qFormat/>
    <w:uiPriority w:val="0"/>
    <w:pPr>
      <w:adjustRightInd w:val="0"/>
      <w:spacing w:line="360" w:lineRule="atLeast"/>
      <w:jc w:val="left"/>
      <w:textAlignment w:val="baseline"/>
    </w:pPr>
    <w:rPr>
      <w:kern w:val="0"/>
      <w:sz w:val="24"/>
    </w:rPr>
  </w:style>
  <w:style w:type="paragraph" w:styleId="21">
    <w:name w:val="Body Text 3"/>
    <w:basedOn w:val="1"/>
    <w:autoRedefine/>
    <w:qFormat/>
    <w:uiPriority w:val="0"/>
    <w:pPr>
      <w:adjustRightInd w:val="0"/>
      <w:snapToGrid w:val="0"/>
      <w:spacing w:after="120" w:afterLines="0" w:afterAutospacing="0" w:line="360" w:lineRule="auto"/>
    </w:pPr>
    <w:rPr>
      <w:sz w:val="16"/>
    </w:rPr>
  </w:style>
  <w:style w:type="paragraph" w:styleId="22">
    <w:name w:val="List Bullet 3"/>
    <w:basedOn w:val="1"/>
    <w:autoRedefine/>
    <w:qFormat/>
    <w:uiPriority w:val="0"/>
    <w:pPr>
      <w:numPr>
        <w:ilvl w:val="0"/>
        <w:numId w:val="3"/>
      </w:numPr>
      <w:adjustRightInd w:val="0"/>
      <w:snapToGrid w:val="0"/>
      <w:spacing w:line="360" w:lineRule="auto"/>
    </w:pPr>
    <w:rPr>
      <w:sz w:val="24"/>
    </w:rPr>
  </w:style>
  <w:style w:type="paragraph" w:styleId="23">
    <w:name w:val="Body Text"/>
    <w:basedOn w:val="1"/>
    <w:next w:val="1"/>
    <w:autoRedefine/>
    <w:qFormat/>
    <w:uiPriority w:val="0"/>
    <w:rPr>
      <w:rFonts w:ascii="仿宋_GB2312" w:eastAsia="仿宋_GB2312"/>
      <w:sz w:val="32"/>
    </w:rPr>
  </w:style>
  <w:style w:type="paragraph" w:styleId="24">
    <w:name w:val="Body Text Indent"/>
    <w:basedOn w:val="1"/>
    <w:link w:val="218"/>
    <w:autoRedefine/>
    <w:qFormat/>
    <w:uiPriority w:val="0"/>
    <w:pPr>
      <w:spacing w:line="700" w:lineRule="exact"/>
      <w:ind w:left="960"/>
    </w:pPr>
    <w:rPr>
      <w:sz w:val="44"/>
    </w:rPr>
  </w:style>
  <w:style w:type="paragraph" w:styleId="25">
    <w:name w:val="List Number 3"/>
    <w:basedOn w:val="1"/>
    <w:autoRedefine/>
    <w:qFormat/>
    <w:uiPriority w:val="0"/>
    <w:pPr>
      <w:tabs>
        <w:tab w:val="left" w:pos="2120"/>
      </w:tabs>
      <w:adjustRightInd w:val="0"/>
      <w:snapToGrid w:val="0"/>
      <w:spacing w:line="360" w:lineRule="auto"/>
      <w:ind w:left="2120" w:hanging="720"/>
    </w:pPr>
    <w:rPr>
      <w:sz w:val="24"/>
    </w:rPr>
  </w:style>
  <w:style w:type="paragraph" w:styleId="26">
    <w:name w:val="List 2"/>
    <w:basedOn w:val="1"/>
    <w:autoRedefine/>
    <w:qFormat/>
    <w:uiPriority w:val="0"/>
    <w:pPr>
      <w:adjustRightInd w:val="0"/>
      <w:snapToGrid w:val="0"/>
      <w:spacing w:line="360" w:lineRule="auto"/>
      <w:ind w:left="100" w:leftChars="200" w:hanging="200" w:hangingChars="200"/>
    </w:pPr>
    <w:rPr>
      <w:sz w:val="24"/>
    </w:rPr>
  </w:style>
  <w:style w:type="paragraph" w:styleId="27">
    <w:name w:val="List Continue"/>
    <w:basedOn w:val="1"/>
    <w:autoRedefine/>
    <w:qFormat/>
    <w:uiPriority w:val="0"/>
    <w:pPr>
      <w:adjustRightInd w:val="0"/>
      <w:snapToGrid w:val="0"/>
      <w:spacing w:after="120" w:afterLines="0" w:afterAutospacing="0" w:line="360" w:lineRule="auto"/>
      <w:ind w:left="420" w:leftChars="200"/>
    </w:pPr>
    <w:rPr>
      <w:sz w:val="24"/>
    </w:rPr>
  </w:style>
  <w:style w:type="paragraph" w:styleId="28">
    <w:name w:val="List Bullet 2"/>
    <w:basedOn w:val="1"/>
    <w:autoRedefine/>
    <w:qFormat/>
    <w:uiPriority w:val="0"/>
    <w:pPr>
      <w:numPr>
        <w:ilvl w:val="0"/>
        <w:numId w:val="4"/>
      </w:numPr>
      <w:adjustRightInd w:val="0"/>
      <w:snapToGrid w:val="0"/>
      <w:spacing w:line="360" w:lineRule="auto"/>
    </w:pPr>
    <w:rPr>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39"/>
    <w:pPr>
      <w:ind w:left="840" w:leftChars="400"/>
    </w:pPr>
  </w:style>
  <w:style w:type="paragraph" w:styleId="31">
    <w:name w:val="Plain Text"/>
    <w:basedOn w:val="1"/>
    <w:autoRedefine/>
    <w:qFormat/>
    <w:uiPriority w:val="0"/>
    <w:rPr>
      <w:rFonts w:ascii="宋体" w:hAnsi="Courier New"/>
      <w:sz w:val="21"/>
    </w:rPr>
  </w:style>
  <w:style w:type="paragraph" w:styleId="32">
    <w:name w:val="toc 8"/>
    <w:basedOn w:val="1"/>
    <w:next w:val="1"/>
    <w:autoRedefine/>
    <w:qFormat/>
    <w:uiPriority w:val="0"/>
    <w:pPr>
      <w:ind w:left="2940" w:leftChars="1400"/>
    </w:pPr>
  </w:style>
  <w:style w:type="paragraph" w:styleId="33">
    <w:name w:val="Date"/>
    <w:basedOn w:val="1"/>
    <w:next w:val="1"/>
    <w:link w:val="241"/>
    <w:autoRedefine/>
    <w:qFormat/>
    <w:uiPriority w:val="0"/>
  </w:style>
  <w:style w:type="paragraph" w:styleId="34">
    <w:name w:val="Body Text Indent 2"/>
    <w:basedOn w:val="1"/>
    <w:link w:val="207"/>
    <w:autoRedefine/>
    <w:qFormat/>
    <w:uiPriority w:val="0"/>
    <w:pPr>
      <w:snapToGrid w:val="0"/>
      <w:spacing w:line="560" w:lineRule="atLeast"/>
      <w:ind w:firstLine="540"/>
    </w:pPr>
  </w:style>
  <w:style w:type="paragraph" w:styleId="35">
    <w:name w:val="Balloon Text"/>
    <w:basedOn w:val="1"/>
    <w:autoRedefine/>
    <w:qFormat/>
    <w:uiPriority w:val="0"/>
    <w:rPr>
      <w:sz w:val="18"/>
    </w:rPr>
  </w:style>
  <w:style w:type="paragraph" w:styleId="36">
    <w:name w:val="footer"/>
    <w:basedOn w:val="1"/>
    <w:autoRedefine/>
    <w:qFormat/>
    <w:uiPriority w:val="0"/>
    <w:pPr>
      <w:tabs>
        <w:tab w:val="center" w:pos="4153"/>
        <w:tab w:val="right" w:pos="8306"/>
      </w:tabs>
      <w:snapToGrid w:val="0"/>
      <w:jc w:val="left"/>
    </w:pPr>
    <w:rPr>
      <w:sz w:val="18"/>
    </w:rPr>
  </w:style>
  <w:style w:type="paragraph" w:styleId="3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38">
    <w:name w:val="toc 1"/>
    <w:basedOn w:val="1"/>
    <w:next w:val="1"/>
    <w:autoRedefine/>
    <w:qFormat/>
    <w:uiPriority w:val="0"/>
    <w:pPr>
      <w:spacing w:line="180" w:lineRule="auto"/>
      <w:jc w:val="center"/>
    </w:pPr>
    <w:rPr>
      <w:sz w:val="30"/>
    </w:rPr>
  </w:style>
  <w:style w:type="paragraph" w:styleId="39">
    <w:name w:val="List Continue 4"/>
    <w:basedOn w:val="1"/>
    <w:autoRedefine/>
    <w:qFormat/>
    <w:uiPriority w:val="0"/>
    <w:pPr>
      <w:adjustRightInd w:val="0"/>
      <w:snapToGrid w:val="0"/>
      <w:spacing w:after="120" w:afterLines="0" w:afterAutospacing="0" w:line="360" w:lineRule="auto"/>
      <w:ind w:left="1680" w:leftChars="800"/>
    </w:pPr>
    <w:rPr>
      <w:sz w:val="24"/>
    </w:rPr>
  </w:style>
  <w:style w:type="paragraph" w:styleId="40">
    <w:name w:val="toc 4"/>
    <w:basedOn w:val="1"/>
    <w:next w:val="1"/>
    <w:autoRedefine/>
    <w:qFormat/>
    <w:uiPriority w:val="0"/>
    <w:pPr>
      <w:ind w:left="1260" w:leftChars="600"/>
    </w:pPr>
  </w:style>
  <w:style w:type="paragraph" w:styleId="41">
    <w:name w:val="footnote text"/>
    <w:basedOn w:val="1"/>
    <w:link w:val="246"/>
    <w:autoRedefine/>
    <w:qFormat/>
    <w:uiPriority w:val="0"/>
    <w:pPr>
      <w:spacing w:line="360" w:lineRule="auto"/>
    </w:pPr>
    <w:rPr>
      <w:sz w:val="18"/>
    </w:rPr>
  </w:style>
  <w:style w:type="paragraph" w:styleId="42">
    <w:name w:val="toc 6"/>
    <w:basedOn w:val="1"/>
    <w:next w:val="1"/>
    <w:autoRedefine/>
    <w:qFormat/>
    <w:uiPriority w:val="0"/>
    <w:pPr>
      <w:ind w:left="2100" w:leftChars="1000"/>
    </w:pPr>
  </w:style>
  <w:style w:type="paragraph" w:styleId="43">
    <w:name w:val="List 5"/>
    <w:basedOn w:val="1"/>
    <w:autoRedefine/>
    <w:qFormat/>
    <w:uiPriority w:val="0"/>
    <w:pPr>
      <w:adjustRightInd w:val="0"/>
      <w:snapToGrid w:val="0"/>
      <w:spacing w:line="360" w:lineRule="auto"/>
      <w:ind w:left="100" w:leftChars="800" w:hanging="200" w:hangingChars="200"/>
    </w:pPr>
    <w:rPr>
      <w:sz w:val="24"/>
    </w:rPr>
  </w:style>
  <w:style w:type="paragraph" w:styleId="44">
    <w:name w:val="Body Text Indent 3"/>
    <w:basedOn w:val="1"/>
    <w:autoRedefine/>
    <w:qFormat/>
    <w:uiPriority w:val="0"/>
    <w:pPr>
      <w:spacing w:line="360" w:lineRule="auto"/>
      <w:ind w:firstLine="632"/>
    </w:pPr>
    <w:rPr>
      <w:rFonts w:ascii="黑体" w:eastAsia="黑体"/>
    </w:rPr>
  </w:style>
  <w:style w:type="paragraph" w:styleId="45">
    <w:name w:val="table of figures"/>
    <w:basedOn w:val="1"/>
    <w:next w:val="1"/>
    <w:autoRedefine/>
    <w:qFormat/>
    <w:uiPriority w:val="0"/>
    <w:pPr>
      <w:tabs>
        <w:tab w:val="right" w:leader="dot" w:pos="8640"/>
      </w:tabs>
      <w:spacing w:line="360" w:lineRule="auto"/>
      <w:ind w:left="400" w:hanging="400"/>
    </w:pPr>
    <w:rPr>
      <w:sz w:val="24"/>
    </w:rPr>
  </w:style>
  <w:style w:type="paragraph" w:styleId="46">
    <w:name w:val="toc 2"/>
    <w:basedOn w:val="1"/>
    <w:next w:val="1"/>
    <w:autoRedefine/>
    <w:qFormat/>
    <w:uiPriority w:val="39"/>
    <w:pPr>
      <w:ind w:left="420" w:leftChars="200"/>
    </w:pPr>
  </w:style>
  <w:style w:type="paragraph" w:styleId="47">
    <w:name w:val="toc 9"/>
    <w:basedOn w:val="1"/>
    <w:next w:val="1"/>
    <w:autoRedefine/>
    <w:qFormat/>
    <w:uiPriority w:val="0"/>
    <w:pPr>
      <w:ind w:left="3360" w:leftChars="1600"/>
    </w:pPr>
  </w:style>
  <w:style w:type="paragraph" w:styleId="48">
    <w:name w:val="Body Text 2"/>
    <w:basedOn w:val="1"/>
    <w:autoRedefine/>
    <w:qFormat/>
    <w:uiPriority w:val="0"/>
    <w:pPr>
      <w:adjustRightInd w:val="0"/>
      <w:snapToGrid w:val="0"/>
      <w:spacing w:after="120" w:afterLines="0" w:afterAutospacing="0" w:line="480" w:lineRule="auto"/>
    </w:pPr>
    <w:rPr>
      <w:sz w:val="24"/>
    </w:rPr>
  </w:style>
  <w:style w:type="paragraph" w:styleId="49">
    <w:name w:val="List 4"/>
    <w:basedOn w:val="1"/>
    <w:autoRedefine/>
    <w:qFormat/>
    <w:uiPriority w:val="0"/>
    <w:pPr>
      <w:adjustRightInd w:val="0"/>
      <w:snapToGrid w:val="0"/>
      <w:spacing w:line="360" w:lineRule="auto"/>
      <w:ind w:left="100" w:leftChars="600" w:hanging="200" w:hangingChars="200"/>
    </w:pPr>
    <w:rPr>
      <w:sz w:val="24"/>
    </w:rPr>
  </w:style>
  <w:style w:type="paragraph" w:styleId="50">
    <w:name w:val="List Continue 2"/>
    <w:basedOn w:val="1"/>
    <w:autoRedefine/>
    <w:qFormat/>
    <w:uiPriority w:val="0"/>
    <w:pPr>
      <w:adjustRightInd w:val="0"/>
      <w:snapToGrid w:val="0"/>
      <w:spacing w:after="120" w:afterLines="0" w:afterAutospacing="0" w:line="360" w:lineRule="auto"/>
      <w:ind w:left="840" w:leftChars="400"/>
    </w:pPr>
    <w:rPr>
      <w:sz w:val="24"/>
    </w:rPr>
  </w:style>
  <w:style w:type="paragraph" w:styleId="51">
    <w:name w:val="Message Header"/>
    <w:basedOn w:val="1"/>
    <w:next w:val="23"/>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宋体"/>
      <w:sz w:val="24"/>
    </w:rPr>
  </w:style>
  <w:style w:type="paragraph" w:styleId="5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3">
    <w:name w:val="Normal (Web)"/>
    <w:basedOn w:val="1"/>
    <w:autoRedefine/>
    <w:qFormat/>
    <w:uiPriority w:val="0"/>
    <w:pPr>
      <w:widowControl/>
      <w:spacing w:before="100" w:beforeLines="0" w:beforeAutospacing="1" w:after="100" w:afterLines="0" w:afterAutospacing="1"/>
      <w:jc w:val="left"/>
    </w:pPr>
    <w:rPr>
      <w:rFonts w:ascii="宋体" w:hAnsi="宋体"/>
      <w:kern w:val="0"/>
      <w:sz w:val="24"/>
    </w:rPr>
  </w:style>
  <w:style w:type="paragraph" w:styleId="54">
    <w:name w:val="List Continue 3"/>
    <w:basedOn w:val="1"/>
    <w:autoRedefine/>
    <w:qFormat/>
    <w:uiPriority w:val="0"/>
    <w:pPr>
      <w:adjustRightInd w:val="0"/>
      <w:snapToGrid w:val="0"/>
      <w:spacing w:after="120" w:afterLines="0" w:afterAutospacing="0" w:line="360" w:lineRule="auto"/>
      <w:ind w:left="1260" w:leftChars="600"/>
    </w:pPr>
    <w:rPr>
      <w:sz w:val="24"/>
    </w:rPr>
  </w:style>
  <w:style w:type="paragraph" w:styleId="55">
    <w:name w:val="index 1"/>
    <w:basedOn w:val="1"/>
    <w:next w:val="1"/>
    <w:autoRedefine/>
    <w:qFormat/>
    <w:uiPriority w:val="0"/>
    <w:pPr>
      <w:adjustRightInd w:val="0"/>
      <w:spacing w:line="240" w:lineRule="atLeast"/>
      <w:textAlignment w:val="baseline"/>
    </w:pPr>
    <w:rPr>
      <w:rFonts w:ascii="宋体"/>
      <w:kern w:val="0"/>
      <w:sz w:val="21"/>
    </w:rPr>
  </w:style>
  <w:style w:type="paragraph" w:styleId="56">
    <w:name w:val="Title"/>
    <w:basedOn w:val="1"/>
    <w:autoRedefine/>
    <w:qFormat/>
    <w:uiPriority w:val="0"/>
    <w:pPr>
      <w:widowControl/>
      <w:spacing w:after="240" w:afterLines="0" w:afterAutospacing="0" w:line="360" w:lineRule="auto"/>
      <w:jc w:val="center"/>
    </w:pPr>
    <w:rPr>
      <w:rFonts w:ascii="Arial" w:hAnsi="Arial"/>
      <w:b/>
      <w:smallCaps/>
      <w:kern w:val="28"/>
      <w:sz w:val="36"/>
      <w:lang w:eastAsia="en-US"/>
    </w:rPr>
  </w:style>
  <w:style w:type="paragraph" w:styleId="57">
    <w:name w:val="annotation subject"/>
    <w:basedOn w:val="20"/>
    <w:next w:val="20"/>
    <w:link w:val="210"/>
    <w:autoRedefine/>
    <w:qFormat/>
    <w:uiPriority w:val="0"/>
    <w:pPr>
      <w:adjustRightInd/>
      <w:spacing w:line="240" w:lineRule="auto"/>
      <w:textAlignment w:val="auto"/>
    </w:pPr>
  </w:style>
  <w:style w:type="paragraph" w:styleId="58">
    <w:name w:val="Body Text First Indent"/>
    <w:basedOn w:val="23"/>
    <w:autoRedefine/>
    <w:qFormat/>
    <w:uiPriority w:val="0"/>
    <w:pPr>
      <w:spacing w:line="360" w:lineRule="auto"/>
      <w:ind w:firstLine="420"/>
    </w:pPr>
    <w:rPr>
      <w:rFonts w:ascii="宋体" w:hAnsi="宋体"/>
      <w:sz w:val="24"/>
    </w:rPr>
  </w:style>
  <w:style w:type="paragraph" w:styleId="59">
    <w:name w:val="Body Text First Indent 2"/>
    <w:basedOn w:val="24"/>
    <w:link w:val="217"/>
    <w:autoRedefine/>
    <w:qFormat/>
    <w:uiPriority w:val="0"/>
    <w:pPr>
      <w:spacing w:after="120" w:afterLines="0" w:line="240" w:lineRule="auto"/>
      <w:ind w:left="420" w:leftChars="200" w:firstLine="420" w:firstLineChars="200"/>
    </w:p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rPr>
  </w:style>
  <w:style w:type="character" w:styleId="64">
    <w:name w:val="page number"/>
    <w:basedOn w:val="62"/>
    <w:autoRedefine/>
    <w:qFormat/>
    <w:uiPriority w:val="0"/>
  </w:style>
  <w:style w:type="character" w:styleId="65">
    <w:name w:val="FollowedHyperlink"/>
    <w:autoRedefine/>
    <w:qFormat/>
    <w:uiPriority w:val="0"/>
    <w:rPr>
      <w:color w:val="333333"/>
      <w:u w:val="none"/>
    </w:rPr>
  </w:style>
  <w:style w:type="character" w:styleId="66">
    <w:name w:val="Emphasis"/>
    <w:autoRedefine/>
    <w:qFormat/>
    <w:uiPriority w:val="0"/>
    <w:rPr>
      <w:i/>
    </w:rPr>
  </w:style>
  <w:style w:type="character" w:styleId="67">
    <w:name w:val="Hyperlink"/>
    <w:autoRedefine/>
    <w:qFormat/>
    <w:uiPriority w:val="99"/>
    <w:rPr>
      <w:color w:val="333333"/>
      <w:u w:val="none"/>
    </w:rPr>
  </w:style>
  <w:style w:type="character" w:styleId="68">
    <w:name w:val="annotation reference"/>
    <w:autoRedefine/>
    <w:qFormat/>
    <w:uiPriority w:val="0"/>
    <w:rPr>
      <w:sz w:val="21"/>
      <w:szCs w:val="21"/>
    </w:rPr>
  </w:style>
  <w:style w:type="character" w:styleId="69">
    <w:name w:val="footnote reference"/>
    <w:autoRedefine/>
    <w:qFormat/>
    <w:uiPriority w:val="0"/>
    <w:rPr>
      <w:position w:val="6"/>
      <w:sz w:val="14"/>
      <w:vertAlign w:val="superscript"/>
    </w:rPr>
  </w:style>
  <w:style w:type="paragraph" w:customStyle="1" w:styleId="70">
    <w:name w:val=" Char Char Char Char Char Char Char"/>
    <w:basedOn w:val="1"/>
    <w:autoRedefine/>
    <w:qFormat/>
    <w:uiPriority w:val="0"/>
    <w:rPr>
      <w:rFonts w:ascii="Tahoma" w:hAnsi="Tahoma"/>
      <w:sz w:val="24"/>
    </w:rPr>
  </w:style>
  <w:style w:type="paragraph" w:customStyle="1" w:styleId="71">
    <w:name w:val=" Char Char1"/>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72">
    <w:name w:val="xl23"/>
    <w:basedOn w:val="1"/>
    <w:autoRedefine/>
    <w:qFormat/>
    <w:uiPriority w:val="0"/>
    <w:pPr>
      <w:widowControl/>
      <w:spacing w:before="100" w:beforeLines="0" w:beforeAutospacing="1" w:after="100" w:afterLines="0" w:afterAutospacing="1" w:line="360" w:lineRule="auto"/>
      <w:textAlignment w:val="top"/>
    </w:pPr>
    <w:rPr>
      <w:kern w:val="0"/>
      <w:sz w:val="24"/>
    </w:rPr>
  </w:style>
  <w:style w:type="paragraph" w:customStyle="1" w:styleId="73">
    <w:name w:val="文档正文"/>
    <w:basedOn w:val="1"/>
    <w:autoRedefine/>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74">
    <w:name w:val="Char Char Char Char"/>
    <w:basedOn w:val="1"/>
    <w:autoRedefine/>
    <w:qFormat/>
    <w:uiPriority w:val="0"/>
    <w:pPr>
      <w:pageBreakBefore/>
      <w:widowControl/>
      <w:spacing w:after="160" w:afterLines="0" w:line="240" w:lineRule="exact"/>
      <w:jc w:val="left"/>
    </w:pPr>
    <w:rPr>
      <w:rFonts w:ascii="Verdana" w:hAnsi="Verdana"/>
      <w:kern w:val="0"/>
      <w:sz w:val="20"/>
      <w:lang w:eastAsia="en-US"/>
    </w:rPr>
  </w:style>
  <w:style w:type="paragraph" w:customStyle="1" w:styleId="75">
    <w:name w:val="Char1 Char Char Char"/>
    <w:basedOn w:val="1"/>
    <w:autoRedefine/>
    <w:qFormat/>
    <w:uiPriority w:val="0"/>
    <w:rPr>
      <w:rFonts w:ascii="Tahoma" w:hAnsi="Tahoma"/>
      <w:sz w:val="30"/>
    </w:rPr>
  </w:style>
  <w:style w:type="paragraph" w:customStyle="1" w:styleId="76">
    <w:name w:val="司法正文"/>
    <w:autoRedefine/>
    <w:qFormat/>
    <w:uiPriority w:val="0"/>
    <w:pPr>
      <w:widowControl w:val="0"/>
      <w:ind w:firstLine="200" w:firstLineChars="200"/>
      <w:jc w:val="both"/>
    </w:pPr>
    <w:rPr>
      <w:rFonts w:ascii="Times New Roman" w:hAnsi="Times New Roman" w:eastAsia="仿宋_GB2312" w:cs="Times New Roman"/>
      <w:sz w:val="32"/>
      <w:lang w:val="en-US" w:eastAsia="zh-CN" w:bidi="ar-SA"/>
    </w:rPr>
  </w:style>
  <w:style w:type="paragraph" w:customStyle="1" w:styleId="77">
    <w:name w:val="标题2"/>
    <w:basedOn w:val="4"/>
    <w:autoRedefine/>
    <w:qFormat/>
    <w:uiPriority w:val="0"/>
    <w:pPr>
      <w:keepNext w:val="0"/>
      <w:keepLines w:val="0"/>
      <w:adjustRightInd w:val="0"/>
      <w:snapToGrid w:val="0"/>
      <w:spacing w:before="0" w:beforeLines="0" w:after="0" w:afterLines="0" w:line="360" w:lineRule="auto"/>
      <w:ind w:firstLine="574" w:firstLineChars="196"/>
      <w:outlineLvl w:val="9"/>
    </w:pPr>
    <w:rPr>
      <w:rFonts w:ascii="宋体" w:hAnsi="宋体" w:eastAsia="宋体"/>
      <w:spacing w:val="6"/>
      <w:sz w:val="28"/>
      <w:u w:val="single"/>
    </w:rPr>
  </w:style>
  <w:style w:type="paragraph" w:customStyle="1" w:styleId="78">
    <w:name w:val="标题5"/>
    <w:basedOn w:val="1"/>
    <w:autoRedefine/>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79">
    <w:name w:val="附录3"/>
    <w:basedOn w:val="1"/>
    <w:next w:val="1"/>
    <w:autoRedefine/>
    <w:qFormat/>
    <w:uiPriority w:val="0"/>
    <w:pPr>
      <w:numPr>
        <w:ilvl w:val="0"/>
        <w:numId w:val="0"/>
      </w:numPr>
      <w:tabs>
        <w:tab w:val="left" w:pos="851"/>
      </w:tabs>
      <w:ind w:left="425" w:hanging="425"/>
      <w:outlineLvl w:val="2"/>
    </w:pPr>
    <w:rPr>
      <w:rFonts w:eastAsia="黑体"/>
      <w:b/>
      <w:sz w:val="32"/>
    </w:rPr>
  </w:style>
  <w:style w:type="paragraph" w:customStyle="1" w:styleId="80">
    <w:name w:val=" Char Char 字元 字元 字元 Char Char Char Char"/>
    <w:basedOn w:val="1"/>
    <w:autoRedefine/>
    <w:qFormat/>
    <w:uiPriority w:val="0"/>
    <w:pPr>
      <w:adjustRightInd w:val="0"/>
      <w:spacing w:line="360" w:lineRule="auto"/>
    </w:pPr>
    <w:rPr>
      <w:kern w:val="0"/>
      <w:sz w:val="24"/>
    </w:rPr>
  </w:style>
  <w:style w:type="paragraph" w:customStyle="1" w:styleId="81">
    <w:name w:val="关键词"/>
    <w:basedOn w:val="1"/>
    <w:next w:val="1"/>
    <w:autoRedefine/>
    <w:qFormat/>
    <w:uiPriority w:val="0"/>
    <w:pPr>
      <w:spacing w:line="360" w:lineRule="auto"/>
    </w:pPr>
    <w:rPr>
      <w:rFonts w:eastAsia="黑体"/>
      <w:sz w:val="20"/>
    </w:rPr>
  </w:style>
  <w:style w:type="paragraph" w:customStyle="1" w:styleId="82">
    <w:name w:val="Body Text 2"/>
    <w:basedOn w:val="1"/>
    <w:autoRedefine/>
    <w:qFormat/>
    <w:uiPriority w:val="0"/>
    <w:pPr>
      <w:adjustRightInd w:val="0"/>
      <w:spacing w:before="120" w:beforeLines="0" w:beforeAutospacing="0" w:line="360" w:lineRule="auto"/>
      <w:ind w:firstLine="480"/>
      <w:textAlignment w:val="baseline"/>
    </w:pPr>
    <w:rPr>
      <w:sz w:val="24"/>
    </w:rPr>
  </w:style>
  <w:style w:type="paragraph" w:customStyle="1" w:styleId="83">
    <w:name w:val="附录2"/>
    <w:basedOn w:val="1"/>
    <w:next w:val="1"/>
    <w:autoRedefine/>
    <w:qFormat/>
    <w:uiPriority w:val="0"/>
    <w:pPr>
      <w:tabs>
        <w:tab w:val="left" w:pos="420"/>
        <w:tab w:val="left" w:pos="624"/>
      </w:tabs>
      <w:ind w:left="420" w:hanging="420"/>
      <w:outlineLvl w:val="1"/>
    </w:pPr>
    <w:rPr>
      <w:rFonts w:ascii="黑体" w:hAnsi="黑体" w:eastAsia="黑体"/>
      <w:b/>
      <w:sz w:val="32"/>
    </w:rPr>
  </w:style>
  <w:style w:type="paragraph" w:customStyle="1" w:styleId="84">
    <w:name w:val="Body Text Indent 2"/>
    <w:basedOn w:val="1"/>
    <w:autoRedefine/>
    <w:qFormat/>
    <w:uiPriority w:val="0"/>
    <w:pPr>
      <w:adjustRightInd w:val="0"/>
      <w:spacing w:before="120" w:beforeLines="0" w:beforeAutospacing="0"/>
      <w:ind w:firstLine="420"/>
      <w:textAlignment w:val="baseline"/>
    </w:pPr>
    <w:rPr>
      <w:sz w:val="24"/>
    </w:rPr>
  </w:style>
  <w:style w:type="paragraph" w:customStyle="1" w:styleId="85">
    <w:name w:val="_"/>
    <w:basedOn w:val="1"/>
    <w:autoRedefine/>
    <w:qFormat/>
    <w:uiPriority w:val="0"/>
    <w:pPr>
      <w:adjustRightInd w:val="0"/>
      <w:spacing w:line="360" w:lineRule="auto"/>
      <w:ind w:left="480" w:firstLine="200" w:firstLineChars="200"/>
      <w:textAlignment w:val="baseline"/>
    </w:pPr>
    <w:rPr>
      <w:kern w:val="0"/>
      <w:sz w:val="24"/>
    </w:rPr>
  </w:style>
  <w:style w:type="paragraph" w:customStyle="1" w:styleId="86">
    <w:name w:val="内容标题"/>
    <w:basedOn w:val="18"/>
    <w:autoRedefine/>
    <w:qFormat/>
    <w:uiPriority w:val="0"/>
    <w:rPr>
      <w:rFonts w:ascii="Tahoma" w:hAnsi="Tahoma"/>
      <w:sz w:val="24"/>
    </w:rPr>
  </w:style>
  <w:style w:type="paragraph" w:customStyle="1" w:styleId="87">
    <w:name w:val="文本框样式1"/>
    <w:basedOn w:val="1"/>
    <w:autoRedefine/>
    <w:qFormat/>
    <w:uiPriority w:val="0"/>
    <w:pPr>
      <w:adjustRightInd w:val="0"/>
      <w:snapToGrid w:val="0"/>
      <w:spacing w:before="60" w:beforeLines="0" w:beforeAutospacing="0" w:line="180" w:lineRule="exact"/>
      <w:jc w:val="center"/>
    </w:pPr>
    <w:rPr>
      <w:sz w:val="21"/>
    </w:rPr>
  </w:style>
  <w:style w:type="paragraph" w:customStyle="1" w:styleId="88">
    <w:name w:val="段落正文"/>
    <w:basedOn w:val="1"/>
    <w:autoRedefine/>
    <w:qFormat/>
    <w:uiPriority w:val="0"/>
    <w:pPr>
      <w:spacing w:before="156" w:beforeLines="50" w:beforeAutospacing="0" w:line="360" w:lineRule="auto"/>
      <w:ind w:firstLine="200" w:firstLineChars="200"/>
    </w:pPr>
    <w:rPr>
      <w:spacing w:val="2"/>
      <w:sz w:val="24"/>
    </w:rPr>
  </w:style>
  <w:style w:type="paragraph" w:customStyle="1" w:styleId="89">
    <w:name w:val="正文字缩2字"/>
    <w:basedOn w:val="1"/>
    <w:autoRedefine/>
    <w:qFormat/>
    <w:uiPriority w:val="0"/>
    <w:pPr>
      <w:spacing w:before="60" w:beforeLines="0" w:beforeAutospacing="0" w:after="60" w:afterLines="0" w:afterAutospacing="0" w:line="360" w:lineRule="auto"/>
      <w:ind w:left="200" w:leftChars="200" w:firstLine="200" w:firstLineChars="200"/>
    </w:pPr>
    <w:rPr>
      <w:sz w:val="24"/>
    </w:rPr>
  </w:style>
  <w:style w:type="paragraph" w:customStyle="1" w:styleId="90">
    <w:name w:val="Table Heading"/>
    <w:autoRedefine/>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91">
    <w:name w:val="表号"/>
    <w:basedOn w:val="1"/>
    <w:autoRedefine/>
    <w:qFormat/>
    <w:uiPriority w:val="0"/>
    <w:pPr>
      <w:numPr>
        <w:ilvl w:val="0"/>
        <w:numId w:val="5"/>
      </w:numPr>
      <w:tabs>
        <w:tab w:val="left" w:pos="648"/>
        <w:tab w:val="clear" w:pos="360"/>
      </w:tabs>
      <w:autoSpaceDE w:val="0"/>
      <w:autoSpaceDN w:val="0"/>
      <w:adjustRightInd w:val="0"/>
      <w:spacing w:before="210" w:beforeLines="0" w:after="210" w:afterLines="0"/>
      <w:ind w:left="425" w:hanging="137"/>
      <w:jc w:val="center"/>
    </w:pPr>
    <w:rPr>
      <w:kern w:val="0"/>
      <w:sz w:val="21"/>
      <w:lang w:eastAsia="en-US"/>
    </w:rPr>
  </w:style>
  <w:style w:type="paragraph" w:customStyle="1" w:styleId="92">
    <w:name w:val="首行缩进"/>
    <w:basedOn w:val="1"/>
    <w:autoRedefine/>
    <w:qFormat/>
    <w:uiPriority w:val="0"/>
    <w:pPr>
      <w:numPr>
        <w:ilvl w:val="0"/>
        <w:numId w:val="6"/>
      </w:numPr>
      <w:spacing w:line="360" w:lineRule="auto"/>
    </w:pPr>
    <w:rPr>
      <w:rFonts w:eastAsia="仿宋_GB2312"/>
    </w:rPr>
  </w:style>
  <w:style w:type="paragraph" w:customStyle="1" w:styleId="93">
    <w:name w:val="Table Text Char Char"/>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94">
    <w:name w:val="_Style 90"/>
    <w:autoRedefine/>
    <w:qFormat/>
    <w:uiPriority w:val="0"/>
    <w:rPr>
      <w:rFonts w:ascii="Times New Roman" w:hAnsi="Times New Roman" w:eastAsia="宋体" w:cs="Times New Roman"/>
      <w:kern w:val="2"/>
      <w:sz w:val="21"/>
      <w:lang w:val="en-US" w:eastAsia="zh-CN" w:bidi="ar-SA"/>
    </w:rPr>
  </w:style>
  <w:style w:type="paragraph" w:customStyle="1" w:styleId="95">
    <w:name w:val="IN Feature"/>
    <w:next w:val="96"/>
    <w:autoRedefine/>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96">
    <w:name w:val="IN Step"/>
    <w:basedOn w:val="1"/>
    <w:autoRedefine/>
    <w:qFormat/>
    <w:uiPriority w:val="0"/>
    <w:pPr>
      <w:keepLines/>
      <w:widowControl/>
      <w:tabs>
        <w:tab w:val="left" w:pos="1134"/>
      </w:tabs>
      <w:spacing w:before="80" w:beforeLines="0" w:beforeAutospacing="0" w:after="80" w:afterLines="0" w:afterAutospacing="0" w:line="300" w:lineRule="auto"/>
      <w:ind w:left="1134" w:hanging="907"/>
      <w:outlineLvl w:val="8"/>
    </w:pPr>
    <w:rPr>
      <w:rFonts w:ascii="Arial" w:hAnsi="Arial"/>
      <w:kern w:val="0"/>
      <w:sz w:val="21"/>
    </w:rPr>
  </w:style>
  <w:style w:type="paragraph" w:customStyle="1" w:styleId="97">
    <w:name w:val="Char Char Char Char Char Char Char"/>
    <w:basedOn w:val="18"/>
    <w:autoRedefine/>
    <w:qFormat/>
    <w:uiPriority w:val="0"/>
    <w:rPr>
      <w:rFonts w:ascii="宋体" w:hAnsi="Tahoma"/>
    </w:rPr>
  </w:style>
  <w:style w:type="paragraph" w:customStyle="1" w:styleId="98">
    <w:name w:val="Pull Quote"/>
    <w:basedOn w:val="1"/>
    <w:autoRedefine/>
    <w:qFormat/>
    <w:uiPriority w:val="0"/>
    <w:pPr>
      <w:pBdr>
        <w:top w:val="single" w:color="auto" w:sz="18" w:space="12"/>
        <w:left w:val="single" w:color="FFFFFF" w:sz="6" w:space="12"/>
        <w:bottom w:val="single" w:color="auto" w:sz="6" w:space="12"/>
        <w:right w:val="single" w:color="FFFFFF" w:sz="6" w:space="12"/>
      </w:pBdr>
      <w:shd w:val="pct10" w:color="auto" w:fill="auto"/>
      <w:spacing w:before="120" w:beforeLines="0" w:beforeAutospacing="0" w:after="240" w:afterLines="0" w:afterAutospacing="0" w:line="288" w:lineRule="auto"/>
      <w:ind w:left="144" w:right="144"/>
      <w:jc w:val="center"/>
    </w:pPr>
    <w:rPr>
      <w:b/>
      <w:i/>
      <w:sz w:val="24"/>
    </w:rPr>
  </w:style>
  <w:style w:type="paragraph" w:customStyle="1" w:styleId="99">
    <w:name w:val="È±Ê¡ÎÄ±¾"/>
    <w:basedOn w:val="1"/>
    <w:autoRedefine/>
    <w:qFormat/>
    <w:uiPriority w:val="0"/>
    <w:pPr>
      <w:widowControl/>
      <w:overflowPunct w:val="0"/>
      <w:autoSpaceDE w:val="0"/>
      <w:autoSpaceDN w:val="0"/>
      <w:adjustRightInd w:val="0"/>
      <w:jc w:val="left"/>
      <w:textAlignment w:val="baseline"/>
    </w:pPr>
    <w:rPr>
      <w:kern w:val="0"/>
      <w:sz w:val="24"/>
    </w:rPr>
  </w:style>
  <w:style w:type="paragraph" w:customStyle="1" w:styleId="100">
    <w:name w:val="表格内文字"/>
    <w:basedOn w:val="31"/>
    <w:autoRedefine/>
    <w:qFormat/>
    <w:uiPriority w:val="0"/>
    <w:pPr>
      <w:adjustRightInd w:val="0"/>
    </w:pPr>
    <w:rPr>
      <w:color w:val="000000"/>
      <w:lang w:val="en-GB"/>
    </w:rPr>
  </w:style>
  <w:style w:type="paragraph" w:customStyle="1" w:styleId="101">
    <w:name w:val=" Char Char Char"/>
    <w:basedOn w:val="1"/>
    <w:autoRedefine/>
    <w:qFormat/>
    <w:uiPriority w:val="0"/>
    <w:rPr>
      <w:rFonts w:ascii="Tahoma" w:hAnsi="Tahoma"/>
      <w:sz w:val="24"/>
    </w:rPr>
  </w:style>
  <w:style w:type="paragraph" w:customStyle="1" w:styleId="102">
    <w:name w:val="Char"/>
    <w:basedOn w:val="1"/>
    <w:autoRedefine/>
    <w:qFormat/>
    <w:uiPriority w:val="0"/>
    <w:pPr>
      <w:spacing w:line="240" w:lineRule="atLeast"/>
      <w:ind w:left="420" w:firstLine="420"/>
    </w:pPr>
    <w:rPr>
      <w:kern w:val="0"/>
      <w:sz w:val="21"/>
    </w:rPr>
  </w:style>
  <w:style w:type="paragraph" w:customStyle="1" w:styleId="103">
    <w:name w:val="CSS1级正文 Char"/>
    <w:basedOn w:val="23"/>
    <w:autoRedefine/>
    <w:qFormat/>
    <w:uiPriority w:val="0"/>
    <w:pPr>
      <w:adjustRightInd w:val="0"/>
      <w:snapToGrid w:val="0"/>
      <w:spacing w:line="360" w:lineRule="auto"/>
      <w:ind w:firstLine="480"/>
    </w:pPr>
    <w:rPr>
      <w:rFonts w:ascii="Times New Roman" w:eastAsia="宋体"/>
      <w:sz w:val="24"/>
    </w:rPr>
  </w:style>
  <w:style w:type="paragraph" w:customStyle="1" w:styleId="104">
    <w:name w:val=" Char Char14 Char Char"/>
    <w:basedOn w:val="1"/>
    <w:autoRedefine/>
    <w:qFormat/>
    <w:uiPriority w:val="0"/>
    <w:rPr>
      <w:sz w:val="21"/>
      <w:szCs w:val="24"/>
    </w:rPr>
  </w:style>
  <w:style w:type="paragraph" w:customStyle="1" w:styleId="105">
    <w:name w:val="没有缩进（为图形使用）"/>
    <w:basedOn w:val="1"/>
    <w:autoRedefine/>
    <w:qFormat/>
    <w:uiPriority w:val="0"/>
    <w:pPr>
      <w:spacing w:before="120" w:beforeLines="0" w:beforeAutospacing="0" w:after="120" w:afterLines="0" w:afterAutospacing="0" w:line="360" w:lineRule="auto"/>
    </w:pPr>
    <w:rPr>
      <w:sz w:val="24"/>
    </w:rPr>
  </w:style>
  <w:style w:type="paragraph" w:customStyle="1" w:styleId="106">
    <w:name w:val="Table Description"/>
    <w:next w:val="1"/>
    <w:autoRedefine/>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07">
    <w:name w:val="缺省文本"/>
    <w:basedOn w:val="1"/>
    <w:autoRedefine/>
    <w:qFormat/>
    <w:uiPriority w:val="0"/>
    <w:pPr>
      <w:tabs>
        <w:tab w:val="left" w:pos="1260"/>
      </w:tabs>
      <w:autoSpaceDE w:val="0"/>
      <w:autoSpaceDN w:val="0"/>
      <w:adjustRightInd w:val="0"/>
      <w:spacing w:line="360" w:lineRule="auto"/>
      <w:jc w:val="left"/>
    </w:pPr>
    <w:rPr>
      <w:kern w:val="0"/>
      <w:sz w:val="24"/>
    </w:rPr>
  </w:style>
  <w:style w:type="paragraph" w:customStyle="1" w:styleId="108">
    <w:name w:val="默认段落字体 Para Char Char Char Char Char Char Char"/>
    <w:basedOn w:val="1"/>
    <w:autoRedefine/>
    <w:qFormat/>
    <w:uiPriority w:val="0"/>
    <w:rPr>
      <w:rFonts w:ascii="Tahoma" w:hAnsi="Tahoma"/>
      <w:sz w:val="24"/>
    </w:rPr>
  </w:style>
  <w:style w:type="paragraph" w:customStyle="1" w:styleId="109">
    <w:name w:val="样式 样式 正文首行缩进 2 + 左  0 字符 + 首行缩进:  2.57 字符"/>
    <w:basedOn w:val="1"/>
    <w:next w:val="1"/>
    <w:autoRedefine/>
    <w:qFormat/>
    <w:uiPriority w:val="0"/>
    <w:pPr>
      <w:adjustRightInd w:val="0"/>
      <w:snapToGrid w:val="0"/>
      <w:spacing w:after="120" w:afterLines="0" w:afterAutospacing="0"/>
      <w:ind w:firstLine="540" w:firstLineChars="257"/>
    </w:pPr>
    <w:rPr>
      <w:sz w:val="21"/>
    </w:rPr>
  </w:style>
  <w:style w:type="paragraph" w:customStyle="1" w:styleId="110">
    <w:name w:val="编号正文"/>
    <w:basedOn w:val="73"/>
    <w:autoRedefine/>
    <w:qFormat/>
    <w:uiPriority w:val="0"/>
    <w:pPr>
      <w:snapToGrid/>
      <w:spacing w:line="360" w:lineRule="auto"/>
      <w:ind w:left="1407" w:hanging="1047"/>
      <w:jc w:val="left"/>
    </w:pPr>
    <w:rPr>
      <w:rFonts w:eastAsia="仿宋_GB2312"/>
    </w:rPr>
  </w:style>
  <w:style w:type="paragraph" w:customStyle="1" w:styleId="111">
    <w:name w:val="样式2"/>
    <w:basedOn w:val="6"/>
    <w:autoRedefine/>
    <w:qFormat/>
    <w:uiPriority w:val="0"/>
    <w:pPr>
      <w:numPr>
        <w:ilvl w:val="0"/>
        <w:numId w:val="7"/>
      </w:numPr>
      <w:spacing w:before="560" w:beforeLines="0" w:line="400" w:lineRule="exact"/>
      <w:jc w:val="center"/>
      <w:outlineLvl w:val="0"/>
    </w:pPr>
    <w:rPr>
      <w:b w:val="0"/>
      <w:sz w:val="44"/>
    </w:rPr>
  </w:style>
  <w:style w:type="paragraph" w:customStyle="1" w:styleId="112">
    <w:name w:val="表格文本"/>
    <w:autoRedefine/>
    <w:qFormat/>
    <w:uiPriority w:val="0"/>
    <w:pPr>
      <w:tabs>
        <w:tab w:val="decimal" w:pos="0"/>
      </w:tabs>
    </w:pPr>
    <w:rPr>
      <w:rFonts w:ascii="Arial" w:hAnsi="Arial" w:eastAsia="宋体" w:cs="Times New Roman"/>
      <w:sz w:val="21"/>
      <w:lang w:val="en-US" w:eastAsia="zh-CN" w:bidi="ar-SA"/>
    </w:rPr>
  </w:style>
  <w:style w:type="paragraph" w:customStyle="1" w:styleId="113">
    <w:name w:val="Item Step in Table"/>
    <w:autoRedefine/>
    <w:qFormat/>
    <w:uiPriority w:val="0"/>
    <w:pPr>
      <w:numPr>
        <w:ilvl w:val="0"/>
        <w:numId w:val="8"/>
      </w:numPr>
      <w:tabs>
        <w:tab w:val="left" w:pos="397"/>
      </w:tabs>
      <w:spacing w:before="40" w:after="40"/>
      <w:jc w:val="both"/>
    </w:pPr>
    <w:rPr>
      <w:rFonts w:ascii="Arial" w:hAnsi="Arial" w:eastAsia="宋体" w:cs="Times New Roman"/>
      <w:sz w:val="18"/>
      <w:lang w:val="en-US" w:eastAsia="zh-CN" w:bidi="ar-SA"/>
    </w:rPr>
  </w:style>
  <w:style w:type="paragraph" w:customStyle="1" w:styleId="114">
    <w:name w:val="Item List"/>
    <w:autoRedefine/>
    <w:qFormat/>
    <w:uiPriority w:val="0"/>
    <w:pPr>
      <w:numPr>
        <w:ilvl w:val="0"/>
        <w:numId w:val="9"/>
      </w:numPr>
      <w:spacing w:line="300" w:lineRule="auto"/>
      <w:jc w:val="both"/>
    </w:pPr>
    <w:rPr>
      <w:rFonts w:ascii="Arial" w:hAnsi="Arial" w:eastAsia="宋体" w:cs="Times New Roman"/>
      <w:sz w:val="21"/>
      <w:lang w:val="en-US" w:eastAsia="zh-CN" w:bidi="ar-SA"/>
    </w:rPr>
  </w:style>
  <w:style w:type="paragraph" w:customStyle="1" w:styleId="115">
    <w:name w:val="文字"/>
    <w:basedOn w:val="1"/>
    <w:link w:val="244"/>
    <w:autoRedefine/>
    <w:qFormat/>
    <w:uiPriority w:val="0"/>
    <w:pPr>
      <w:tabs>
        <w:tab w:val="left" w:pos="8520"/>
      </w:tabs>
      <w:spacing w:line="312" w:lineRule="auto"/>
      <w:ind w:right="-210" w:firstLine="556"/>
    </w:pPr>
    <w:rPr>
      <w:rFonts w:ascii="宋体"/>
    </w:rPr>
  </w:style>
  <w:style w:type="paragraph" w:customStyle="1" w:styleId="116">
    <w:name w:val="首行缩进 1"/>
    <w:basedOn w:val="1"/>
    <w:autoRedefine/>
    <w:qFormat/>
    <w:uiPriority w:val="0"/>
    <w:pPr>
      <w:spacing w:after="120" w:afterLines="0" w:afterAutospacing="0" w:line="360" w:lineRule="auto"/>
      <w:ind w:firstLine="200" w:firstLineChars="200"/>
    </w:pPr>
    <w:rPr>
      <w:sz w:val="24"/>
    </w:rPr>
  </w:style>
  <w:style w:type="paragraph" w:customStyle="1" w:styleId="117">
    <w:name w:val="style1"/>
    <w:basedOn w:val="1"/>
    <w:autoRedefine/>
    <w:qFormat/>
    <w:uiPriority w:val="0"/>
    <w:pPr>
      <w:widowControl/>
      <w:spacing w:before="100" w:beforeLines="0" w:beforeAutospacing="1" w:after="100" w:afterLines="0" w:afterAutospacing="1"/>
      <w:jc w:val="left"/>
    </w:pPr>
    <w:rPr>
      <w:rFonts w:ascii="宋体" w:hAnsi="宋体"/>
      <w:kern w:val="0"/>
      <w:sz w:val="21"/>
    </w:rPr>
  </w:style>
  <w:style w:type="paragraph" w:customStyle="1" w:styleId="118">
    <w:name w:val="正文 + 三号"/>
    <w:basedOn w:val="1"/>
    <w:autoRedefine/>
    <w:qFormat/>
    <w:uiPriority w:val="0"/>
    <w:rPr>
      <w:sz w:val="21"/>
    </w:rPr>
  </w:style>
  <w:style w:type="paragraph" w:customStyle="1" w:styleId="119">
    <w:name w:val=" Char2 Char Char Char Char Char Char"/>
    <w:basedOn w:val="1"/>
    <w:autoRedefine/>
    <w:qFormat/>
    <w:uiPriority w:val="0"/>
    <w:rPr>
      <w:rFonts w:ascii="仿宋_GB2312"/>
      <w:b/>
      <w:sz w:val="30"/>
    </w:rPr>
  </w:style>
  <w:style w:type="paragraph" w:customStyle="1" w:styleId="120">
    <w:name w:val="Table Text"/>
    <w:link w:val="209"/>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21">
    <w:name w:val="正文（首行不缩进）"/>
    <w:basedOn w:val="1"/>
    <w:autoRedefine/>
    <w:qFormat/>
    <w:uiPriority w:val="0"/>
    <w:pPr>
      <w:autoSpaceDE w:val="0"/>
      <w:autoSpaceDN w:val="0"/>
      <w:adjustRightInd w:val="0"/>
      <w:spacing w:line="360" w:lineRule="auto"/>
      <w:jc w:val="left"/>
    </w:pPr>
    <w:rPr>
      <w:kern w:val="0"/>
      <w:sz w:val="21"/>
    </w:rPr>
  </w:style>
  <w:style w:type="paragraph" w:customStyle="1" w:styleId="122">
    <w:name w:val="样式 宋体 五号 两端对齐 行距: 单倍行距"/>
    <w:basedOn w:val="1"/>
    <w:autoRedefine/>
    <w:qFormat/>
    <w:uiPriority w:val="0"/>
    <w:pPr>
      <w:adjustRightInd w:val="0"/>
      <w:textAlignment w:val="baseline"/>
    </w:pPr>
    <w:rPr>
      <w:rFonts w:ascii="宋体" w:hAnsi="宋体"/>
      <w:kern w:val="0"/>
      <w:sz w:val="21"/>
    </w:rPr>
  </w:style>
  <w:style w:type="paragraph" w:customStyle="1" w:styleId="123">
    <w:name w:val=" Char Char1 Char Char Char Char Char Char Char Char Char Char Char Char Char Char"/>
    <w:basedOn w:val="1"/>
    <w:autoRedefine/>
    <w:qFormat/>
    <w:uiPriority w:val="0"/>
    <w:pPr>
      <w:widowControl/>
      <w:spacing w:after="160" w:afterLines="0" w:afterAutospacing="0" w:line="240" w:lineRule="exact"/>
      <w:jc w:val="left"/>
    </w:pPr>
    <w:rPr>
      <w:rFonts w:ascii="Verdana" w:hAnsi="Verdana"/>
      <w:kern w:val="0"/>
      <w:sz w:val="20"/>
      <w:lang w:eastAsia="en-US"/>
    </w:rPr>
  </w:style>
  <w:style w:type="paragraph" w:customStyle="1" w:styleId="124">
    <w:name w:val="文本1"/>
    <w:basedOn w:val="1"/>
    <w:autoRedefine/>
    <w:qFormat/>
    <w:uiPriority w:val="0"/>
    <w:pPr>
      <w:adjustRightInd w:val="0"/>
      <w:spacing w:line="312" w:lineRule="atLeast"/>
      <w:jc w:val="center"/>
      <w:textAlignment w:val="baseline"/>
    </w:pPr>
    <w:rPr>
      <w:kern w:val="0"/>
      <w:sz w:val="18"/>
    </w:rPr>
  </w:style>
  <w:style w:type="paragraph" w:customStyle="1" w:styleId="125">
    <w:name w:val="项目"/>
    <w:basedOn w:val="1"/>
    <w:autoRedefine/>
    <w:qFormat/>
    <w:uiPriority w:val="0"/>
    <w:pPr>
      <w:tabs>
        <w:tab w:val="left" w:pos="1280"/>
      </w:tabs>
      <w:spacing w:before="120" w:beforeLines="0" w:beforeAutospacing="0" w:after="120" w:afterLines="0" w:afterAutospacing="0" w:line="360" w:lineRule="auto"/>
      <w:ind w:left="-7" w:firstLine="567"/>
      <w:jc w:val="left"/>
      <w:textAlignment w:val="baseline"/>
    </w:pPr>
    <w:rPr>
      <w:rFonts w:ascii="宋体"/>
      <w:kern w:val="0"/>
      <w:sz w:val="24"/>
    </w:rPr>
  </w:style>
  <w:style w:type="paragraph" w:customStyle="1" w:styleId="126">
    <w:name w:val=" Char1 Char Char Char"/>
    <w:basedOn w:val="1"/>
    <w:autoRedefine/>
    <w:qFormat/>
    <w:uiPriority w:val="0"/>
    <w:rPr>
      <w:rFonts w:ascii="Tahoma" w:hAnsi="Tahoma"/>
      <w:sz w:val="24"/>
    </w:rPr>
  </w:style>
  <w:style w:type="paragraph" w:customStyle="1" w:styleId="127">
    <w:name w:val="样式4"/>
    <w:basedOn w:val="6"/>
    <w:autoRedefine/>
    <w:qFormat/>
    <w:uiPriority w:val="0"/>
    <w:pPr>
      <w:adjustRightInd w:val="0"/>
      <w:snapToGrid w:val="0"/>
    </w:pPr>
  </w:style>
  <w:style w:type="paragraph" w:customStyle="1" w:styleId="128">
    <w:name w:val="Title - Date"/>
    <w:basedOn w:val="56"/>
    <w:next w:val="1"/>
    <w:autoRedefine/>
    <w:qFormat/>
    <w:uiPriority w:val="0"/>
    <w:pPr>
      <w:spacing w:before="240" w:beforeLines="0" w:beforeAutospacing="0" w:after="720" w:afterLines="0" w:afterAutospacing="0"/>
    </w:pPr>
    <w:rPr>
      <w:sz w:val="28"/>
    </w:rPr>
  </w:style>
  <w:style w:type="paragraph" w:customStyle="1" w:styleId="129">
    <w:name w:val="列表项目"/>
    <w:basedOn w:val="1"/>
    <w:autoRedefine/>
    <w:qFormat/>
    <w:uiPriority w:val="0"/>
    <w:pPr>
      <w:tabs>
        <w:tab w:val="left" w:pos="420"/>
      </w:tabs>
      <w:spacing w:line="288" w:lineRule="auto"/>
      <w:ind w:left="840" w:leftChars="200" w:hanging="420" w:hangingChars="200"/>
    </w:pPr>
    <w:rPr>
      <w:sz w:val="21"/>
    </w:rPr>
  </w:style>
  <w:style w:type="paragraph" w:customStyle="1" w:styleId="130">
    <w:name w:val="Table Text Char1"/>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31">
    <w:name w:val="xl27"/>
    <w:basedOn w:val="1"/>
    <w:autoRedefine/>
    <w:qFormat/>
    <w:uiPriority w:val="0"/>
    <w:pPr>
      <w:widowControl/>
      <w:pBdr>
        <w:left w:val="single" w:color="auto" w:sz="8"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1"/>
    </w:rPr>
  </w:style>
  <w:style w:type="paragraph" w:customStyle="1" w:styleId="132">
    <w:name w:val="操作步骤"/>
    <w:basedOn w:val="1"/>
    <w:autoRedefine/>
    <w:qFormat/>
    <w:uiPriority w:val="0"/>
    <w:pPr>
      <w:numPr>
        <w:ilvl w:val="0"/>
        <w:numId w:val="10"/>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33">
    <w:name w:val="标题3——2"/>
    <w:basedOn w:val="5"/>
    <w:next w:val="58"/>
    <w:autoRedefine/>
    <w:qFormat/>
    <w:uiPriority w:val="0"/>
    <w:pPr>
      <w:tabs>
        <w:tab w:val="left" w:pos="1280"/>
        <w:tab w:val="right" w:leader="dot" w:pos="8777"/>
      </w:tabs>
      <w:spacing w:before="312" w:beforeLines="100" w:beforeAutospacing="0" w:after="0" w:afterLines="0" w:afterAutospacing="0" w:line="240" w:lineRule="auto"/>
      <w:ind w:left="851" w:hanging="851"/>
      <w:outlineLvl w:val="9"/>
    </w:pPr>
    <w:rPr>
      <w:rFonts w:ascii="黑体" w:hAnsi="宋体" w:eastAsia="黑体"/>
      <w:sz w:val="30"/>
    </w:rPr>
  </w:style>
  <w:style w:type="paragraph" w:customStyle="1" w:styleId="134">
    <w:name w:val="附录4"/>
    <w:basedOn w:val="1"/>
    <w:next w:val="1"/>
    <w:autoRedefine/>
    <w:qFormat/>
    <w:uiPriority w:val="0"/>
    <w:pPr>
      <w:widowControl/>
      <w:numPr>
        <w:ilvl w:val="0"/>
        <w:numId w:val="0"/>
      </w:numPr>
      <w:tabs>
        <w:tab w:val="left" w:pos="1134"/>
      </w:tabs>
      <w:spacing w:line="300" w:lineRule="auto"/>
      <w:ind w:left="1361" w:hanging="1361"/>
      <w:outlineLvl w:val="3"/>
    </w:pPr>
    <w:rPr>
      <w:rFonts w:ascii="Arial" w:hAnsi="Arial" w:eastAsia="黑体"/>
      <w:kern w:val="0"/>
    </w:rPr>
  </w:style>
  <w:style w:type="paragraph" w:customStyle="1" w:styleId="135">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6">
    <w:name w:val="tabletext"/>
    <w:basedOn w:val="1"/>
    <w:autoRedefine/>
    <w:qFormat/>
    <w:uiPriority w:val="0"/>
    <w:pPr>
      <w:widowControl/>
      <w:spacing w:before="100" w:beforeLines="0" w:beforeAutospacing="1" w:after="100" w:afterLines="0" w:afterAutospacing="1"/>
      <w:jc w:val="left"/>
    </w:pPr>
    <w:rPr>
      <w:rFonts w:ascii="宋体" w:hAnsi="宋体" w:cs="宋体"/>
      <w:kern w:val="0"/>
      <w:sz w:val="24"/>
      <w:szCs w:val="24"/>
    </w:rPr>
  </w:style>
  <w:style w:type="paragraph" w:customStyle="1" w:styleId="137">
    <w:name w:val="正文表格"/>
    <w:basedOn w:val="1"/>
    <w:autoRedefine/>
    <w:qFormat/>
    <w:uiPriority w:val="0"/>
    <w:pPr>
      <w:adjustRightInd w:val="0"/>
      <w:spacing w:before="40" w:beforeLines="0" w:beforeAutospacing="0" w:after="40" w:afterLines="0" w:afterAutospacing="0"/>
    </w:pPr>
    <w:rPr>
      <w:sz w:val="24"/>
    </w:rPr>
  </w:style>
  <w:style w:type="paragraph" w:customStyle="1" w:styleId="138">
    <w:name w:val="附录1"/>
    <w:basedOn w:val="1"/>
    <w:next w:val="1"/>
    <w:autoRedefine/>
    <w:qFormat/>
    <w:uiPriority w:val="0"/>
    <w:pPr>
      <w:tabs>
        <w:tab w:val="left" w:pos="1304"/>
      </w:tabs>
      <w:ind w:left="425" w:hanging="425"/>
      <w:outlineLvl w:val="0"/>
    </w:pPr>
    <w:rPr>
      <w:rFonts w:ascii="黑体" w:hAnsi="黑体" w:eastAsia="黑体"/>
      <w:b/>
      <w:sz w:val="44"/>
    </w:rPr>
  </w:style>
  <w:style w:type="paragraph" w:customStyle="1" w:styleId="139">
    <w:name w:val="Item Step"/>
    <w:autoRedefine/>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140">
    <w:name w:val="正文格式"/>
    <w:basedOn w:val="1"/>
    <w:autoRedefine/>
    <w:qFormat/>
    <w:uiPriority w:val="0"/>
    <w:pPr>
      <w:widowControl/>
      <w:adjustRightInd w:val="0"/>
      <w:snapToGrid w:val="0"/>
      <w:spacing w:before="60" w:beforeLines="0" w:beforeAutospacing="0" w:line="360" w:lineRule="auto"/>
      <w:ind w:firstLine="480" w:firstLineChars="200"/>
      <w:jc w:val="left"/>
      <w:textAlignment w:val="baseline"/>
    </w:pPr>
    <w:rPr>
      <w:rFonts w:ascii="宋体" w:hAnsi="宋体"/>
      <w:color w:val="000000"/>
      <w:kern w:val="0"/>
      <w:sz w:val="24"/>
    </w:rPr>
  </w:style>
  <w:style w:type="paragraph" w:customStyle="1" w:styleId="141">
    <w:name w:val="可研正文"/>
    <w:basedOn w:val="23"/>
    <w:autoRedefine/>
    <w:qFormat/>
    <w:uiPriority w:val="0"/>
    <w:pPr>
      <w:adjustRightInd w:val="0"/>
      <w:snapToGrid w:val="0"/>
      <w:spacing w:line="440" w:lineRule="exact"/>
      <w:ind w:firstLine="567"/>
    </w:pPr>
    <w:rPr>
      <w:sz w:val="28"/>
    </w:rPr>
  </w:style>
  <w:style w:type="paragraph" w:customStyle="1" w:styleId="142">
    <w:name w:val="bt"/>
    <w:basedOn w:val="1"/>
    <w:next w:val="23"/>
    <w:autoRedefine/>
    <w:qFormat/>
    <w:uiPriority w:val="0"/>
    <w:pPr>
      <w:numPr>
        <w:ilvl w:val="0"/>
        <w:numId w:val="0"/>
      </w:numPr>
      <w:overflowPunct w:val="0"/>
      <w:autoSpaceDE w:val="0"/>
      <w:autoSpaceDN w:val="0"/>
      <w:adjustRightInd w:val="0"/>
      <w:snapToGrid w:val="0"/>
      <w:spacing w:before="100" w:beforeLines="0" w:beforeAutospacing="0" w:after="100" w:afterLines="0" w:afterAutospacing="0" w:line="240" w:lineRule="atLeast"/>
      <w:ind w:left="2880" w:hanging="360"/>
      <w:textAlignment w:val="baseline"/>
    </w:pPr>
    <w:rPr>
      <w:rFonts w:ascii="宋体"/>
      <w:kern w:val="0"/>
      <w:sz w:val="20"/>
    </w:rPr>
  </w:style>
  <w:style w:type="paragraph" w:customStyle="1" w:styleId="143">
    <w:name w:val="图例"/>
    <w:basedOn w:val="1"/>
    <w:autoRedefine/>
    <w:qFormat/>
    <w:uiPriority w:val="0"/>
    <w:pPr>
      <w:spacing w:before="120" w:beforeLines="0" w:beforeAutospacing="0" w:after="120" w:afterLines="0" w:afterAutospacing="0" w:line="360" w:lineRule="auto"/>
      <w:jc w:val="center"/>
    </w:pPr>
    <w:rPr>
      <w:rFonts w:eastAsia="仿宋_GB2312"/>
      <w:b/>
      <w:sz w:val="24"/>
    </w:rPr>
  </w:style>
  <w:style w:type="paragraph" w:customStyle="1" w:styleId="144">
    <w:name w:val="摘要"/>
    <w:basedOn w:val="1"/>
    <w:next w:val="4"/>
    <w:autoRedefine/>
    <w:qFormat/>
    <w:uiPriority w:val="0"/>
    <w:pPr>
      <w:spacing w:line="360" w:lineRule="auto"/>
    </w:pPr>
    <w:rPr>
      <w:rFonts w:eastAsia="黑体"/>
      <w:sz w:val="20"/>
    </w:rPr>
  </w:style>
  <w:style w:type="paragraph" w:customStyle="1" w:styleId="145">
    <w:name w:val=" Char Char Char Char Char Char Char Char Char Char Char Char Char Char Char Char"/>
    <w:basedOn w:val="1"/>
    <w:autoRedefine/>
    <w:qFormat/>
    <w:uiPriority w:val="0"/>
    <w:pPr>
      <w:tabs>
        <w:tab w:val="left" w:pos="360"/>
      </w:tabs>
    </w:pPr>
    <w:rPr>
      <w:sz w:val="24"/>
    </w:rPr>
  </w:style>
  <w:style w:type="paragraph" w:customStyle="1" w:styleId="146">
    <w:name w:val="样式 行距: 1.5 倍行距1"/>
    <w:basedOn w:val="1"/>
    <w:autoRedefine/>
    <w:qFormat/>
    <w:uiPriority w:val="0"/>
    <w:pPr>
      <w:snapToGrid w:val="0"/>
    </w:pPr>
    <w:rPr>
      <w:sz w:val="21"/>
    </w:rPr>
  </w:style>
  <w:style w:type="paragraph" w:customStyle="1" w:styleId="147">
    <w:name w:val=" Char Char Char Char Char"/>
    <w:basedOn w:val="1"/>
    <w:autoRedefine/>
    <w:qFormat/>
    <w:uiPriority w:val="0"/>
    <w:pPr>
      <w:tabs>
        <w:tab w:val="left" w:pos="425"/>
      </w:tabs>
      <w:ind w:left="1620" w:hanging="360"/>
    </w:pPr>
    <w:rPr>
      <w:rFonts w:ascii="Tahoma" w:hAnsi="Tahoma"/>
      <w:sz w:val="24"/>
    </w:rPr>
  </w:style>
  <w:style w:type="paragraph" w:customStyle="1" w:styleId="148">
    <w:name w:val="普通正文"/>
    <w:basedOn w:val="1"/>
    <w:autoRedefine/>
    <w:qFormat/>
    <w:uiPriority w:val="0"/>
    <w:pPr>
      <w:adjustRightInd w:val="0"/>
      <w:spacing w:before="120" w:beforeLines="0" w:beforeAutospacing="0" w:after="120" w:afterLines="0" w:afterAutospacing="0" w:line="360" w:lineRule="auto"/>
      <w:ind w:firstLine="480"/>
      <w:jc w:val="left"/>
      <w:textAlignment w:val="baseline"/>
    </w:pPr>
    <w:rPr>
      <w:rFonts w:ascii="Arial" w:hAnsi="Arial"/>
      <w:kern w:val="0"/>
      <w:sz w:val="24"/>
    </w:rPr>
  </w:style>
  <w:style w:type="paragraph" w:customStyle="1" w:styleId="149">
    <w:name w:val="Figure Description"/>
    <w:next w:val="1"/>
    <w:autoRedefine/>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50">
    <w:name w:val="样式 标题 1 + 居中 段前: 6 磅 段后: 6 磅 行距: 1.5 倍行距"/>
    <w:basedOn w:val="3"/>
    <w:autoRedefine/>
    <w:qFormat/>
    <w:uiPriority w:val="0"/>
    <w:pPr>
      <w:keepLines/>
      <w:adjustRightInd w:val="0"/>
      <w:spacing w:before="120" w:beforeLines="0" w:beforeAutospacing="0" w:after="120" w:afterLines="0" w:afterAutospacing="0" w:line="360" w:lineRule="auto"/>
      <w:jc w:val="center"/>
    </w:pPr>
    <w:rPr>
      <w:rFonts w:ascii="Times New Roman"/>
      <w:b/>
      <w:kern w:val="44"/>
      <w:sz w:val="32"/>
    </w:rPr>
  </w:style>
  <w:style w:type="paragraph" w:customStyle="1" w:styleId="151">
    <w:name w:val="af"/>
    <w:basedOn w:val="1"/>
    <w:autoRedefine/>
    <w:qFormat/>
    <w:uiPriority w:val="0"/>
    <w:pPr>
      <w:widowControl/>
      <w:spacing w:line="300" w:lineRule="atLeast"/>
      <w:jc w:val="left"/>
    </w:pPr>
    <w:rPr>
      <w:rFonts w:ascii="宋体" w:hAnsi="宋体"/>
      <w:kern w:val="0"/>
      <w:sz w:val="18"/>
    </w:rPr>
  </w:style>
  <w:style w:type="paragraph" w:customStyle="1" w:styleId="152">
    <w:name w:val="样式 样式 首行缩进:  2 字符 + 首行缩进:  2 字符"/>
    <w:basedOn w:val="1"/>
    <w:autoRedefine/>
    <w:qFormat/>
    <w:uiPriority w:val="0"/>
    <w:pPr>
      <w:numPr>
        <w:ilvl w:val="0"/>
        <w:numId w:val="11"/>
      </w:numPr>
      <w:tabs>
        <w:tab w:val="clear" w:pos="1230"/>
      </w:tabs>
      <w:spacing w:line="360" w:lineRule="auto"/>
      <w:ind w:firstLine="480" w:firstLineChars="200"/>
    </w:pPr>
    <w:rPr>
      <w:sz w:val="24"/>
    </w:rPr>
  </w:style>
  <w:style w:type="paragraph" w:customStyle="1" w:styleId="153">
    <w:name w:val="章标题"/>
    <w:next w:val="1"/>
    <w:autoRedefine/>
    <w:qFormat/>
    <w:uiPriority w:val="0"/>
    <w:pPr>
      <w:numPr>
        <w:ilvl w:val="1"/>
        <w:numId w:val="8"/>
      </w:numPr>
      <w:spacing w:before="156" w:beforeLines="50" w:after="156" w:afterLines="50"/>
      <w:ind w:left="0"/>
      <w:jc w:val="both"/>
      <w:outlineLvl w:val="1"/>
    </w:pPr>
    <w:rPr>
      <w:rFonts w:ascii="黑体" w:hAnsi="Times New Roman" w:eastAsia="黑体" w:cs="Times New Roman"/>
      <w:sz w:val="24"/>
      <w:lang w:val="en-US" w:eastAsia="zh-CN" w:bidi="ar-SA"/>
    </w:rPr>
  </w:style>
  <w:style w:type="paragraph" w:customStyle="1" w:styleId="154">
    <w:name w:val="1"/>
    <w:basedOn w:val="1"/>
    <w:next w:val="31"/>
    <w:autoRedefine/>
    <w:qFormat/>
    <w:uiPriority w:val="0"/>
    <w:rPr>
      <w:rFonts w:ascii="宋体" w:hAnsi="Courier New"/>
      <w:sz w:val="21"/>
    </w:rPr>
  </w:style>
  <w:style w:type="paragraph" w:customStyle="1" w:styleId="155">
    <w:name w:val="样式 宋体 五号 行距: 单倍行距"/>
    <w:basedOn w:val="1"/>
    <w:autoRedefine/>
    <w:qFormat/>
    <w:uiPriority w:val="0"/>
    <w:pPr>
      <w:adjustRightInd w:val="0"/>
      <w:jc w:val="left"/>
    </w:pPr>
    <w:rPr>
      <w:rFonts w:ascii="宋体" w:hAnsi="宋体"/>
      <w:kern w:val="0"/>
      <w:sz w:val="21"/>
    </w:rPr>
  </w:style>
  <w:style w:type="paragraph" w:customStyle="1" w:styleId="156">
    <w:name w:val="样式 正文缩进正文（首行缩进两字）表正文正文非缩进特点标题4段1 + 首行缩进:  2 字符"/>
    <w:basedOn w:val="16"/>
    <w:autoRedefine/>
    <w:qFormat/>
    <w:uiPriority w:val="0"/>
    <w:pPr>
      <w:ind w:firstLine="480" w:firstLineChars="200"/>
    </w:pPr>
  </w:style>
  <w:style w:type="paragraph" w:customStyle="1" w:styleId="157">
    <w:name w:val="表头样式"/>
    <w:basedOn w:val="1"/>
    <w:autoRedefine/>
    <w:qFormat/>
    <w:uiPriority w:val="0"/>
    <w:pPr>
      <w:autoSpaceDE w:val="0"/>
      <w:autoSpaceDN w:val="0"/>
      <w:adjustRightInd w:val="0"/>
      <w:spacing w:line="360" w:lineRule="auto"/>
      <w:jc w:val="left"/>
    </w:pPr>
    <w:rPr>
      <w:b/>
      <w:kern w:val="0"/>
      <w:sz w:val="21"/>
    </w:rPr>
  </w:style>
  <w:style w:type="paragraph" w:customStyle="1" w:styleId="158">
    <w:name w:val="样式 首行缩进:  0.74 厘米"/>
    <w:basedOn w:val="1"/>
    <w:autoRedefine/>
    <w:qFormat/>
    <w:uiPriority w:val="0"/>
    <w:pPr>
      <w:spacing w:line="360" w:lineRule="auto"/>
      <w:ind w:firstLine="420"/>
    </w:pPr>
    <w:rPr>
      <w:sz w:val="24"/>
    </w:rPr>
  </w:style>
  <w:style w:type="paragraph" w:customStyle="1" w:styleId="159">
    <w:name w:val="正文4"/>
    <w:basedOn w:val="1"/>
    <w:autoRedefine/>
    <w:qFormat/>
    <w:uiPriority w:val="0"/>
    <w:pPr>
      <w:tabs>
        <w:tab w:val="left" w:pos="1275"/>
      </w:tabs>
      <w:spacing w:before="60" w:beforeLines="0" w:beforeAutospacing="0" w:after="60" w:afterLines="0" w:afterAutospacing="0" w:line="360" w:lineRule="auto"/>
      <w:ind w:left="820" w:leftChars="400" w:hanging="705"/>
    </w:pPr>
    <w:rPr>
      <w:sz w:val="24"/>
    </w:rPr>
  </w:style>
  <w:style w:type="paragraph" w:customStyle="1" w:styleId="160">
    <w:name w:val="样式1"/>
    <w:basedOn w:val="6"/>
    <w:autoRedefine/>
    <w:qFormat/>
    <w:uiPriority w:val="0"/>
    <w:pPr>
      <w:tabs>
        <w:tab w:val="left" w:pos="720"/>
      </w:tabs>
      <w:spacing w:before="500" w:beforeLines="0" w:beforeAutospacing="0" w:after="260" w:afterLines="0" w:afterAutospacing="0" w:line="560" w:lineRule="atLeast"/>
      <w:ind w:left="420" w:hanging="420"/>
    </w:pPr>
  </w:style>
  <w:style w:type="paragraph" w:customStyle="1" w:styleId="161">
    <w:name w:val=" Char Char1 Char"/>
    <w:basedOn w:val="1"/>
    <w:autoRedefine/>
    <w:qFormat/>
    <w:uiPriority w:val="0"/>
    <w:rPr>
      <w:rFonts w:ascii="Tahoma" w:hAnsi="Tahoma"/>
      <w:sz w:val="24"/>
      <w:szCs w:val="24"/>
    </w:rPr>
  </w:style>
  <w:style w:type="paragraph" w:customStyle="1" w:styleId="162">
    <w:name w:val="正文空2格  1."/>
    <w:basedOn w:val="1"/>
    <w:autoRedefine/>
    <w:qFormat/>
    <w:uiPriority w:val="0"/>
    <w:pPr>
      <w:adjustRightInd w:val="0"/>
      <w:spacing w:line="360" w:lineRule="auto"/>
      <w:ind w:firstLine="480" w:firstLineChars="200"/>
    </w:pPr>
    <w:rPr>
      <w:rFonts w:ascii="宋体" w:eastAsia="仿宋" w:cs="宋体"/>
      <w:kern w:val="0"/>
    </w:rPr>
  </w:style>
  <w:style w:type="paragraph" w:customStyle="1" w:styleId="163">
    <w:name w:val="1.正文"/>
    <w:basedOn w:val="1"/>
    <w:autoRedefine/>
    <w:qFormat/>
    <w:uiPriority w:val="0"/>
    <w:pPr>
      <w:spacing w:line="360" w:lineRule="auto"/>
      <w:ind w:left="540" w:leftChars="225" w:firstLine="540" w:firstLineChars="225"/>
    </w:pPr>
    <w:rPr>
      <w:sz w:val="24"/>
    </w:rPr>
  </w:style>
  <w:style w:type="paragraph" w:customStyle="1" w:styleId="164">
    <w:name w:val="样式 正文首行缩进 2 + 首行缩进:  2 字符"/>
    <w:basedOn w:val="1"/>
    <w:autoRedefine/>
    <w:qFormat/>
    <w:uiPriority w:val="0"/>
    <w:pPr>
      <w:numPr>
        <w:ilvl w:val="0"/>
        <w:numId w:val="12"/>
      </w:numPr>
      <w:adjustRightInd w:val="0"/>
      <w:snapToGrid w:val="0"/>
      <w:spacing w:line="360" w:lineRule="auto"/>
    </w:pPr>
    <w:rPr>
      <w:rFonts w:ascii="Arial" w:hAnsi="Arial"/>
      <w:b/>
      <w:sz w:val="24"/>
    </w:rPr>
  </w:style>
  <w:style w:type="paragraph" w:customStyle="1" w:styleId="165">
    <w:name w:val=" Char Char Char Char Char Char Char Char Char Char Char Char Char"/>
    <w:basedOn w:val="1"/>
    <w:autoRedefine/>
    <w:qFormat/>
    <w:uiPriority w:val="0"/>
    <w:pPr>
      <w:widowControl/>
      <w:spacing w:after="160" w:afterLines="0" w:afterAutospacing="0" w:line="240" w:lineRule="exact"/>
      <w:jc w:val="left"/>
    </w:pPr>
    <w:rPr>
      <w:rFonts w:ascii="Verdana" w:hAnsi="Verdana" w:eastAsia="仿宋_GB2312"/>
      <w:kern w:val="0"/>
      <w:sz w:val="24"/>
      <w:lang w:eastAsia="en-US"/>
    </w:rPr>
  </w:style>
  <w:style w:type="paragraph" w:customStyle="1" w:styleId="166">
    <w:name w:val="样式 标题 1章标题Heading 0Section HeadPIM 1H1h11st levell11H1..."/>
    <w:basedOn w:val="3"/>
    <w:autoRedefine/>
    <w:qFormat/>
    <w:uiPriority w:val="0"/>
    <w:pPr>
      <w:keepLines/>
      <w:pageBreakBefore/>
      <w:tabs>
        <w:tab w:val="left" w:pos="432"/>
      </w:tabs>
      <w:autoSpaceDE w:val="0"/>
      <w:autoSpaceDN w:val="0"/>
      <w:adjustRightInd w:val="0"/>
      <w:spacing w:before="340" w:beforeLines="0" w:beforeAutospacing="0" w:after="330" w:afterLines="0" w:afterAutospacing="0" w:line="578" w:lineRule="atLeast"/>
      <w:textAlignment w:val="bottom"/>
    </w:pPr>
    <w:rPr>
      <w:rFonts w:hAnsi="宋体" w:eastAsia="黑体"/>
      <w:b/>
      <w:kern w:val="44"/>
      <w:sz w:val="36"/>
    </w:rPr>
  </w:style>
  <w:style w:type="paragraph" w:customStyle="1" w:styleId="167">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8">
    <w:name w:val="4号宋体行距1.5缩进"/>
    <w:basedOn w:val="1"/>
    <w:autoRedefine/>
    <w:qFormat/>
    <w:uiPriority w:val="0"/>
    <w:pPr>
      <w:spacing w:line="360" w:lineRule="auto"/>
    </w:pPr>
    <w:rPr>
      <w:rFonts w:ascii="Verdana" w:hAnsi="Verdana" w:eastAsia="仿宋_GB2312" w:cs="宋体"/>
      <w:b/>
      <w:bCs/>
      <w:kern w:val="0"/>
      <w:szCs w:val="28"/>
    </w:rPr>
  </w:style>
  <w:style w:type="paragraph" w:customStyle="1" w:styleId="169">
    <w:name w:val="标书正文:  0.74 厘米"/>
    <w:basedOn w:val="1"/>
    <w:autoRedefine/>
    <w:qFormat/>
    <w:uiPriority w:val="0"/>
    <w:pPr>
      <w:snapToGrid w:val="0"/>
      <w:spacing w:line="360" w:lineRule="auto"/>
      <w:ind w:firstLine="420"/>
    </w:pPr>
    <w:rPr>
      <w:sz w:val="24"/>
    </w:rPr>
  </w:style>
  <w:style w:type="paragraph" w:customStyle="1" w:styleId="170">
    <w:name w:val="一级条标题"/>
    <w:basedOn w:val="153"/>
    <w:next w:val="167"/>
    <w:autoRedefine/>
    <w:qFormat/>
    <w:uiPriority w:val="0"/>
    <w:pPr>
      <w:numPr>
        <w:ilvl w:val="1"/>
        <w:numId w:val="0"/>
      </w:numPr>
      <w:spacing w:before="0" w:beforeLines="0" w:beforeAutospacing="0" w:after="0" w:afterLines="0" w:afterAutospacing="0"/>
      <w:ind w:left="525"/>
      <w:outlineLvl w:val="2"/>
    </w:pPr>
    <w:rPr>
      <w:sz w:val="21"/>
    </w:rPr>
  </w:style>
  <w:style w:type="paragraph" w:customStyle="1" w:styleId="171">
    <w:name w:val="样式 仿宋_GB2312 首行缩进:  2 字符"/>
    <w:basedOn w:val="1"/>
    <w:autoRedefine/>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172">
    <w:name w:val="图片文字"/>
    <w:basedOn w:val="1"/>
    <w:autoRedefine/>
    <w:qFormat/>
    <w:uiPriority w:val="0"/>
    <w:pPr>
      <w:spacing w:line="240" w:lineRule="atLeast"/>
      <w:jc w:val="center"/>
    </w:pPr>
    <w:rPr>
      <w:sz w:val="21"/>
    </w:rPr>
  </w:style>
  <w:style w:type="paragraph" w:customStyle="1" w:styleId="173">
    <w:name w:val="正文 A"/>
    <w:autoRedefine/>
    <w:qFormat/>
    <w:uiPriority w:val="0"/>
    <w:pPr>
      <w:framePr w:wrap="around" w:vAnchor="margin" w:hAnchor="text" w:y="1"/>
      <w:widowControl w:val="0"/>
      <w:jc w:val="both"/>
    </w:pPr>
    <w:rPr>
      <w:rFonts w:ascii="Arial Unicode MS" w:hAnsi="Arial Unicode MS" w:eastAsia="Times New Roman" w:cs="Arial Unicode MS"/>
      <w:color w:val="000000"/>
      <w:kern w:val="2"/>
      <w:sz w:val="21"/>
      <w:szCs w:val="21"/>
      <w:u w:val="none" w:color="000000"/>
      <w:lang w:val="en-US" w:eastAsia="zh-CN" w:bidi="ar-SA"/>
    </w:rPr>
  </w:style>
  <w:style w:type="paragraph" w:customStyle="1" w:styleId="174">
    <w:name w:val="Table Contents"/>
    <w:basedOn w:val="23"/>
    <w:autoRedefine/>
    <w:qFormat/>
    <w:uiPriority w:val="0"/>
    <w:pPr>
      <w:suppressAutoHyphens/>
      <w:jc w:val="left"/>
    </w:pPr>
    <w:rPr>
      <w:rFonts w:ascii="Times New Roman" w:eastAsia="Times New Roman"/>
      <w:kern w:val="0"/>
      <w:sz w:val="24"/>
    </w:rPr>
  </w:style>
  <w:style w:type="paragraph" w:customStyle="1" w:styleId="175">
    <w:name w:val="xl40"/>
    <w:basedOn w:val="1"/>
    <w:autoRedefine/>
    <w:qFormat/>
    <w:uiPriority w:val="0"/>
    <w:pPr>
      <w:widowControl/>
      <w:pBdr>
        <w:left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76">
    <w:name w:val="表文字"/>
    <w:autoRedefine/>
    <w:qFormat/>
    <w:uiPriority w:val="0"/>
    <w:rPr>
      <w:rFonts w:ascii="宋体" w:hAnsi="Times New Roman" w:eastAsia="宋体" w:cs="Times New Roman"/>
      <w:kern w:val="2"/>
      <w:lang w:val="en-US" w:eastAsia="zh-CN" w:bidi="ar-SA"/>
    </w:rPr>
  </w:style>
  <w:style w:type="paragraph" w:customStyle="1" w:styleId="177">
    <w:name w:val="默认段落字体 Para Char Char Char Char Char Char Char Char Char1 Char Char Char Char"/>
    <w:basedOn w:val="1"/>
    <w:autoRedefine/>
    <w:qFormat/>
    <w:uiPriority w:val="0"/>
    <w:rPr>
      <w:rFonts w:ascii="Tahoma" w:hAnsi="Tahoma"/>
      <w:sz w:val="24"/>
    </w:rPr>
  </w:style>
  <w:style w:type="paragraph" w:customStyle="1" w:styleId="178">
    <w:name w:val="文章正文"/>
    <w:basedOn w:val="1"/>
    <w:autoRedefine/>
    <w:qFormat/>
    <w:uiPriority w:val="0"/>
    <w:pPr>
      <w:ind w:firstLine="560" w:firstLineChars="200"/>
    </w:pPr>
    <w:rPr>
      <w:rFonts w:ascii="仿宋_GB2312" w:hAnsi="宋体" w:eastAsia="仿宋_GB2312"/>
      <w:color w:val="000000"/>
    </w:rPr>
  </w:style>
  <w:style w:type="paragraph" w:customStyle="1" w:styleId="179">
    <w:name w:val="二级列表"/>
    <w:basedOn w:val="88"/>
    <w:next w:val="88"/>
    <w:autoRedefine/>
    <w:qFormat/>
    <w:uiPriority w:val="0"/>
    <w:pPr>
      <w:tabs>
        <w:tab w:val="left" w:pos="2120"/>
      </w:tabs>
      <w:ind w:firstLine="0" w:firstLineChars="0"/>
    </w:pPr>
    <w:rPr>
      <w:b/>
    </w:rPr>
  </w:style>
  <w:style w:type="paragraph" w:customStyle="1" w:styleId="180">
    <w:name w:val=" Char1"/>
    <w:basedOn w:val="1"/>
    <w:autoRedefine/>
    <w:qFormat/>
    <w:uiPriority w:val="0"/>
    <w:rPr>
      <w:sz w:val="21"/>
    </w:rPr>
  </w:style>
  <w:style w:type="paragraph" w:customStyle="1" w:styleId="181">
    <w:name w:val="样式3"/>
    <w:basedOn w:val="3"/>
    <w:next w:val="3"/>
    <w:autoRedefine/>
    <w:qFormat/>
    <w:uiPriority w:val="0"/>
    <w:pPr>
      <w:keepLines/>
      <w:adjustRightInd w:val="0"/>
      <w:spacing w:before="340" w:beforeLines="0" w:beforeAutospacing="0" w:after="330" w:afterLines="0" w:afterAutospacing="0" w:line="576" w:lineRule="auto"/>
    </w:pPr>
    <w:rPr>
      <w:rFonts w:ascii="Times New Roman" w:eastAsia="黑体"/>
      <w:b/>
      <w:kern w:val="44"/>
      <w:sz w:val="44"/>
    </w:rPr>
  </w:style>
  <w:style w:type="paragraph" w:customStyle="1" w:styleId="182">
    <w:name w:val="样式 标题 6第五层条 + 三号 段前: 0.5 行"/>
    <w:basedOn w:val="8"/>
    <w:autoRedefine/>
    <w:qFormat/>
    <w:uiPriority w:val="0"/>
    <w:pPr>
      <w:widowControl/>
      <w:numPr>
        <w:ilvl w:val="0"/>
        <w:numId w:val="0"/>
      </w:numPr>
      <w:adjustRightInd/>
      <w:snapToGrid/>
      <w:spacing w:before="156" w:beforeLines="50" w:beforeAutospacing="0"/>
      <w:ind w:left="1152" w:hanging="1152"/>
      <w:jc w:val="left"/>
    </w:pPr>
    <w:rPr>
      <w:snapToGrid w:val="0"/>
      <w:kern w:val="24"/>
      <w:sz w:val="28"/>
    </w:rPr>
  </w:style>
  <w:style w:type="paragraph" w:customStyle="1" w:styleId="183">
    <w:name w:val="xl53"/>
    <w:basedOn w:val="1"/>
    <w:autoRedefine/>
    <w:qFormat/>
    <w:uiPriority w:val="0"/>
    <w:pPr>
      <w:widowControl/>
      <w:pBdr>
        <w:left w:val="single" w:color="auto" w:sz="4" w:space="0"/>
        <w:bottom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184">
    <w:name w:val="二级条标题"/>
    <w:basedOn w:val="170"/>
    <w:next w:val="167"/>
    <w:autoRedefine/>
    <w:qFormat/>
    <w:uiPriority w:val="0"/>
    <w:pPr>
      <w:ind w:left="840"/>
      <w:outlineLvl w:val="3"/>
    </w:pPr>
  </w:style>
  <w:style w:type="paragraph" w:customStyle="1" w:styleId="185">
    <w:name w:val="样式1xz"/>
    <w:basedOn w:val="1"/>
    <w:autoRedefine/>
    <w:qFormat/>
    <w:uiPriority w:val="0"/>
    <w:pPr>
      <w:tabs>
        <w:tab w:val="left" w:pos="1050"/>
        <w:tab w:val="right" w:leader="dot" w:pos="8296"/>
      </w:tabs>
    </w:pPr>
    <w:rPr>
      <w:caps/>
      <w:spacing w:val="20"/>
      <w:sz w:val="24"/>
    </w:rPr>
  </w:style>
  <w:style w:type="paragraph" w:customStyle="1" w:styleId="186">
    <w:name w:val="文档正文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87">
    <w:name w:val="Table Text Char Char Char"/>
    <w:link w:val="227"/>
    <w:autoRedefine/>
    <w:qFormat/>
    <w:uiPriority w:val="0"/>
    <w:pPr>
      <w:snapToGrid w:val="0"/>
      <w:spacing w:before="80" w:after="80"/>
    </w:pPr>
    <w:rPr>
      <w:rFonts w:ascii="Arial" w:hAnsi="Arial" w:eastAsia="宋体" w:cs="Times New Roman"/>
      <w:kern w:val="2"/>
      <w:sz w:val="18"/>
      <w:lang w:val="en-US" w:eastAsia="zh-CN" w:bidi="ar-SA"/>
    </w:rPr>
  </w:style>
  <w:style w:type="paragraph" w:customStyle="1" w:styleId="188">
    <w:name w:val="文档正文 Char Char Char Char Char"/>
    <w:basedOn w:val="1"/>
    <w:autoRedefine/>
    <w:qFormat/>
    <w:uiPriority w:val="0"/>
    <w:pPr>
      <w:adjustRightInd w:val="0"/>
      <w:spacing w:line="440" w:lineRule="exact"/>
      <w:ind w:firstLine="420"/>
      <w:textAlignment w:val="baseline"/>
    </w:pPr>
    <w:rPr>
      <w:rFonts w:ascii="Arial Narrow" w:hAnsi="Arial Narrow"/>
      <w:kern w:val="0"/>
      <w:sz w:val="24"/>
    </w:rPr>
  </w:style>
  <w:style w:type="paragraph" w:customStyle="1" w:styleId="189">
    <w:name w:val="Note"/>
    <w:basedOn w:val="1"/>
    <w:autoRedefine/>
    <w:qFormat/>
    <w:uiPriority w:val="0"/>
    <w:pPr>
      <w:pBdr>
        <w:top w:val="single" w:color="auto" w:sz="12" w:space="3"/>
        <w:bottom w:val="single" w:color="auto" w:sz="12" w:space="3"/>
      </w:pBdr>
      <w:spacing w:line="360" w:lineRule="auto"/>
    </w:pPr>
    <w:rPr>
      <w:sz w:val="24"/>
    </w:rPr>
  </w:style>
  <w:style w:type="paragraph" w:customStyle="1" w:styleId="190">
    <w:name w:val=" Char Char Char Char Char Char1 Char"/>
    <w:basedOn w:val="1"/>
    <w:autoRedefine/>
    <w:qFormat/>
    <w:uiPriority w:val="0"/>
    <w:pPr>
      <w:widowControl/>
      <w:spacing w:after="160" w:afterLines="0" w:afterAutospacing="0" w:line="240" w:lineRule="exact"/>
      <w:jc w:val="left"/>
    </w:pPr>
    <w:rPr>
      <w:rFonts w:ascii="Verdana" w:hAnsi="Verdana"/>
      <w:kern w:val="0"/>
      <w:sz w:val="21"/>
      <w:lang w:eastAsia="en-US"/>
    </w:rPr>
  </w:style>
  <w:style w:type="paragraph" w:customStyle="1" w:styleId="191">
    <w:name w:val=" Char"/>
    <w:basedOn w:val="1"/>
    <w:autoRedefine/>
    <w:qFormat/>
    <w:uiPriority w:val="0"/>
    <w:pPr>
      <w:spacing w:line="240" w:lineRule="atLeast"/>
      <w:ind w:left="420" w:firstLine="420"/>
    </w:pPr>
    <w:rPr>
      <w:kern w:val="0"/>
      <w:sz w:val="21"/>
    </w:rPr>
  </w:style>
  <w:style w:type="paragraph" w:customStyle="1" w:styleId="192">
    <w:name w:val="小标题 1"/>
    <w:basedOn w:val="1"/>
    <w:autoRedefine/>
    <w:qFormat/>
    <w:uiPriority w:val="0"/>
    <w:pPr>
      <w:autoSpaceDE w:val="0"/>
      <w:autoSpaceDN w:val="0"/>
      <w:adjustRightInd w:val="0"/>
      <w:spacing w:line="360" w:lineRule="atLeast"/>
    </w:pPr>
    <w:rPr>
      <w:rFonts w:ascii="文鼎粗黑" w:eastAsia="文鼎粗黑"/>
      <w:kern w:val="0"/>
      <w:sz w:val="22"/>
    </w:rPr>
  </w:style>
  <w:style w:type="paragraph" w:customStyle="1" w:styleId="193">
    <w:name w:val="content"/>
    <w:basedOn w:val="1"/>
    <w:autoRedefine/>
    <w:qFormat/>
    <w:uiPriority w:val="0"/>
    <w:pPr>
      <w:widowControl/>
      <w:spacing w:before="100" w:beforeLines="0" w:beforeAutospacing="1" w:after="100" w:afterLines="0" w:afterAutospacing="1" w:line="280" w:lineRule="atLeast"/>
      <w:ind w:firstLine="375"/>
      <w:jc w:val="left"/>
    </w:pPr>
    <w:rPr>
      <w:rFonts w:ascii="宋体" w:hAnsi="宋体"/>
      <w:color w:val="000000"/>
      <w:kern w:val="0"/>
      <w:sz w:val="18"/>
    </w:rPr>
  </w:style>
  <w:style w:type="paragraph" w:customStyle="1" w:styleId="194">
    <w:name w:val="Title - Revision"/>
    <w:basedOn w:val="56"/>
    <w:autoRedefine/>
    <w:qFormat/>
    <w:uiPriority w:val="0"/>
    <w:pPr>
      <w:spacing w:before="720" w:beforeLines="0" w:beforeAutospacing="0"/>
    </w:pPr>
  </w:style>
  <w:style w:type="paragraph" w:customStyle="1" w:styleId="195">
    <w:name w:val="标准正文"/>
    <w:basedOn w:val="24"/>
    <w:autoRedefine/>
    <w:qFormat/>
    <w:uiPriority w:val="0"/>
    <w:pPr>
      <w:spacing w:before="60" w:beforeLines="0" w:after="60" w:afterLines="0" w:line="360" w:lineRule="auto"/>
      <w:ind w:left="0" w:firstLine="482"/>
    </w:pPr>
    <w:rPr>
      <w:rFonts w:ascii="Arial" w:hAnsi="Arial"/>
      <w:sz w:val="24"/>
    </w:rPr>
  </w:style>
  <w:style w:type="paragraph" w:customStyle="1" w:styleId="196">
    <w:name w:val=" Char Char Char1 Char Char Char Char Char Char Char Char Char Char Char Char Char"/>
    <w:basedOn w:val="1"/>
    <w:autoRedefine/>
    <w:qFormat/>
    <w:uiPriority w:val="0"/>
    <w:pPr>
      <w:widowControl/>
      <w:spacing w:after="160" w:afterLines="0" w:line="240" w:lineRule="exact"/>
      <w:jc w:val="left"/>
    </w:pPr>
    <w:rPr>
      <w:rFonts w:ascii="Verdana" w:hAnsi="Verdana"/>
      <w:kern w:val="0"/>
      <w:sz w:val="18"/>
      <w:lang w:eastAsia="en-US"/>
    </w:rPr>
  </w:style>
  <w:style w:type="paragraph" w:customStyle="1" w:styleId="197">
    <w:name w:val="AA Numbering"/>
    <w:basedOn w:val="1"/>
    <w:autoRedefine/>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8">
    <w:name w:val="Style Heading 3h3Heading 3 - oldLevel 3 HeadH3level_3PIM 3se..."/>
    <w:basedOn w:val="5"/>
    <w:autoRedefine/>
    <w:qFormat/>
    <w:uiPriority w:val="0"/>
    <w:pPr>
      <w:numPr>
        <w:ilvl w:val="2"/>
        <w:numId w:val="2"/>
      </w:numPr>
      <w:tabs>
        <w:tab w:val="left" w:pos="709"/>
        <w:tab w:val="left" w:pos="1620"/>
      </w:tabs>
      <w:spacing w:line="413" w:lineRule="auto"/>
    </w:pPr>
  </w:style>
  <w:style w:type="paragraph" w:customStyle="1" w:styleId="199">
    <w:name w:val="图标"/>
    <w:basedOn w:val="1"/>
    <w:next w:val="1"/>
    <w:autoRedefine/>
    <w:qFormat/>
    <w:uiPriority w:val="0"/>
    <w:pPr>
      <w:tabs>
        <w:tab w:val="left" w:pos="420"/>
        <w:tab w:val="left" w:pos="567"/>
        <w:tab w:val="left" w:pos="720"/>
      </w:tabs>
      <w:autoSpaceDE w:val="0"/>
      <w:autoSpaceDN w:val="0"/>
      <w:adjustRightInd w:val="0"/>
      <w:snapToGrid w:val="0"/>
      <w:spacing w:before="120" w:beforeLines="0" w:beforeAutospacing="0" w:after="120" w:afterLines="0" w:afterAutospacing="0" w:line="320" w:lineRule="atLeast"/>
      <w:ind w:left="420" w:hanging="420"/>
      <w:jc w:val="center"/>
      <w:textAlignment w:val="baseline"/>
    </w:pPr>
    <w:rPr>
      <w:rFonts w:eastAsia="仿宋_GB2312"/>
      <w:kern w:val="0"/>
      <w:sz w:val="24"/>
    </w:rPr>
  </w:style>
  <w:style w:type="paragraph" w:customStyle="1" w:styleId="200">
    <w:name w:val="简单回函地址"/>
    <w:basedOn w:val="1"/>
    <w:autoRedefine/>
    <w:qFormat/>
    <w:uiPriority w:val="0"/>
    <w:pPr>
      <w:adjustRightInd w:val="0"/>
      <w:snapToGrid w:val="0"/>
      <w:spacing w:line="360" w:lineRule="auto"/>
    </w:pPr>
    <w:rPr>
      <w:sz w:val="24"/>
    </w:rPr>
  </w:style>
  <w:style w:type="paragraph" w:customStyle="1" w:styleId="201">
    <w:name w:val="正文1"/>
    <w:basedOn w:val="1"/>
    <w:autoRedefine/>
    <w:qFormat/>
    <w:uiPriority w:val="0"/>
    <w:pPr>
      <w:spacing w:line="300" w:lineRule="auto"/>
      <w:ind w:firstLine="200" w:firstLineChars="200"/>
    </w:pPr>
    <w:rPr>
      <w:sz w:val="24"/>
    </w:rPr>
  </w:style>
  <w:style w:type="paragraph" w:customStyle="1" w:styleId="202">
    <w:name w:val="表头文本"/>
    <w:autoRedefine/>
    <w:qFormat/>
    <w:uiPriority w:val="0"/>
    <w:pPr>
      <w:jc w:val="center"/>
    </w:pPr>
    <w:rPr>
      <w:rFonts w:ascii="Arial" w:hAnsi="Arial" w:eastAsia="宋体" w:cs="Times New Roman"/>
      <w:b/>
      <w:sz w:val="21"/>
      <w:lang w:val="en-US" w:eastAsia="zh-CN" w:bidi="ar-SA"/>
    </w:rPr>
  </w:style>
  <w:style w:type="paragraph" w:customStyle="1" w:styleId="203">
    <w:name w:val="00"/>
    <w:basedOn w:val="1"/>
    <w:autoRedefine/>
    <w:qFormat/>
    <w:uiPriority w:val="0"/>
    <w:pPr>
      <w:autoSpaceDE w:val="0"/>
      <w:autoSpaceDN w:val="0"/>
      <w:adjustRightInd w:val="0"/>
      <w:jc w:val="left"/>
    </w:pPr>
    <w:rPr>
      <w:rFonts w:ascii="黑体" w:eastAsia="黑体"/>
      <w:b/>
      <w:kern w:val="0"/>
      <w:sz w:val="20"/>
    </w:rPr>
  </w:style>
  <w:style w:type="paragraph" w:customStyle="1" w:styleId="204">
    <w:name w:val="表格1"/>
    <w:basedOn w:val="1"/>
    <w:next w:val="1"/>
    <w:autoRedefine/>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205">
    <w:name w:val="标题无"/>
    <w:basedOn w:val="1"/>
    <w:autoRedefine/>
    <w:qFormat/>
    <w:uiPriority w:val="0"/>
    <w:pPr>
      <w:spacing w:line="360" w:lineRule="auto"/>
    </w:pPr>
    <w:rPr>
      <w:sz w:val="24"/>
    </w:rPr>
  </w:style>
  <w:style w:type="paragraph" w:customStyle="1" w:styleId="206">
    <w:name w:val="正文格式 Char"/>
    <w:basedOn w:val="1"/>
    <w:autoRedefine/>
    <w:qFormat/>
    <w:uiPriority w:val="0"/>
    <w:pPr>
      <w:widowControl/>
      <w:adjustRightInd w:val="0"/>
      <w:spacing w:line="440" w:lineRule="atLeast"/>
      <w:ind w:firstLine="510"/>
      <w:textAlignment w:val="baseline"/>
    </w:pPr>
    <w:rPr>
      <w:kern w:val="0"/>
      <w:sz w:val="24"/>
    </w:rPr>
  </w:style>
  <w:style w:type="character" w:customStyle="1" w:styleId="207">
    <w:name w:val="正文文本缩进 2 Char"/>
    <w:link w:val="34"/>
    <w:autoRedefine/>
    <w:qFormat/>
    <w:uiPriority w:val="0"/>
    <w:rPr>
      <w:kern w:val="2"/>
      <w:sz w:val="28"/>
    </w:rPr>
  </w:style>
  <w:style w:type="character" w:customStyle="1" w:styleId="208">
    <w:name w:val="gggs"/>
    <w:basedOn w:val="62"/>
    <w:autoRedefine/>
    <w:qFormat/>
    <w:uiPriority w:val="0"/>
  </w:style>
  <w:style w:type="character" w:customStyle="1" w:styleId="209">
    <w:name w:val="Table Text Char"/>
    <w:link w:val="120"/>
    <w:autoRedefine/>
    <w:qFormat/>
    <w:uiPriority w:val="0"/>
    <w:rPr>
      <w:rFonts w:ascii="Arial" w:hAnsi="Arial"/>
      <w:kern w:val="2"/>
      <w:sz w:val="18"/>
      <w:lang w:val="en-US" w:eastAsia="zh-CN" w:bidi="ar-SA"/>
    </w:rPr>
  </w:style>
  <w:style w:type="character" w:customStyle="1" w:styleId="210">
    <w:name w:val="批注主题 Char"/>
    <w:basedOn w:val="211"/>
    <w:link w:val="57"/>
    <w:autoRedefine/>
    <w:qFormat/>
    <w:uiPriority w:val="0"/>
  </w:style>
  <w:style w:type="character" w:customStyle="1" w:styleId="211">
    <w:name w:val="批注文字 Char"/>
    <w:link w:val="20"/>
    <w:autoRedefine/>
    <w:qFormat/>
    <w:uiPriority w:val="0"/>
    <w:rPr>
      <w:sz w:val="24"/>
    </w:rPr>
  </w:style>
  <w:style w:type="character" w:customStyle="1" w:styleId="212">
    <w:name w:val="标题 2 Char"/>
    <w:link w:val="4"/>
    <w:autoRedefine/>
    <w:qFormat/>
    <w:uiPriority w:val="0"/>
    <w:rPr>
      <w:rFonts w:ascii="Arial" w:hAnsi="Arial" w:eastAsia="黑体"/>
      <w:b/>
      <w:kern w:val="2"/>
      <w:sz w:val="32"/>
    </w:rPr>
  </w:style>
  <w:style w:type="character" w:customStyle="1" w:styleId="213">
    <w:name w:val="日期 Char2"/>
    <w:autoRedefine/>
    <w:qFormat/>
    <w:uiPriority w:val="0"/>
    <w:rPr>
      <w:kern w:val="2"/>
      <w:sz w:val="28"/>
    </w:rPr>
  </w:style>
  <w:style w:type="character" w:customStyle="1" w:styleId="214">
    <w:name w:val="正文 + 三号 Char"/>
    <w:autoRedefine/>
    <w:qFormat/>
    <w:uiPriority w:val="0"/>
    <w:rPr>
      <w:rFonts w:eastAsia="宋体"/>
      <w:kern w:val="2"/>
      <w:sz w:val="21"/>
      <w:lang w:val="en-US" w:eastAsia="zh-CN"/>
    </w:rPr>
  </w:style>
  <w:style w:type="character" w:customStyle="1" w:styleId="215">
    <w:name w:val="小 Char"/>
    <w:autoRedefine/>
    <w:qFormat/>
    <w:uiPriority w:val="0"/>
    <w:rPr>
      <w:rFonts w:ascii="宋体" w:hAnsi="Courier New" w:eastAsia="宋体"/>
      <w:kern w:val="2"/>
      <w:sz w:val="21"/>
      <w:lang w:val="en-US" w:eastAsia="zh-CN" w:bidi="ar-SA"/>
    </w:rPr>
  </w:style>
  <w:style w:type="character" w:customStyle="1" w:styleId="216">
    <w:name w:val="top-det1"/>
    <w:autoRedefine/>
    <w:qFormat/>
    <w:uiPriority w:val="0"/>
    <w:rPr>
      <w:b/>
      <w:color w:val="000000"/>
    </w:rPr>
  </w:style>
  <w:style w:type="character" w:customStyle="1" w:styleId="217">
    <w:name w:val="正文首行缩进 2 Char"/>
    <w:basedOn w:val="218"/>
    <w:link w:val="59"/>
    <w:autoRedefine/>
    <w:qFormat/>
    <w:uiPriority w:val="0"/>
  </w:style>
  <w:style w:type="character" w:customStyle="1" w:styleId="218">
    <w:name w:val="正文文本缩进 Char"/>
    <w:link w:val="24"/>
    <w:autoRedefine/>
    <w:qFormat/>
    <w:uiPriority w:val="0"/>
    <w:rPr>
      <w:kern w:val="2"/>
      <w:sz w:val="44"/>
    </w:rPr>
  </w:style>
  <w:style w:type="character" w:customStyle="1" w:styleId="219">
    <w:name w:val="H2 Char"/>
    <w:autoRedefine/>
    <w:qFormat/>
    <w:uiPriority w:val="0"/>
    <w:rPr>
      <w:rFonts w:ascii="Arial" w:hAnsi="Arial" w:eastAsia="宋体"/>
      <w:kern w:val="2"/>
      <w:sz w:val="28"/>
      <w:lang w:val="en-US" w:eastAsia="zh-CN"/>
    </w:rPr>
  </w:style>
  <w:style w:type="character" w:customStyle="1" w:styleId="220">
    <w:name w:val="v151"/>
    <w:autoRedefine/>
    <w:qFormat/>
    <w:uiPriority w:val="0"/>
    <w:rPr>
      <w:sz w:val="18"/>
    </w:rPr>
  </w:style>
  <w:style w:type="character" w:customStyle="1" w:styleId="221">
    <w:name w:val=" Char Char3"/>
    <w:autoRedefine/>
    <w:qFormat/>
    <w:uiPriority w:val="0"/>
    <w:rPr>
      <w:rFonts w:eastAsia="宋体"/>
      <w:kern w:val="2"/>
      <w:sz w:val="18"/>
      <w:lang w:val="en-US" w:eastAsia="zh-CN"/>
    </w:rPr>
  </w:style>
  <w:style w:type="character" w:customStyle="1" w:styleId="222">
    <w:name w:val="样式 宋体"/>
    <w:autoRedefine/>
    <w:qFormat/>
    <w:uiPriority w:val="0"/>
    <w:rPr>
      <w:rFonts w:ascii="宋体" w:hAnsi="宋体" w:eastAsia="宋体"/>
      <w:sz w:val="28"/>
    </w:rPr>
  </w:style>
  <w:style w:type="character" w:customStyle="1" w:styleId="223">
    <w:name w:val="font1"/>
    <w:autoRedefine/>
    <w:qFormat/>
    <w:uiPriority w:val="0"/>
    <w:rPr>
      <w:color w:val="000000"/>
      <w:sz w:val="18"/>
    </w:rPr>
  </w:style>
  <w:style w:type="character" w:customStyle="1" w:styleId="224">
    <w:name w:val="title_emph1"/>
    <w:autoRedefine/>
    <w:qFormat/>
    <w:uiPriority w:val="0"/>
    <w:rPr>
      <w:rFonts w:hint="default" w:ascii="Arial" w:hAnsi="Arial"/>
      <w:b/>
      <w:sz w:val="20"/>
    </w:rPr>
  </w:style>
  <w:style w:type="character" w:customStyle="1" w:styleId="225">
    <w:name w:val="gggs2"/>
    <w:basedOn w:val="62"/>
    <w:autoRedefine/>
    <w:qFormat/>
    <w:uiPriority w:val="0"/>
  </w:style>
  <w:style w:type="character" w:customStyle="1" w:styleId="226">
    <w:name w:val=" Char Char11"/>
    <w:autoRedefine/>
    <w:qFormat/>
    <w:uiPriority w:val="0"/>
    <w:rPr>
      <w:rFonts w:ascii="宋体"/>
      <w:kern w:val="2"/>
      <w:sz w:val="28"/>
    </w:rPr>
  </w:style>
  <w:style w:type="character" w:customStyle="1" w:styleId="227">
    <w:name w:val="Table Text Char Char Char Char"/>
    <w:link w:val="187"/>
    <w:autoRedefine/>
    <w:qFormat/>
    <w:uiPriority w:val="0"/>
    <w:rPr>
      <w:rFonts w:ascii="Arial" w:hAnsi="Arial"/>
      <w:kern w:val="2"/>
      <w:sz w:val="18"/>
      <w:lang w:val="en-US" w:eastAsia="zh-CN" w:bidi="ar-SA"/>
    </w:rPr>
  </w:style>
  <w:style w:type="character" w:customStyle="1" w:styleId="228">
    <w:name w:val="content-white1"/>
    <w:autoRedefine/>
    <w:qFormat/>
    <w:uiPriority w:val="0"/>
    <w:rPr>
      <w:rFonts w:ascii="_x000B__x000C_" w:hAnsi="_x000B__x000C_"/>
      <w:color w:val="auto"/>
      <w:sz w:val="18"/>
      <w:u w:val="none"/>
    </w:rPr>
  </w:style>
  <w:style w:type="character" w:customStyle="1" w:styleId="229">
    <w:name w:val="Table Text Char1 Char"/>
    <w:autoRedefine/>
    <w:qFormat/>
    <w:uiPriority w:val="0"/>
    <w:rPr>
      <w:rFonts w:ascii="Arial" w:hAnsi="Arial"/>
      <w:kern w:val="2"/>
      <w:sz w:val="18"/>
      <w:lang w:val="en-US" w:eastAsia="zh-CN" w:bidi="ar-SA"/>
    </w:rPr>
  </w:style>
  <w:style w:type="character" w:customStyle="1" w:styleId="230">
    <w:name w:val="layui-laypage-curr"/>
    <w:autoRedefine/>
    <w:qFormat/>
    <w:uiPriority w:val="0"/>
  </w:style>
  <w:style w:type="character" w:customStyle="1" w:styleId="231">
    <w:name w:val=" Char Char5"/>
    <w:autoRedefine/>
    <w:qFormat/>
    <w:uiPriority w:val="0"/>
    <w:rPr>
      <w:rFonts w:ascii="Arial" w:hAnsi="Arial" w:eastAsia="宋体"/>
      <w:b/>
      <w:smallCaps/>
      <w:kern w:val="28"/>
      <w:sz w:val="36"/>
      <w:lang w:val="en-US" w:eastAsia="en-US"/>
    </w:rPr>
  </w:style>
  <w:style w:type="character" w:customStyle="1" w:styleId="232">
    <w:name w:val="标题 3 Char"/>
    <w:link w:val="5"/>
    <w:autoRedefine/>
    <w:qFormat/>
    <w:uiPriority w:val="0"/>
    <w:rPr>
      <w:rFonts w:eastAsia="宋体"/>
      <w:b/>
      <w:kern w:val="2"/>
      <w:sz w:val="32"/>
      <w:lang w:val="en-US" w:eastAsia="zh-CN"/>
    </w:rPr>
  </w:style>
  <w:style w:type="character" w:customStyle="1" w:styleId="233">
    <w:name w:val=" Char Char7"/>
    <w:autoRedefine/>
    <w:qFormat/>
    <w:uiPriority w:val="0"/>
    <w:rPr>
      <w:rFonts w:ascii="宋体" w:hAnsi="宋体" w:eastAsia="宋体"/>
      <w:kern w:val="2"/>
      <w:sz w:val="28"/>
    </w:rPr>
  </w:style>
  <w:style w:type="character" w:customStyle="1" w:styleId="234">
    <w:name w:val="Table Heading Char Char"/>
    <w:autoRedefine/>
    <w:qFormat/>
    <w:uiPriority w:val="0"/>
    <w:rPr>
      <w:rFonts w:ascii="Arial" w:hAnsi="Arial" w:eastAsia="黑体"/>
      <w:kern w:val="2"/>
      <w:sz w:val="18"/>
      <w:lang w:val="en-US" w:eastAsia="zh-CN"/>
    </w:rPr>
  </w:style>
  <w:style w:type="character" w:customStyle="1" w:styleId="235">
    <w:name w:val="xzspxx"/>
    <w:basedOn w:val="62"/>
    <w:autoRedefine/>
    <w:qFormat/>
    <w:uiPriority w:val="0"/>
  </w:style>
  <w:style w:type="character" w:customStyle="1" w:styleId="236">
    <w:name w:val=" Char Char2"/>
    <w:autoRedefine/>
    <w:qFormat/>
    <w:uiPriority w:val="0"/>
    <w:rPr>
      <w:rFonts w:eastAsia="宋体"/>
      <w:kern w:val="2"/>
      <w:sz w:val="18"/>
      <w:lang w:val="en-US" w:eastAsia="zh-CN"/>
    </w:rPr>
  </w:style>
  <w:style w:type="character" w:customStyle="1" w:styleId="237">
    <w:name w:val=" Char Char4"/>
    <w:autoRedefine/>
    <w:qFormat/>
    <w:uiPriority w:val="0"/>
    <w:rPr>
      <w:rFonts w:eastAsia="宋体"/>
      <w:b/>
      <w:kern w:val="2"/>
      <w:sz w:val="21"/>
      <w:lang w:val="en-US" w:eastAsia="zh-CN"/>
    </w:rPr>
  </w:style>
  <w:style w:type="character" w:customStyle="1" w:styleId="238">
    <w:name w:val=" Char Char"/>
    <w:autoRedefine/>
    <w:qFormat/>
    <w:uiPriority w:val="0"/>
    <w:rPr>
      <w:rFonts w:ascii="宋体" w:hAnsi="宋体" w:eastAsia="宋体"/>
      <w:kern w:val="2"/>
      <w:sz w:val="24"/>
      <w:lang w:val="en-US" w:eastAsia="zh-CN" w:bidi="ar-SA"/>
    </w:rPr>
  </w:style>
  <w:style w:type="character" w:customStyle="1" w:styleId="239">
    <w:name w:val="标书正文:  0.74 厘米 Char1"/>
    <w:autoRedefine/>
    <w:qFormat/>
    <w:uiPriority w:val="0"/>
    <w:rPr>
      <w:rFonts w:eastAsia="宋体"/>
      <w:kern w:val="2"/>
      <w:sz w:val="24"/>
      <w:lang w:val="en-US" w:eastAsia="zh-CN"/>
    </w:rPr>
  </w:style>
  <w:style w:type="character" w:customStyle="1" w:styleId="240">
    <w:name w:val="未命名11"/>
    <w:autoRedefine/>
    <w:qFormat/>
    <w:uiPriority w:val="0"/>
    <w:rPr>
      <w:color w:val="77FFFF"/>
      <w:sz w:val="24"/>
    </w:rPr>
  </w:style>
  <w:style w:type="character" w:customStyle="1" w:styleId="241">
    <w:name w:val="日期 Char"/>
    <w:link w:val="33"/>
    <w:autoRedefine/>
    <w:qFormat/>
    <w:uiPriority w:val="0"/>
    <w:rPr>
      <w:kern w:val="2"/>
      <w:sz w:val="28"/>
    </w:rPr>
  </w:style>
  <w:style w:type="character" w:customStyle="1" w:styleId="242">
    <w:name w:val="crowed11"/>
    <w:autoRedefine/>
    <w:qFormat/>
    <w:uiPriority w:val="0"/>
    <w:rPr>
      <w:rFonts w:hint="default" w:ascii="_x000B__x000C_" w:hAnsi="_x000B__x000C_"/>
      <w:sz w:val="24"/>
    </w:rPr>
  </w:style>
  <w:style w:type="character" w:customStyle="1" w:styleId="243">
    <w:name w:val=" Char Char6"/>
    <w:autoRedefine/>
    <w:qFormat/>
    <w:uiPriority w:val="0"/>
    <w:rPr>
      <w:rFonts w:ascii="仿宋_GB2312" w:eastAsia="仿宋_GB2312"/>
      <w:kern w:val="2"/>
      <w:sz w:val="32"/>
    </w:rPr>
  </w:style>
  <w:style w:type="character" w:customStyle="1" w:styleId="244">
    <w:name w:val="文字 Char"/>
    <w:link w:val="115"/>
    <w:autoRedefine/>
    <w:qFormat/>
    <w:uiPriority w:val="0"/>
    <w:rPr>
      <w:rFonts w:ascii="宋体"/>
      <w:kern w:val="2"/>
      <w:sz w:val="28"/>
    </w:rPr>
  </w:style>
  <w:style w:type="character" w:customStyle="1" w:styleId="245">
    <w:name w:val="scxx"/>
    <w:basedOn w:val="62"/>
    <w:autoRedefine/>
    <w:qFormat/>
    <w:uiPriority w:val="0"/>
  </w:style>
  <w:style w:type="character" w:customStyle="1" w:styleId="246">
    <w:name w:val="脚注文本 Char"/>
    <w:link w:val="41"/>
    <w:autoRedefine/>
    <w:qFormat/>
    <w:uiPriority w:val="0"/>
    <w:rPr>
      <w:kern w:val="2"/>
      <w:sz w:val="18"/>
    </w:rPr>
  </w:style>
  <w:style w:type="paragraph" w:customStyle="1" w:styleId="247">
    <w:name w:val="TOC 标题1"/>
    <w:basedOn w:val="3"/>
    <w:next w:val="1"/>
    <w:autoRedefine/>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48">
    <w:name w:val="列出段落11"/>
    <w:basedOn w:val="1"/>
    <w:autoRedefine/>
    <w:qFormat/>
    <w:uiPriority w:val="0"/>
    <w:pPr>
      <w:ind w:firstLine="420" w:firstLineChars="200"/>
    </w:pPr>
    <w:rPr>
      <w:sz w:val="28"/>
      <w:szCs w:val="28"/>
    </w:rPr>
  </w:style>
  <w:style w:type="table" w:customStyle="1" w:styleId="249">
    <w:name w:val="Table Normal"/>
    <w:autoRedefine/>
    <w:semiHidden/>
    <w:unhideWhenUsed/>
    <w:qFormat/>
    <w:uiPriority w:val="0"/>
    <w:tblPr>
      <w:tblCellMar>
        <w:top w:w="0" w:type="dxa"/>
        <w:left w:w="0" w:type="dxa"/>
        <w:bottom w:w="0" w:type="dxa"/>
        <w:right w:w="0" w:type="dxa"/>
      </w:tblCellMar>
    </w:tblPr>
  </w:style>
  <w:style w:type="paragraph" w:customStyle="1" w:styleId="250">
    <w:name w:val="无间隔2"/>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5.wmf"/><Relationship Id="rId22" Type="http://schemas.openxmlformats.org/officeDocument/2006/relationships/oleObject" Target="embeddings/oleObject5.bin"/><Relationship Id="rId21" Type="http://schemas.openxmlformats.org/officeDocument/2006/relationships/image" Target="media/image4.wmf"/><Relationship Id="rId20" Type="http://schemas.openxmlformats.org/officeDocument/2006/relationships/oleObject" Target="embeddings/oleObject4.bin"/><Relationship Id="rId2" Type="http://schemas.openxmlformats.org/officeDocument/2006/relationships/settings" Target="settings.xml"/><Relationship Id="rId19" Type="http://schemas.openxmlformats.org/officeDocument/2006/relationships/image" Target="media/image3.wmf"/><Relationship Id="rId18" Type="http://schemas.openxmlformats.org/officeDocument/2006/relationships/oleObject" Target="embeddings/oleObject3.bin"/><Relationship Id="rId17" Type="http://schemas.openxmlformats.org/officeDocument/2006/relationships/image" Target="media/image2.wmf"/><Relationship Id="rId16" Type="http://schemas.openxmlformats.org/officeDocument/2006/relationships/oleObject" Target="embeddings/oleObject2.bin"/><Relationship Id="rId15" Type="http://schemas.openxmlformats.org/officeDocument/2006/relationships/image" Target="media/image1.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Manager>罗成</Manager>
  <Company>重庆市政府采购中心</Company>
  <Pages>215</Pages>
  <Words>114435</Words>
  <Characters>119865</Characters>
  <Lines>155</Lines>
  <Paragraphs>43</Paragraphs>
  <TotalTime>12</TotalTime>
  <ScaleCrop>false</ScaleCrop>
  <LinksUpToDate>false</LinksUpToDate>
  <CharactersWithSpaces>125922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2019-06-03T10:19:00Z</dcterms:created>
  <dc:creator>罗成</dc:creator>
  <cp:lastModifiedBy>力赞</cp:lastModifiedBy>
  <cp:lastPrinted>2024-06-05T02:22:00Z</cp:lastPrinted>
  <dcterms:modified xsi:type="dcterms:W3CDTF">2024-06-06T08:23:46Z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1143587521_cloud</vt:lpwstr>
  </property>
  <property fmtid="{D5CDD505-2E9C-101B-9397-08002B2CF9AE}" pid="4" name="ICV">
    <vt:lpwstr>FD56FA32569E42F791335D1CEC466B06_13</vt:lpwstr>
  </property>
</Properties>
</file>