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snapToGrid w:val="0"/>
          <w:color w:val="auto"/>
          <w:w w:val="99"/>
          <w:kern w:val="0"/>
          <w:sz w:val="72"/>
          <w:szCs w:val="52"/>
          <w:highlight w:val="none"/>
          <w:lang w:val="en-US" w:eastAsia="zh-CN"/>
        </w:rPr>
      </w:pPr>
    </w:p>
    <w:p>
      <w:pPr>
        <w:widowControl/>
        <w:jc w:val="center"/>
        <w:rPr>
          <w:rFonts w:hint="default" w:ascii="宋体" w:hAnsi="宋体" w:eastAsia="宋体" w:cs="宋体"/>
          <w:b/>
          <w:snapToGrid w:val="0"/>
          <w:color w:val="auto"/>
          <w:w w:val="99"/>
          <w:kern w:val="0"/>
          <w:sz w:val="72"/>
          <w:szCs w:val="52"/>
          <w:highlight w:val="none"/>
          <w:lang w:val="en-US" w:eastAsia="zh-CN"/>
        </w:rPr>
      </w:pPr>
      <w:r>
        <w:rPr>
          <w:rFonts w:hint="eastAsia" w:ascii="宋体" w:hAnsi="宋体" w:cs="宋体"/>
          <w:b/>
          <w:snapToGrid w:val="0"/>
          <w:color w:val="auto"/>
          <w:w w:val="99"/>
          <w:kern w:val="0"/>
          <w:sz w:val="72"/>
          <w:szCs w:val="52"/>
          <w:highlight w:val="none"/>
          <w:lang w:val="en-US" w:eastAsia="zh-CN"/>
        </w:rPr>
        <w:t xml:space="preserve">       </w:t>
      </w:r>
    </w:p>
    <w:p>
      <w:pPr>
        <w:autoSpaceDE w:val="0"/>
        <w:autoSpaceDN w:val="0"/>
        <w:adjustRightInd w:val="0"/>
        <w:snapToGri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lang w:val="en-US" w:eastAsia="zh-CN"/>
        </w:rPr>
        <w:t>重庆市璧山区大路消防站建设工程新增160KVA临时配电工程</w:t>
      </w:r>
    </w:p>
    <w:p>
      <w:pPr>
        <w:autoSpaceDE w:val="0"/>
        <w:autoSpaceDN w:val="0"/>
        <w:adjustRightInd w:val="0"/>
        <w:snapToGrid w:val="0"/>
        <w:spacing w:line="360" w:lineRule="auto"/>
        <w:jc w:val="left"/>
        <w:rPr>
          <w:rFonts w:ascii="宋体" w:hAnsi="宋体" w:cs="宋体"/>
          <w:color w:val="auto"/>
          <w:kern w:val="0"/>
          <w:sz w:val="20"/>
          <w:highlight w:val="none"/>
        </w:rPr>
      </w:pPr>
    </w:p>
    <w:p>
      <w:pPr>
        <w:pStyle w:val="2"/>
        <w:ind w:left="0" w:leftChars="0" w:firstLine="0" w:firstLineChars="0"/>
        <w:rPr>
          <w:rFonts w:ascii="宋体" w:hAnsi="宋体" w:cs="宋体"/>
          <w:color w:val="auto"/>
          <w:kern w:val="0"/>
          <w:sz w:val="20"/>
          <w:highlight w:val="none"/>
        </w:rPr>
      </w:pPr>
    </w:p>
    <w:p>
      <w:pPr>
        <w:rPr>
          <w:color w:val="auto"/>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center"/>
        <w:rPr>
          <w:rFonts w:ascii="宋体" w:hAnsi="宋体" w:cs="宋体"/>
          <w:b/>
          <w:color w:val="auto"/>
          <w:kern w:val="0"/>
          <w:sz w:val="84"/>
          <w:szCs w:val="44"/>
          <w:highlight w:val="none"/>
        </w:rPr>
      </w:pPr>
      <w:r>
        <w:rPr>
          <w:rFonts w:hint="eastAsia" w:ascii="宋体" w:hAnsi="宋体" w:cs="宋体"/>
          <w:b/>
          <w:color w:val="auto"/>
          <w:kern w:val="0"/>
          <w:sz w:val="84"/>
          <w:szCs w:val="44"/>
          <w:highlight w:val="none"/>
        </w:rPr>
        <w:t>竞争性比选文件</w:t>
      </w:r>
    </w:p>
    <w:p>
      <w:pPr>
        <w:jc w:val="center"/>
        <w:rPr>
          <w:rFonts w:ascii="宋体" w:hAnsi="宋体" w:cs="宋体"/>
          <w:color w:val="auto"/>
          <w:highlight w:val="none"/>
        </w:rPr>
      </w:pPr>
      <w:r>
        <w:rPr>
          <w:rFonts w:hint="eastAsia" w:ascii="宋体" w:hAnsi="宋体" w:cs="宋体"/>
          <w:color w:val="auto"/>
          <w:kern w:val="0"/>
          <w:sz w:val="10"/>
          <w:szCs w:val="10"/>
          <w:highlight w:val="none"/>
        </w:rPr>
        <w:t xml:space="preserve">                                         </w:t>
      </w:r>
    </w:p>
    <w:p>
      <w:pPr>
        <w:autoSpaceDE w:val="0"/>
        <w:autoSpaceDN w:val="0"/>
        <w:adjustRightInd w:val="0"/>
        <w:snapToGrid w:val="0"/>
        <w:spacing w:line="360" w:lineRule="auto"/>
        <w:jc w:val="left"/>
        <w:rPr>
          <w:rFonts w:ascii="宋体" w:hAnsi="宋体" w:cs="宋体"/>
          <w:color w:val="auto"/>
          <w:kern w:val="0"/>
          <w:sz w:val="20"/>
          <w:highlight w:val="none"/>
        </w:rPr>
      </w:pPr>
    </w:p>
    <w:p>
      <w:pPr>
        <w:pStyle w:val="2"/>
        <w:rPr>
          <w:rFonts w:ascii="宋体" w:hAnsi="宋体" w:cs="宋体"/>
          <w:color w:val="auto"/>
          <w:kern w:val="0"/>
          <w:sz w:val="20"/>
          <w:highlight w:val="none"/>
        </w:rPr>
      </w:pPr>
    </w:p>
    <w:p>
      <w:pPr>
        <w:rPr>
          <w:rFonts w:ascii="宋体" w:hAnsi="宋体" w:cs="宋体"/>
          <w:color w:val="auto"/>
          <w:kern w:val="0"/>
          <w:sz w:val="20"/>
          <w:highlight w:val="none"/>
        </w:rPr>
      </w:pPr>
    </w:p>
    <w:p>
      <w:pPr>
        <w:pStyle w:val="2"/>
        <w:rPr>
          <w:rFonts w:ascii="宋体" w:hAnsi="宋体" w:cs="宋体"/>
          <w:color w:val="auto"/>
          <w:kern w:val="0"/>
          <w:sz w:val="20"/>
          <w:highlight w:val="none"/>
        </w:rPr>
      </w:pPr>
    </w:p>
    <w:p>
      <w:pPr>
        <w:rPr>
          <w:rFonts w:ascii="宋体" w:hAnsi="宋体" w:cs="宋体"/>
          <w:color w:val="auto"/>
          <w:kern w:val="0"/>
          <w:sz w:val="20"/>
          <w:highlight w:val="none"/>
        </w:rPr>
      </w:pPr>
    </w:p>
    <w:p>
      <w:pPr>
        <w:pStyle w:val="2"/>
        <w:rPr>
          <w:color w:val="auto"/>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6252"/>
        </w:tabs>
        <w:autoSpaceDE w:val="0"/>
        <w:autoSpaceDN w:val="0"/>
        <w:adjustRightInd w:val="0"/>
        <w:snapToGrid w:val="0"/>
        <w:spacing w:line="360" w:lineRule="auto"/>
        <w:ind w:left="840" w:leftChars="4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比   选　 人：</w:t>
      </w:r>
      <w:r>
        <w:rPr>
          <w:rFonts w:hint="eastAsia" w:ascii="宋体" w:hAnsi="宋体" w:cs="宋体"/>
          <w:b/>
          <w:color w:val="auto"/>
          <w:kern w:val="0"/>
          <w:sz w:val="28"/>
          <w:szCs w:val="28"/>
          <w:highlight w:val="none"/>
          <w:u w:val="single"/>
          <w:lang w:eastAsia="zh-CN"/>
        </w:rPr>
        <w:t>重庆市璧山区城市建设投资有限公司</w:t>
      </w:r>
      <w:r>
        <w:rPr>
          <w:rFonts w:hint="eastAsia" w:ascii="宋体" w:hAnsi="宋体" w:cs="宋体"/>
          <w:b/>
          <w:color w:val="auto"/>
          <w:kern w:val="0"/>
          <w:sz w:val="28"/>
          <w:szCs w:val="28"/>
          <w:highlight w:val="none"/>
        </w:rPr>
        <w:t>（盖单位公章）</w:t>
      </w:r>
    </w:p>
    <w:p>
      <w:pPr>
        <w:pStyle w:val="23"/>
        <w:ind w:left="840" w:leftChars="400"/>
        <w:jc w:val="left"/>
        <w:rPr>
          <w:rFonts w:ascii="宋体" w:hAnsi="宋体" w:cs="宋体"/>
          <w:color w:val="auto"/>
          <w:highlight w:val="none"/>
        </w:rPr>
      </w:pPr>
    </w:p>
    <w:p>
      <w:pPr>
        <w:pStyle w:val="23"/>
        <w:ind w:left="840" w:leftChars="400"/>
        <w:jc w:val="left"/>
        <w:rPr>
          <w:rFonts w:ascii="宋体" w:hAnsi="宋体" w:cs="宋体"/>
          <w:color w:val="auto"/>
          <w:highlight w:val="none"/>
        </w:rPr>
      </w:pPr>
      <w:r>
        <w:rPr>
          <w:rFonts w:hint="eastAsia" w:ascii="宋体" w:hAnsi="宋体" w:cs="宋体"/>
          <w:color w:val="auto"/>
          <w:highlight w:val="none"/>
        </w:rPr>
        <w:t xml:space="preserve"> </w:t>
      </w:r>
    </w:p>
    <w:p>
      <w:pPr>
        <w:tabs>
          <w:tab w:val="left" w:pos="6252"/>
        </w:tabs>
        <w:autoSpaceDE w:val="0"/>
        <w:autoSpaceDN w:val="0"/>
        <w:adjustRightInd w:val="0"/>
        <w:snapToGrid w:val="0"/>
        <w:spacing w:line="360" w:lineRule="auto"/>
        <w:ind w:left="840" w:leftChars="400"/>
        <w:jc w:val="left"/>
        <w:rPr>
          <w:rFonts w:ascii="宋体" w:hAnsi="宋体" w:cs="宋体"/>
          <w:b/>
          <w:color w:val="auto"/>
          <w:sz w:val="30"/>
          <w:highlight w:val="none"/>
        </w:rPr>
      </w:pPr>
      <w:r>
        <w:rPr>
          <w:rFonts w:hint="eastAsia" w:ascii="宋体" w:hAnsi="宋体" w:cs="宋体"/>
          <w:b/>
          <w:color w:val="auto"/>
          <w:kern w:val="0"/>
          <w:sz w:val="28"/>
          <w:szCs w:val="28"/>
          <w:highlight w:val="none"/>
        </w:rPr>
        <w:t>比选代理机构：</w:t>
      </w:r>
      <w:r>
        <w:rPr>
          <w:rFonts w:hint="eastAsia" w:ascii="宋体" w:hAnsi="宋体" w:cs="宋体"/>
          <w:b/>
          <w:color w:val="auto"/>
          <w:kern w:val="0"/>
          <w:sz w:val="28"/>
          <w:szCs w:val="28"/>
          <w:highlight w:val="none"/>
          <w:u w:val="single"/>
          <w:lang w:eastAsia="zh-CN"/>
        </w:rPr>
        <w:t>鸿鲲咨询集团有限公司</w:t>
      </w:r>
      <w:r>
        <w:rPr>
          <w:rFonts w:hint="eastAsia" w:ascii="宋体" w:hAnsi="宋体" w:cs="宋体"/>
          <w:b/>
          <w:color w:val="auto"/>
          <w:kern w:val="0"/>
          <w:sz w:val="28"/>
          <w:szCs w:val="28"/>
          <w:highlight w:val="none"/>
          <w:u w:val="single"/>
        </w:rPr>
        <w:t xml:space="preserve"> </w:t>
      </w:r>
      <w:r>
        <w:rPr>
          <w:rFonts w:hint="eastAsia" w:ascii="宋体" w:hAnsi="宋体" w:cs="宋体"/>
          <w:b/>
          <w:color w:val="auto"/>
          <w:kern w:val="0"/>
          <w:sz w:val="28"/>
          <w:szCs w:val="28"/>
          <w:highlight w:val="none"/>
        </w:rPr>
        <w:t>（盖单位公章）</w:t>
      </w:r>
    </w:p>
    <w:p>
      <w:pPr>
        <w:pStyle w:val="23"/>
        <w:rPr>
          <w:rFonts w:ascii="宋体" w:hAnsi="宋体" w:cs="宋体"/>
          <w:b/>
          <w:color w:val="auto"/>
          <w:sz w:val="30"/>
          <w:highlight w:val="none"/>
        </w:rPr>
      </w:pPr>
    </w:p>
    <w:p>
      <w:pPr>
        <w:tabs>
          <w:tab w:val="left" w:pos="3200"/>
          <w:tab w:val="left" w:pos="4320"/>
          <w:tab w:val="left" w:pos="5420"/>
        </w:tabs>
        <w:autoSpaceDE w:val="0"/>
        <w:autoSpaceDN w:val="0"/>
        <w:adjustRightInd w:val="0"/>
        <w:snapToGrid w:val="0"/>
        <w:spacing w:line="360" w:lineRule="auto"/>
        <w:jc w:val="center"/>
        <w:rPr>
          <w:rFonts w:hint="eastAsia" w:ascii="宋体" w:hAnsi="宋体" w:cs="宋体"/>
          <w:b/>
          <w:color w:val="auto"/>
          <w:kern w:val="0"/>
          <w:sz w:val="30"/>
          <w:highlight w:val="none"/>
        </w:rPr>
      </w:pPr>
    </w:p>
    <w:p>
      <w:pPr>
        <w:tabs>
          <w:tab w:val="left" w:pos="3200"/>
          <w:tab w:val="left" w:pos="4320"/>
          <w:tab w:val="left" w:pos="5420"/>
        </w:tabs>
        <w:autoSpaceDE w:val="0"/>
        <w:autoSpaceDN w:val="0"/>
        <w:adjustRightInd w:val="0"/>
        <w:snapToGrid w:val="0"/>
        <w:spacing w:line="360" w:lineRule="auto"/>
        <w:jc w:val="center"/>
        <w:rPr>
          <w:rFonts w:hint="eastAsia" w:ascii="宋体" w:hAnsi="宋体" w:cs="宋体"/>
          <w:b/>
          <w:color w:val="auto"/>
          <w:kern w:val="0"/>
          <w:sz w:val="30"/>
          <w:highlight w:val="none"/>
        </w:rPr>
      </w:pPr>
    </w:p>
    <w:p>
      <w:pPr>
        <w:tabs>
          <w:tab w:val="left" w:pos="3200"/>
          <w:tab w:val="left" w:pos="4320"/>
          <w:tab w:val="left" w:pos="5420"/>
        </w:tabs>
        <w:autoSpaceDE w:val="0"/>
        <w:autoSpaceDN w:val="0"/>
        <w:adjustRightInd w:val="0"/>
        <w:snapToGrid w:val="0"/>
        <w:spacing w:line="360" w:lineRule="auto"/>
        <w:jc w:val="center"/>
        <w:rPr>
          <w:rFonts w:hint="default" w:ascii="宋体" w:hAnsi="宋体" w:eastAsia="宋体" w:cs="宋体"/>
          <w:b/>
          <w:color w:val="auto"/>
          <w:kern w:val="0"/>
          <w:position w:val="-2"/>
          <w:sz w:val="30"/>
          <w:highlight w:val="none"/>
          <w:lang w:val="en-US" w:eastAsia="zh-CN"/>
        </w:rPr>
      </w:pPr>
      <w:r>
        <w:rPr>
          <w:rFonts w:hint="eastAsia" w:ascii="宋体" w:hAnsi="宋体" w:cs="宋体"/>
          <w:b/>
          <w:color w:val="auto"/>
          <w:kern w:val="0"/>
          <w:sz w:val="30"/>
          <w:highlight w:val="none"/>
          <w:lang w:val="en-US" w:eastAsia="zh-CN"/>
        </w:rPr>
        <w:t>2024</w:t>
      </w:r>
      <w:r>
        <w:rPr>
          <w:rFonts w:hint="eastAsia" w:ascii="宋体" w:hAnsi="宋体" w:cs="宋体"/>
          <w:b/>
          <w:color w:val="auto"/>
          <w:kern w:val="0"/>
          <w:sz w:val="30"/>
          <w:highlight w:val="none"/>
        </w:rPr>
        <w:t>年</w:t>
      </w:r>
      <w:r>
        <w:rPr>
          <w:rFonts w:hint="eastAsia" w:ascii="宋体" w:hAnsi="宋体" w:cs="宋体"/>
          <w:b/>
          <w:color w:val="auto"/>
          <w:kern w:val="0"/>
          <w:sz w:val="30"/>
          <w:highlight w:val="none"/>
          <w:lang w:val="en-US" w:eastAsia="zh-CN"/>
        </w:rPr>
        <w:t>9</w:t>
      </w:r>
      <w:r>
        <w:rPr>
          <w:rFonts w:hint="eastAsia" w:ascii="宋体" w:hAnsi="宋体" w:cs="宋体"/>
          <w:b/>
          <w:color w:val="auto"/>
          <w:kern w:val="0"/>
          <w:sz w:val="30"/>
          <w:highlight w:val="none"/>
        </w:rPr>
        <w:t>月</w:t>
      </w:r>
    </w:p>
    <w:p>
      <w:pPr>
        <w:autoSpaceDE w:val="0"/>
        <w:autoSpaceDN w:val="0"/>
        <w:adjustRightInd w:val="0"/>
        <w:snapToGrid w:val="0"/>
        <w:spacing w:beforeLines="100" w:afterLines="100" w:line="360" w:lineRule="auto"/>
        <w:jc w:val="both"/>
        <w:rPr>
          <w:rFonts w:ascii="宋体" w:hAnsi="宋体" w:cs="宋体"/>
          <w:b/>
          <w:color w:val="auto"/>
          <w:kern w:val="0"/>
          <w:sz w:val="44"/>
          <w:highlight w:val="none"/>
        </w:rPr>
        <w:sectPr>
          <w:footerReference r:id="rId6" w:type="first"/>
          <w:headerReference r:id="rId3" w:type="default"/>
          <w:footerReference r:id="rId4" w:type="default"/>
          <w:footerReference r:id="rId5" w:type="even"/>
          <w:pgSz w:w="11907" w:h="16839"/>
          <w:pgMar w:top="709" w:right="992" w:bottom="709" w:left="1134" w:header="720" w:footer="720" w:gutter="0"/>
          <w:pgNumType w:start="0"/>
          <w:cols w:space="720" w:num="1"/>
          <w:titlePg/>
          <w:docGrid w:linePitch="286" w:charSpace="0"/>
        </w:sectPr>
      </w:pPr>
    </w:p>
    <w:p>
      <w:pPr>
        <w:autoSpaceDE w:val="0"/>
        <w:autoSpaceDN w:val="0"/>
        <w:adjustRightInd w:val="0"/>
        <w:snapToGrid w:val="0"/>
        <w:spacing w:beforeLines="100" w:afterLines="100" w:line="360" w:lineRule="auto"/>
        <w:jc w:val="center"/>
        <w:rPr>
          <w:rFonts w:ascii="宋体" w:hAnsi="宋体" w:cs="宋体"/>
          <w:b/>
          <w:color w:val="auto"/>
          <w:kern w:val="0"/>
          <w:sz w:val="44"/>
          <w:highlight w:val="none"/>
        </w:rPr>
      </w:pPr>
      <w:r>
        <w:rPr>
          <w:rFonts w:hint="eastAsia" w:ascii="宋体" w:hAnsi="宋体" w:cs="宋体"/>
          <w:b/>
          <w:color w:val="auto"/>
          <w:kern w:val="0"/>
          <w:sz w:val="44"/>
          <w:highlight w:val="none"/>
        </w:rPr>
        <w:t>目　　录</w:t>
      </w:r>
    </w:p>
    <w:p>
      <w:pPr>
        <w:pStyle w:val="42"/>
        <w:tabs>
          <w:tab w:val="right" w:leader="dot" w:pos="9781"/>
        </w:tabs>
        <w:ind w:left="0" w:firstLine="0"/>
        <w:jc w:val="distribute"/>
        <w:rPr>
          <w:rFonts w:ascii="宋体" w:hAnsi="宋体" w:eastAsia="宋体" w:cs="宋体"/>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TOC \o "1-2" \h \u </w:instrText>
      </w:r>
      <w:r>
        <w:rPr>
          <w:rFonts w:hint="eastAsia" w:ascii="宋体" w:hAnsi="宋体" w:eastAsia="宋体" w:cs="宋体"/>
          <w:color w:val="auto"/>
          <w:sz w:val="24"/>
          <w:highlight w:val="none"/>
        </w:rPr>
        <w:fldChar w:fldCharType="separate"/>
      </w:r>
      <w:r>
        <w:rPr>
          <w:color w:val="auto"/>
          <w:highlight w:val="none"/>
        </w:rPr>
        <w:fldChar w:fldCharType="begin"/>
      </w:r>
      <w:r>
        <w:rPr>
          <w:color w:val="auto"/>
          <w:highlight w:val="none"/>
        </w:rPr>
        <w:instrText xml:space="preserve"> HYPERLINK \l "_Toc29271" </w:instrText>
      </w:r>
      <w:r>
        <w:rPr>
          <w:color w:val="auto"/>
          <w:highlight w:val="none"/>
        </w:rPr>
        <w:fldChar w:fldCharType="separate"/>
      </w:r>
      <w:r>
        <w:rPr>
          <w:rFonts w:hint="eastAsia" w:ascii="宋体" w:hAnsi="宋体" w:eastAsia="宋体" w:cs="宋体"/>
          <w:color w:val="auto"/>
          <w:highlight w:val="none"/>
        </w:rPr>
        <w:t>第一章 比选公告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_Toc29271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2"/>
        <w:tabs>
          <w:tab w:val="right" w:leader="dot" w:pos="9781"/>
        </w:tabs>
        <w:ind w:left="0" w:firstLine="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"_Toc24904" </w:instrText>
      </w:r>
      <w:r>
        <w:rPr>
          <w:color w:val="auto"/>
          <w:highlight w:val="none"/>
        </w:rPr>
        <w:fldChar w:fldCharType="separate"/>
      </w:r>
      <w:r>
        <w:rPr>
          <w:rFonts w:hint="eastAsia" w:ascii="宋体" w:hAnsi="宋体" w:eastAsia="宋体" w:cs="宋体"/>
          <w:color w:val="auto"/>
          <w:highlight w:val="none"/>
        </w:rPr>
        <w:t>第二章 比选申请人须知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2"/>
        <w:tabs>
          <w:tab w:val="right" w:leader="dot" w:pos="9781"/>
        </w:tabs>
        <w:ind w:left="0" w:firstLine="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"_Toc20820" </w:instrText>
      </w:r>
      <w:r>
        <w:rPr>
          <w:color w:val="auto"/>
          <w:highlight w:val="none"/>
        </w:rPr>
        <w:fldChar w:fldCharType="separate"/>
      </w:r>
      <w:r>
        <w:rPr>
          <w:rFonts w:hint="eastAsia" w:ascii="宋体" w:hAnsi="宋体" w:eastAsia="宋体" w:cs="宋体"/>
          <w:color w:val="auto"/>
          <w:highlight w:val="none"/>
        </w:rPr>
        <w:t>第三章 评审办法（经评审的最低投标价法）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2"/>
        <w:tabs>
          <w:tab w:val="right" w:leader="dot" w:pos="9781"/>
        </w:tabs>
        <w:ind w:left="0" w:firstLine="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"_Toc4714" </w:instrText>
      </w:r>
      <w:r>
        <w:rPr>
          <w:color w:val="auto"/>
          <w:highlight w:val="none"/>
        </w:rPr>
        <w:fldChar w:fldCharType="separate"/>
      </w:r>
      <w:r>
        <w:rPr>
          <w:rFonts w:hint="eastAsia" w:ascii="宋体" w:hAnsi="宋体" w:eastAsia="宋体" w:cs="宋体"/>
          <w:color w:val="auto"/>
          <w:highlight w:val="none"/>
        </w:rPr>
        <w:t>第四章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2"/>
        <w:tabs>
          <w:tab w:val="right" w:leader="dot" w:pos="9781"/>
        </w:tabs>
        <w:ind w:left="0" w:firstLine="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"_Toc8043" </w:instrText>
      </w:r>
      <w:r>
        <w:rPr>
          <w:color w:val="auto"/>
          <w:highlight w:val="none"/>
        </w:rPr>
        <w:fldChar w:fldCharType="separate"/>
      </w:r>
      <w:r>
        <w:rPr>
          <w:rFonts w:hint="eastAsia" w:ascii="宋体" w:hAnsi="宋体" w:eastAsia="宋体" w:cs="宋体"/>
          <w:color w:val="auto"/>
          <w:highlight w:val="none"/>
        </w:rPr>
        <w:t>第五章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_Toc8043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2"/>
        <w:tabs>
          <w:tab w:val="right" w:leader="dot" w:pos="9781"/>
        </w:tabs>
        <w:ind w:left="0" w:firstLine="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"_Toc1909" </w:instrText>
      </w:r>
      <w:r>
        <w:rPr>
          <w:color w:val="auto"/>
          <w:highlight w:val="none"/>
        </w:rPr>
        <w:fldChar w:fldCharType="separate"/>
      </w:r>
      <w:r>
        <w:rPr>
          <w:rFonts w:hint="eastAsia" w:ascii="宋体" w:hAnsi="宋体" w:eastAsia="宋体" w:cs="宋体"/>
          <w:color w:val="auto"/>
          <w:highlight w:val="none"/>
        </w:rPr>
        <w:t>第六章 图纸</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2"/>
        <w:tabs>
          <w:tab w:val="right" w:leader="dot" w:pos="9781"/>
        </w:tabs>
        <w:ind w:left="0" w:firstLine="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"_Toc22089" </w:instrText>
      </w:r>
      <w:r>
        <w:rPr>
          <w:color w:val="auto"/>
          <w:highlight w:val="none"/>
        </w:rPr>
        <w:fldChar w:fldCharType="separate"/>
      </w:r>
      <w:r>
        <w:rPr>
          <w:rFonts w:hint="eastAsia" w:ascii="宋体" w:hAnsi="宋体" w:eastAsia="宋体" w:cs="宋体"/>
          <w:color w:val="auto"/>
          <w:highlight w:val="none"/>
        </w:rPr>
        <w:t>第七章 技术标准和要求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2"/>
        <w:tabs>
          <w:tab w:val="right" w:leader="dot" w:pos="9781"/>
        </w:tabs>
        <w:ind w:left="0" w:firstLine="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"_Toc17447" </w:instrText>
      </w:r>
      <w:r>
        <w:rPr>
          <w:color w:val="auto"/>
          <w:highlight w:val="none"/>
        </w:rPr>
        <w:fldChar w:fldCharType="separate"/>
      </w:r>
      <w:r>
        <w:rPr>
          <w:rFonts w:hint="eastAsia" w:ascii="宋体" w:hAnsi="宋体" w:eastAsia="宋体" w:cs="宋体"/>
          <w:color w:val="auto"/>
          <w:highlight w:val="none"/>
        </w:rPr>
        <w:t>第八章 比选申请文件格式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tabs>
          <w:tab w:val="right" w:leader="dot" w:pos="8613"/>
        </w:tabs>
        <w:autoSpaceDE w:val="0"/>
        <w:autoSpaceDN w:val="0"/>
        <w:adjustRightInd w:val="0"/>
        <w:snapToGrid w:val="0"/>
        <w:spacing w:before="120" w:after="120" w:line="360" w:lineRule="auto"/>
        <w:jc w:val="left"/>
        <w:rPr>
          <w:rFonts w:ascii="宋体" w:hAnsi="宋体" w:cs="宋体"/>
          <w:color w:val="auto"/>
          <w:kern w:val="0"/>
          <w:sz w:val="24"/>
          <w:highlight w:val="none"/>
        </w:rPr>
        <w:sectPr>
          <w:pgSz w:w="11907" w:h="16839"/>
          <w:pgMar w:top="709" w:right="992" w:bottom="709" w:left="1134" w:header="720" w:footer="720" w:gutter="0"/>
          <w:pgNumType w:start="0"/>
          <w:cols w:space="720" w:num="1"/>
          <w:titlePg/>
          <w:docGrid w:linePitch="286" w:charSpace="0"/>
        </w:sectPr>
      </w:pPr>
      <w:r>
        <w:rPr>
          <w:rFonts w:hint="eastAsia" w:ascii="宋体" w:hAnsi="宋体" w:cs="宋体"/>
          <w:color w:val="auto"/>
          <w:kern w:val="0"/>
          <w:highlight w:val="none"/>
        </w:rPr>
        <w:fldChar w:fldCharType="end"/>
      </w:r>
      <w:bookmarkStart w:id="0" w:name="_Toc29271"/>
      <w:bookmarkStart w:id="1" w:name="_Toc23006"/>
      <w:bookmarkStart w:id="2" w:name="_Toc11166806"/>
    </w:p>
    <w:p>
      <w:pPr>
        <w:tabs>
          <w:tab w:val="right" w:leader="dot" w:pos="8613"/>
        </w:tabs>
        <w:autoSpaceDE w:val="0"/>
        <w:autoSpaceDN w:val="0"/>
        <w:adjustRightInd w:val="0"/>
        <w:snapToGrid w:val="0"/>
        <w:spacing w:before="120" w:after="120" w:line="360" w:lineRule="auto"/>
        <w:jc w:val="center"/>
        <w:rPr>
          <w:rFonts w:ascii="宋体" w:hAnsi="宋体" w:cs="宋体"/>
          <w:b/>
          <w:color w:val="auto"/>
          <w:kern w:val="0"/>
          <w:sz w:val="44"/>
          <w:highlight w:val="none"/>
        </w:rPr>
      </w:pPr>
      <w:r>
        <w:rPr>
          <w:rFonts w:hint="eastAsia" w:ascii="宋体" w:hAnsi="宋体" w:cs="宋体"/>
          <w:b/>
          <w:color w:val="auto"/>
          <w:kern w:val="0"/>
          <w:sz w:val="44"/>
          <w:highlight w:val="none"/>
        </w:rPr>
        <w:t>第一章  比选公告</w:t>
      </w:r>
      <w:bookmarkEnd w:id="0"/>
      <w:bookmarkEnd w:id="1"/>
      <w:bookmarkEnd w:id="2"/>
    </w:p>
    <w:p>
      <w:pPr>
        <w:spacing w:line="360" w:lineRule="auto"/>
        <w:jc w:val="center"/>
        <w:textAlignment w:val="baseline"/>
        <w:rPr>
          <w:rFonts w:ascii="宋体" w:hAnsi="宋体" w:cs="宋体"/>
          <w:b/>
          <w:snapToGrid w:val="0"/>
          <w:color w:val="auto"/>
          <w:w w:val="99"/>
          <w:kern w:val="0"/>
          <w:sz w:val="32"/>
          <w:szCs w:val="32"/>
          <w:highlight w:val="none"/>
        </w:rPr>
      </w:pPr>
      <w:bookmarkStart w:id="3" w:name="OLE_LINK1"/>
      <w:r>
        <w:rPr>
          <w:rFonts w:hint="eastAsia" w:ascii="宋体" w:hAnsi="宋体" w:cs="宋体"/>
          <w:b/>
          <w:snapToGrid w:val="0"/>
          <w:color w:val="auto"/>
          <w:w w:val="99"/>
          <w:kern w:val="0"/>
          <w:sz w:val="32"/>
          <w:szCs w:val="32"/>
          <w:highlight w:val="none"/>
          <w:lang w:val="en-US" w:eastAsia="zh-CN"/>
        </w:rPr>
        <w:t>重庆市璧山区大路消防站建设工程新增160KVA临时配电工程</w:t>
      </w:r>
      <w:r>
        <w:rPr>
          <w:rFonts w:hint="eastAsia" w:ascii="宋体" w:hAnsi="宋体" w:cs="宋体"/>
          <w:b/>
          <w:snapToGrid w:val="0"/>
          <w:color w:val="auto"/>
          <w:w w:val="99"/>
          <w:kern w:val="0"/>
          <w:sz w:val="32"/>
          <w:szCs w:val="32"/>
          <w:highlight w:val="none"/>
        </w:rPr>
        <w:t>竞争性比选公告</w:t>
      </w:r>
    </w:p>
    <w:p>
      <w:pPr>
        <w:autoSpaceDE w:val="0"/>
        <w:autoSpaceDN w:val="0"/>
        <w:adjustRightInd w:val="0"/>
        <w:snapToGrid w:val="0"/>
        <w:spacing w:line="360" w:lineRule="auto"/>
        <w:jc w:val="left"/>
        <w:rPr>
          <w:rFonts w:ascii="宋体" w:hAnsi="宋体" w:cs="宋体"/>
          <w:snapToGrid w:val="0"/>
          <w:color w:val="auto"/>
          <w:kern w:val="0"/>
          <w:sz w:val="10"/>
          <w:szCs w:val="10"/>
          <w:highlight w:val="none"/>
        </w:rPr>
      </w:pPr>
    </w:p>
    <w:p>
      <w:pPr>
        <w:pStyle w:val="4"/>
        <w:spacing w:line="440" w:lineRule="exact"/>
        <w:rPr>
          <w:rFonts w:ascii="宋体" w:hAnsi="宋体" w:eastAsia="宋体" w:cs="宋体"/>
          <w:snapToGrid w:val="0"/>
          <w:color w:val="auto"/>
          <w:sz w:val="21"/>
          <w:szCs w:val="21"/>
          <w:highlight w:val="none"/>
        </w:rPr>
      </w:pPr>
      <w:bookmarkStart w:id="4" w:name="_Toc200359427"/>
      <w:bookmarkStart w:id="5" w:name="_Toc277082536"/>
      <w:bookmarkStart w:id="6" w:name="_Toc376114055"/>
      <w:bookmarkStart w:id="7" w:name="_Toc21111"/>
      <w:bookmarkStart w:id="8" w:name="_Toc224103299"/>
      <w:bookmarkStart w:id="9" w:name="_Toc11166807"/>
      <w:bookmarkStart w:id="10" w:name="_Toc5551"/>
      <w:bookmarkStart w:id="11" w:name="_Toc200359238"/>
      <w:bookmarkStart w:id="12" w:name="_Toc287607728"/>
      <w:bookmarkStart w:id="13" w:name="_Toc377067274"/>
      <w:bookmarkStart w:id="14" w:name="_Toc431287035"/>
      <w:bookmarkStart w:id="15" w:name="_Toc377115354"/>
      <w:bookmarkStart w:id="16" w:name="_Toc347847757"/>
      <w:r>
        <w:rPr>
          <w:rFonts w:hint="eastAsia" w:ascii="宋体" w:hAnsi="宋体" w:eastAsia="宋体" w:cs="宋体"/>
          <w:snapToGrid w:val="0"/>
          <w:color w:val="auto"/>
          <w:sz w:val="21"/>
          <w:szCs w:val="21"/>
          <w:highlight w:val="none"/>
        </w:rPr>
        <w:t>1. 比选条件</w:t>
      </w:r>
      <w:bookmarkEnd w:id="4"/>
      <w:bookmarkEnd w:id="5"/>
      <w:bookmarkEnd w:id="6"/>
      <w:bookmarkEnd w:id="7"/>
      <w:bookmarkEnd w:id="8"/>
      <w:bookmarkEnd w:id="9"/>
      <w:bookmarkEnd w:id="10"/>
      <w:bookmarkEnd w:id="11"/>
      <w:bookmarkEnd w:id="12"/>
      <w:bookmarkEnd w:id="13"/>
      <w:bookmarkEnd w:id="14"/>
      <w:bookmarkEnd w:id="15"/>
      <w:bookmarkEnd w:id="16"/>
    </w:p>
    <w:p>
      <w:pPr>
        <w:tabs>
          <w:tab w:val="left" w:pos="3000"/>
          <w:tab w:val="left" w:pos="3280"/>
          <w:tab w:val="left" w:pos="6120"/>
          <w:tab w:val="left" w:pos="7540"/>
          <w:tab w:val="left" w:pos="8320"/>
        </w:tabs>
        <w:autoSpaceDE w:val="0"/>
        <w:autoSpaceDN w:val="0"/>
        <w:adjustRightInd w:val="0"/>
        <w:snapToGrid w:val="0"/>
        <w:spacing w:line="440" w:lineRule="exact"/>
        <w:ind w:firstLine="420" w:firstLineChars="200"/>
        <w:rPr>
          <w:rFonts w:ascii="宋体" w:hAnsi="宋体" w:cs="宋体"/>
          <w:snapToGrid w:val="0"/>
          <w:color w:val="auto"/>
          <w:kern w:val="0"/>
          <w:szCs w:val="21"/>
          <w:highlight w:val="none"/>
        </w:rPr>
      </w:pPr>
      <w:bookmarkStart w:id="17" w:name="_Toc376114056"/>
      <w:bookmarkStart w:id="18" w:name="_Toc200359428"/>
      <w:bookmarkStart w:id="19" w:name="_Toc277082537"/>
      <w:bookmarkStart w:id="20" w:name="_Toc431287036"/>
      <w:bookmarkStart w:id="21" w:name="_Toc347847758"/>
      <w:bookmarkStart w:id="22" w:name="_Toc287607729"/>
      <w:bookmarkStart w:id="23" w:name="_Toc377115355"/>
      <w:bookmarkStart w:id="24" w:name="_Toc200359239"/>
      <w:bookmarkStart w:id="25" w:name="_Toc377067275"/>
      <w:bookmarkStart w:id="26" w:name="_Toc11166808"/>
      <w:bookmarkStart w:id="27" w:name="_Toc224103300"/>
      <w:r>
        <w:rPr>
          <w:rFonts w:hint="eastAsia" w:ascii="宋体" w:hAnsi="宋体" w:cs="宋体"/>
          <w:snapToGrid w:val="0"/>
          <w:color w:val="auto"/>
          <w:kern w:val="0"/>
          <w:szCs w:val="21"/>
          <w:highlight w:val="none"/>
        </w:rPr>
        <w:t>本</w:t>
      </w:r>
      <w:r>
        <w:rPr>
          <w:rFonts w:hint="eastAsia" w:ascii="宋体" w:hAnsi="宋体" w:cs="宋体"/>
          <w:snapToGrid w:val="0"/>
          <w:color w:val="auto"/>
          <w:kern w:val="0"/>
          <w:szCs w:val="21"/>
          <w:highlight w:val="none"/>
          <w:lang w:val="en-US" w:eastAsia="zh-CN"/>
        </w:rPr>
        <w:t>次</w:t>
      </w:r>
      <w:r>
        <w:rPr>
          <w:rFonts w:hint="eastAsia" w:ascii="宋体" w:hAnsi="宋体" w:cs="宋体"/>
          <w:snapToGrid w:val="0"/>
          <w:color w:val="auto"/>
          <w:kern w:val="0"/>
          <w:szCs w:val="21"/>
          <w:highlight w:val="none"/>
        </w:rPr>
        <w:t>比选项目</w:t>
      </w:r>
      <w:r>
        <w:rPr>
          <w:rFonts w:hint="eastAsia" w:ascii="宋体" w:hAnsi="宋体" w:cs="宋体"/>
          <w:snapToGrid w:val="0"/>
          <w:color w:val="auto"/>
          <w:kern w:val="0"/>
          <w:szCs w:val="21"/>
          <w:highlight w:val="none"/>
          <w:u w:val="single"/>
          <w:lang w:val="en-US" w:eastAsia="zh-CN"/>
        </w:rPr>
        <w:t>重庆市璧山区大路消防站建设工程新增160KVA临时配电工程</w:t>
      </w:r>
      <w:r>
        <w:rPr>
          <w:rFonts w:hint="eastAsia" w:ascii="宋体" w:hAnsi="宋体" w:cs="宋体"/>
          <w:snapToGrid w:val="0"/>
          <w:color w:val="auto"/>
          <w:kern w:val="0"/>
          <w:szCs w:val="21"/>
          <w:highlight w:val="none"/>
        </w:rPr>
        <w:t>，比选人为</w:t>
      </w:r>
      <w:r>
        <w:rPr>
          <w:rFonts w:hint="eastAsia" w:ascii="宋体" w:hAnsi="宋体" w:cs="宋体"/>
          <w:snapToGrid w:val="0"/>
          <w:color w:val="auto"/>
          <w:kern w:val="0"/>
          <w:szCs w:val="21"/>
          <w:highlight w:val="none"/>
          <w:u w:val="single"/>
          <w:lang w:eastAsia="zh-CN"/>
        </w:rPr>
        <w:t>重庆市璧山区城市建设投资有限公司</w:t>
      </w:r>
      <w:r>
        <w:rPr>
          <w:rFonts w:hint="eastAsia" w:ascii="宋体" w:hAnsi="宋体" w:cs="宋体"/>
          <w:snapToGrid w:val="0"/>
          <w:color w:val="auto"/>
          <w:kern w:val="0"/>
          <w:szCs w:val="21"/>
          <w:highlight w:val="none"/>
        </w:rPr>
        <w:t>，建设资金来源为</w:t>
      </w:r>
      <w:r>
        <w:rPr>
          <w:rFonts w:hint="eastAsia" w:ascii="宋体" w:hAnsi="宋体" w:cs="宋体"/>
          <w:snapToGrid w:val="0"/>
          <w:color w:val="auto"/>
          <w:kern w:val="0"/>
          <w:szCs w:val="21"/>
          <w:highlight w:val="none"/>
          <w:u w:val="single"/>
        </w:rPr>
        <w:t>国</w:t>
      </w:r>
      <w:r>
        <w:rPr>
          <w:rFonts w:hint="eastAsia" w:ascii="宋体" w:hAnsi="宋体" w:cs="宋体"/>
          <w:snapToGrid w:val="0"/>
          <w:color w:val="auto"/>
          <w:kern w:val="0"/>
          <w:szCs w:val="21"/>
          <w:highlight w:val="none"/>
          <w:u w:val="single"/>
          <w:lang w:val="en-US" w:eastAsia="zh-CN"/>
        </w:rPr>
        <w:t>有</w:t>
      </w:r>
      <w:r>
        <w:rPr>
          <w:rFonts w:hint="eastAsia" w:ascii="宋体" w:hAnsi="宋体" w:cs="宋体"/>
          <w:snapToGrid w:val="0"/>
          <w:color w:val="auto"/>
          <w:kern w:val="0"/>
          <w:szCs w:val="21"/>
          <w:highlight w:val="none"/>
          <w:u w:val="single"/>
        </w:rPr>
        <w:t>资金</w:t>
      </w:r>
      <w:r>
        <w:rPr>
          <w:rFonts w:hint="eastAsia" w:ascii="宋体" w:hAnsi="宋体" w:cs="宋体"/>
          <w:snapToGrid w:val="0"/>
          <w:color w:val="auto"/>
          <w:kern w:val="0"/>
          <w:szCs w:val="21"/>
          <w:highlight w:val="none"/>
        </w:rPr>
        <w:t>，项目出资比例</w:t>
      </w:r>
      <w:r>
        <w:rPr>
          <w:rFonts w:hint="eastAsia" w:ascii="宋体" w:hAnsi="宋体" w:cs="宋体"/>
          <w:snapToGrid w:val="0"/>
          <w:color w:val="auto"/>
          <w:kern w:val="0"/>
          <w:szCs w:val="21"/>
          <w:highlight w:val="none"/>
          <w:u w:val="single"/>
        </w:rPr>
        <w:t>100%</w:t>
      </w:r>
      <w:r>
        <w:rPr>
          <w:rFonts w:hint="eastAsia" w:ascii="宋体" w:hAnsi="宋体" w:cs="宋体"/>
          <w:snapToGrid w:val="0"/>
          <w:color w:val="auto"/>
          <w:kern w:val="0"/>
          <w:szCs w:val="21"/>
          <w:highlight w:val="none"/>
        </w:rPr>
        <w:t>。项目已具备比选条件，现对该项目的施工进行公开竞争性比选，欢迎符合条件的单位参与竞选。</w:t>
      </w:r>
    </w:p>
    <w:p>
      <w:pPr>
        <w:pStyle w:val="4"/>
        <w:spacing w:line="440" w:lineRule="exact"/>
        <w:rPr>
          <w:rFonts w:ascii="宋体" w:hAnsi="宋体" w:eastAsia="宋体" w:cs="宋体"/>
          <w:snapToGrid w:val="0"/>
          <w:color w:val="auto"/>
          <w:sz w:val="21"/>
          <w:szCs w:val="21"/>
          <w:highlight w:val="none"/>
        </w:rPr>
      </w:pPr>
      <w:bookmarkStart w:id="28" w:name="_Toc12432"/>
      <w:bookmarkStart w:id="29" w:name="_Toc6600"/>
      <w:r>
        <w:rPr>
          <w:rFonts w:hint="eastAsia" w:ascii="宋体" w:hAnsi="宋体" w:eastAsia="宋体" w:cs="宋体"/>
          <w:snapToGrid w:val="0"/>
          <w:color w:val="auto"/>
          <w:sz w:val="21"/>
          <w:szCs w:val="21"/>
          <w:highlight w:val="none"/>
        </w:rPr>
        <w:t>2. 项目概况与比选范围</w:t>
      </w:r>
      <w:bookmarkEnd w:id="17"/>
      <w:bookmarkEnd w:id="18"/>
      <w:bookmarkEnd w:id="19"/>
      <w:bookmarkEnd w:id="20"/>
      <w:bookmarkEnd w:id="21"/>
      <w:bookmarkEnd w:id="22"/>
      <w:bookmarkEnd w:id="23"/>
      <w:bookmarkEnd w:id="24"/>
      <w:bookmarkEnd w:id="25"/>
      <w:bookmarkEnd w:id="26"/>
      <w:bookmarkEnd w:id="27"/>
      <w:bookmarkEnd w:id="28"/>
      <w:bookmarkEnd w:id="29"/>
    </w:p>
    <w:p>
      <w:pPr>
        <w:widowControl/>
        <w:spacing w:line="440" w:lineRule="exact"/>
        <w:ind w:firstLine="420" w:firstLineChars="200"/>
        <w:jc w:val="left"/>
        <w:rPr>
          <w:rFonts w:ascii="宋体" w:hAnsi="宋体" w:cs="宋体"/>
          <w:color w:val="auto"/>
          <w:szCs w:val="21"/>
          <w:highlight w:val="none"/>
        </w:rPr>
      </w:pPr>
      <w:bookmarkStart w:id="30" w:name="_Toc277082538"/>
      <w:bookmarkStart w:id="31" w:name="_Toc224103301"/>
      <w:bookmarkStart w:id="32" w:name="_Toc200359240"/>
      <w:bookmarkStart w:id="33" w:name="_Toc200359429"/>
      <w:bookmarkStart w:id="34" w:name="_Toc287607730"/>
      <w:bookmarkStart w:id="35" w:name="_Toc347847759"/>
      <w:r>
        <w:rPr>
          <w:rFonts w:hint="eastAsia" w:ascii="宋体" w:hAnsi="宋体" w:cs="宋体"/>
          <w:color w:val="auto"/>
          <w:szCs w:val="21"/>
          <w:highlight w:val="none"/>
        </w:rPr>
        <w:t>2.1 工程地点：</w:t>
      </w:r>
      <w:r>
        <w:rPr>
          <w:rFonts w:hint="eastAsia" w:ascii="宋体" w:hAnsi="宋体" w:cs="宋体"/>
          <w:color w:val="auto"/>
          <w:szCs w:val="21"/>
          <w:highlight w:val="none"/>
          <w:lang w:val="en-US" w:eastAsia="zh-CN"/>
        </w:rPr>
        <w:t>重庆市璧山区大路街道</w:t>
      </w:r>
      <w:r>
        <w:rPr>
          <w:rFonts w:hint="eastAsia" w:ascii="宋体" w:hAnsi="宋体" w:cs="宋体"/>
          <w:color w:val="auto"/>
          <w:szCs w:val="21"/>
          <w:highlight w:val="none"/>
        </w:rPr>
        <w:t xml:space="preserve">。  </w:t>
      </w:r>
    </w:p>
    <w:p>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 工程规模：</w:t>
      </w:r>
      <w:r>
        <w:rPr>
          <w:rFonts w:hint="eastAsia" w:ascii="宋体" w:hAnsi="宋体" w:cs="宋体"/>
          <w:color w:val="auto"/>
          <w:szCs w:val="21"/>
          <w:highlight w:val="none"/>
          <w:lang w:val="en-US" w:eastAsia="zh-CN"/>
        </w:rPr>
        <w:t>总容量为 160KVA 的相关设施设备，通过“T”接供电接点新施放电缆至新建柱上变压器。</w:t>
      </w:r>
    </w:p>
    <w:p>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2.3本项目合同估算价：约</w:t>
      </w:r>
      <w:r>
        <w:rPr>
          <w:rFonts w:hint="eastAsia" w:ascii="宋体" w:hAnsi="宋体" w:cs="宋体"/>
          <w:color w:val="auto"/>
          <w:szCs w:val="21"/>
          <w:highlight w:val="none"/>
          <w:lang w:val="en-US" w:eastAsia="zh-CN"/>
        </w:rPr>
        <w:t xml:space="preserve"> 21.59 万元</w:t>
      </w:r>
      <w:r>
        <w:rPr>
          <w:rFonts w:hint="eastAsia" w:ascii="宋体" w:hAnsi="宋体" w:cs="宋体"/>
          <w:color w:val="auto"/>
          <w:szCs w:val="21"/>
          <w:highlight w:val="none"/>
        </w:rPr>
        <w:t>。</w:t>
      </w:r>
    </w:p>
    <w:p>
      <w:pPr>
        <w:widowControl/>
        <w:spacing w:line="440" w:lineRule="exact"/>
        <w:ind w:firstLine="420" w:firstLineChars="200"/>
        <w:jc w:val="left"/>
        <w:rPr>
          <w:rFonts w:ascii="宋体" w:hAnsi="宋体" w:cs="宋体"/>
          <w:snapToGrid w:val="0"/>
          <w:color w:val="auto"/>
          <w:kern w:val="0"/>
          <w:szCs w:val="21"/>
          <w:highlight w:val="none"/>
        </w:rPr>
      </w:pPr>
      <w:r>
        <w:rPr>
          <w:rFonts w:hint="eastAsia" w:ascii="宋体" w:hAnsi="宋体" w:cs="宋体"/>
          <w:color w:val="auto"/>
          <w:szCs w:val="21"/>
          <w:highlight w:val="none"/>
        </w:rPr>
        <w:t>2.4 比选范围：</w:t>
      </w:r>
      <w:r>
        <w:rPr>
          <w:rFonts w:hint="eastAsia" w:ascii="宋体" w:hAnsi="宋体" w:cs="宋体"/>
          <w:snapToGrid w:val="0"/>
          <w:color w:val="auto"/>
          <w:kern w:val="0"/>
          <w:szCs w:val="21"/>
          <w:highlight w:val="none"/>
          <w:u w:val="single"/>
        </w:rPr>
        <w:t>完成</w:t>
      </w:r>
      <w:r>
        <w:rPr>
          <w:rFonts w:hint="eastAsia" w:ascii="宋体" w:hAnsi="宋体" w:cs="宋体"/>
          <w:snapToGrid w:val="0"/>
          <w:color w:val="auto"/>
          <w:kern w:val="0"/>
          <w:szCs w:val="21"/>
          <w:highlight w:val="none"/>
          <w:u w:val="single"/>
          <w:lang w:val="en-US" w:eastAsia="zh-CN"/>
        </w:rPr>
        <w:t>重庆市璧山区大路消防站建设工程新增160KVA临时配电工程</w:t>
      </w:r>
      <w:r>
        <w:rPr>
          <w:rFonts w:hint="eastAsia" w:ascii="宋体" w:hAnsi="宋体" w:cs="宋体"/>
          <w:snapToGrid w:val="0"/>
          <w:color w:val="auto"/>
          <w:kern w:val="0"/>
          <w:szCs w:val="21"/>
          <w:highlight w:val="none"/>
          <w:u w:val="single"/>
        </w:rPr>
        <w:t>的所有工程内容，</w:t>
      </w:r>
      <w:r>
        <w:rPr>
          <w:rFonts w:hint="eastAsia" w:ascii="宋体" w:hAnsi="宋体" w:cs="宋体"/>
          <w:color w:val="auto"/>
          <w:szCs w:val="21"/>
          <w:highlight w:val="none"/>
          <w:u w:val="single"/>
        </w:rPr>
        <w:t>具体详见比选人提供的</w:t>
      </w:r>
      <w:r>
        <w:rPr>
          <w:rFonts w:hint="eastAsia" w:ascii="宋体" w:hAnsi="宋体" w:cs="宋体"/>
          <w:snapToGrid w:val="0"/>
          <w:color w:val="auto"/>
          <w:kern w:val="0"/>
          <w:szCs w:val="21"/>
          <w:highlight w:val="none"/>
          <w:u w:val="single"/>
        </w:rPr>
        <w:t>比选文件、工程量清单、比选文件补遗、答疑、澄清中补充的全部工程内容等</w:t>
      </w:r>
      <w:r>
        <w:rPr>
          <w:rFonts w:hint="eastAsia" w:ascii="宋体" w:hAnsi="宋体" w:cs="宋体"/>
          <w:snapToGrid w:val="0"/>
          <w:color w:val="auto"/>
          <w:kern w:val="0"/>
          <w:szCs w:val="21"/>
          <w:highlight w:val="none"/>
        </w:rPr>
        <w:t>。</w:t>
      </w:r>
    </w:p>
    <w:p>
      <w:pPr>
        <w:widowControl/>
        <w:spacing w:line="440" w:lineRule="exact"/>
        <w:ind w:firstLine="420" w:firstLineChars="200"/>
        <w:jc w:val="left"/>
        <w:rPr>
          <w:rFonts w:ascii="宋体" w:hAnsi="宋体" w:cs="宋体"/>
          <w:snapToGrid w:val="0"/>
          <w:color w:val="auto"/>
          <w:kern w:val="0"/>
          <w:szCs w:val="21"/>
          <w:highlight w:val="none"/>
        </w:rPr>
      </w:pPr>
      <w:r>
        <w:rPr>
          <w:rFonts w:hint="eastAsia" w:ascii="宋体" w:hAnsi="宋体" w:cs="宋体"/>
          <w:color w:val="auto"/>
          <w:szCs w:val="21"/>
          <w:highlight w:val="none"/>
        </w:rPr>
        <w:t xml:space="preserve">2.5 </w:t>
      </w:r>
      <w:r>
        <w:rPr>
          <w:rFonts w:hint="eastAsia" w:ascii="宋体" w:hAnsi="宋体" w:cs="宋体"/>
          <w:snapToGrid w:val="0"/>
          <w:color w:val="auto"/>
          <w:kern w:val="0"/>
          <w:szCs w:val="21"/>
          <w:highlight w:val="none"/>
        </w:rPr>
        <w:t>计划工期：</w:t>
      </w:r>
      <w:r>
        <w:rPr>
          <w:rFonts w:hint="eastAsia" w:ascii="宋体" w:hAnsi="宋体" w:cs="宋体"/>
          <w:snapToGrid w:val="0"/>
          <w:color w:val="auto"/>
          <w:kern w:val="0"/>
          <w:szCs w:val="21"/>
          <w:highlight w:val="none"/>
          <w:u w:val="single"/>
          <w:lang w:val="en-US" w:eastAsia="zh-CN"/>
        </w:rPr>
        <w:t>30</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日历天。</w:t>
      </w:r>
    </w:p>
    <w:p>
      <w:pPr>
        <w:pStyle w:val="4"/>
        <w:spacing w:line="440" w:lineRule="exact"/>
        <w:rPr>
          <w:rFonts w:ascii="宋体" w:hAnsi="宋体" w:eastAsia="宋体" w:cs="宋体"/>
          <w:snapToGrid w:val="0"/>
          <w:color w:val="auto"/>
          <w:sz w:val="21"/>
          <w:szCs w:val="21"/>
          <w:highlight w:val="none"/>
        </w:rPr>
      </w:pPr>
      <w:bookmarkStart w:id="36" w:name="_Toc377067276"/>
      <w:bookmarkStart w:id="37" w:name="_Toc30606"/>
      <w:bookmarkStart w:id="38" w:name="_Toc431287037"/>
      <w:bookmarkStart w:id="39" w:name="_Toc6300"/>
      <w:bookmarkStart w:id="40" w:name="_Toc377115356"/>
      <w:bookmarkStart w:id="41" w:name="_Toc11166809"/>
      <w:bookmarkStart w:id="42" w:name="_Toc376114057"/>
      <w:r>
        <w:rPr>
          <w:rFonts w:hint="eastAsia" w:ascii="宋体" w:hAnsi="宋体" w:eastAsia="宋体" w:cs="宋体"/>
          <w:snapToGrid w:val="0"/>
          <w:color w:val="auto"/>
          <w:sz w:val="21"/>
          <w:szCs w:val="21"/>
          <w:highlight w:val="none"/>
        </w:rPr>
        <w:t>3.比选申请人资格要求</w:t>
      </w:r>
      <w:bookmarkEnd w:id="30"/>
      <w:bookmarkEnd w:id="31"/>
      <w:bookmarkEnd w:id="32"/>
      <w:bookmarkEnd w:id="33"/>
      <w:bookmarkEnd w:id="34"/>
      <w:bookmarkEnd w:id="35"/>
      <w:bookmarkEnd w:id="36"/>
      <w:bookmarkEnd w:id="37"/>
      <w:bookmarkEnd w:id="38"/>
      <w:bookmarkEnd w:id="39"/>
      <w:bookmarkEnd w:id="40"/>
      <w:bookmarkEnd w:id="41"/>
      <w:bookmarkEnd w:id="42"/>
    </w:p>
    <w:p>
      <w:pPr>
        <w:tabs>
          <w:tab w:val="left" w:pos="3045"/>
          <w:tab w:val="left" w:pos="8310"/>
        </w:tabs>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 本次比选要求比选申请人</w:t>
      </w:r>
      <w:r>
        <w:rPr>
          <w:rFonts w:hint="eastAsia" w:ascii="宋体" w:hAnsi="宋体" w:cs="宋体"/>
          <w:snapToGrid w:val="0"/>
          <w:color w:val="auto"/>
          <w:kern w:val="0"/>
          <w:szCs w:val="21"/>
          <w:highlight w:val="none"/>
          <w:lang w:val="en-US" w:eastAsia="zh-CN"/>
        </w:rPr>
        <w:t>具备有效的建设行政主管部门颁发的电力工程施工总承包三级及以上资质或输变电工程专业承包三级及以上资质；并同时具备国家能源局（或国家电力监管委员会）颁发的电力设施许可证</w:t>
      </w:r>
      <w:r>
        <w:rPr>
          <w:rFonts w:hint="eastAsia" w:ascii="宋体" w:hAnsi="宋体" w:cs="宋体"/>
          <w:snapToGrid w:val="0"/>
          <w:color w:val="auto"/>
          <w:kern w:val="0"/>
          <w:szCs w:val="21"/>
          <w:highlight w:val="none"/>
        </w:rPr>
        <w:t>。</w:t>
      </w:r>
    </w:p>
    <w:p>
      <w:pPr>
        <w:pStyle w:val="2"/>
        <w:rPr>
          <w:rFonts w:hint="default" w:eastAsia="宋体"/>
          <w:color w:val="auto"/>
          <w:highlight w:val="none"/>
          <w:lang w:val="en-US" w:eastAsia="zh-CN"/>
        </w:rPr>
      </w:pPr>
      <w:r>
        <w:rPr>
          <w:rFonts w:hint="eastAsia" w:ascii="宋体" w:hAnsi="宋体" w:cs="宋体"/>
          <w:snapToGrid w:val="0"/>
          <w:color w:val="auto"/>
          <w:kern w:val="0"/>
          <w:szCs w:val="21"/>
          <w:highlight w:val="none"/>
          <w:lang w:val="en-US" w:eastAsia="zh-CN"/>
        </w:rPr>
        <w:t>3.2具备建设行政主管部门颁发的有效的企业安全生产许可证，企业主要负责人、拟担任本项目的项目经理具备建设行政主管颁发的有效的安全生产考核合格证书。</w:t>
      </w:r>
    </w:p>
    <w:p>
      <w:pPr>
        <w:tabs>
          <w:tab w:val="left" w:pos="3045"/>
          <w:tab w:val="left" w:pos="8310"/>
        </w:tabs>
        <w:autoSpaceDE w:val="0"/>
        <w:autoSpaceDN w:val="0"/>
        <w:adjustRightInd w:val="0"/>
        <w:snapToGrid w:val="0"/>
        <w:spacing w:line="44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本次比选不接受联合体参选。</w:t>
      </w:r>
    </w:p>
    <w:p>
      <w:pPr>
        <w:pStyle w:val="4"/>
        <w:spacing w:line="440" w:lineRule="exact"/>
        <w:rPr>
          <w:rFonts w:ascii="宋体" w:hAnsi="宋体" w:eastAsia="宋体" w:cs="宋体"/>
          <w:snapToGrid w:val="0"/>
          <w:color w:val="auto"/>
          <w:sz w:val="21"/>
          <w:szCs w:val="21"/>
          <w:highlight w:val="none"/>
        </w:rPr>
      </w:pPr>
      <w:bookmarkStart w:id="43" w:name="_Toc8222"/>
      <w:bookmarkStart w:id="44" w:name="_Toc18366"/>
      <w:bookmarkStart w:id="45" w:name="_Toc10714592"/>
      <w:r>
        <w:rPr>
          <w:rFonts w:hint="eastAsia" w:ascii="宋体" w:hAnsi="宋体" w:eastAsia="宋体" w:cs="宋体"/>
          <w:snapToGrid w:val="0"/>
          <w:color w:val="auto"/>
          <w:sz w:val="21"/>
          <w:szCs w:val="21"/>
          <w:highlight w:val="none"/>
        </w:rPr>
        <w:t>4.比选文件的获取</w:t>
      </w:r>
      <w:bookmarkEnd w:id="43"/>
      <w:bookmarkEnd w:id="44"/>
    </w:p>
    <w:bookmarkEnd w:id="45"/>
    <w:p>
      <w:pPr>
        <w:tabs>
          <w:tab w:val="left" w:pos="3000"/>
          <w:tab w:val="left" w:pos="3280"/>
          <w:tab w:val="left" w:pos="6120"/>
          <w:tab w:val="left" w:pos="7540"/>
          <w:tab w:val="left" w:pos="8320"/>
        </w:tabs>
        <w:autoSpaceDE w:val="0"/>
        <w:autoSpaceDN w:val="0"/>
        <w:adjustRightInd w:val="0"/>
        <w:snapToGrid w:val="0"/>
        <w:spacing w:line="440" w:lineRule="exact"/>
        <w:ind w:firstLine="420" w:firstLineChars="200"/>
        <w:rPr>
          <w:rFonts w:ascii="宋体" w:hAnsi="宋体" w:cs="宋体"/>
          <w:snapToGrid w:val="0"/>
          <w:color w:val="auto"/>
          <w:kern w:val="0"/>
          <w:szCs w:val="21"/>
          <w:highlight w:val="none"/>
        </w:rPr>
      </w:pPr>
      <w:bookmarkStart w:id="46" w:name="_Toc10714593"/>
      <w:r>
        <w:rPr>
          <w:rFonts w:hint="eastAsia" w:ascii="宋体" w:hAnsi="宋体" w:cs="宋体"/>
          <w:snapToGrid w:val="0"/>
          <w:color w:val="auto"/>
          <w:kern w:val="0"/>
          <w:szCs w:val="21"/>
          <w:highlight w:val="none"/>
        </w:rPr>
        <w:t>4.1 比选</w:t>
      </w:r>
      <w:r>
        <w:rPr>
          <w:rFonts w:hint="eastAsia" w:ascii="宋体" w:hAnsi="宋体" w:cs="宋体"/>
          <w:snapToGrid w:val="0"/>
          <w:color w:val="auto"/>
          <w:szCs w:val="21"/>
          <w:highlight w:val="none"/>
        </w:rPr>
        <w:t>文件的获取方式：</w:t>
      </w:r>
    </w:p>
    <w:p>
      <w:pPr>
        <w:spacing w:line="440" w:lineRule="exact"/>
        <w:ind w:left="105" w:leftChars="50" w:firstLine="315" w:firstLineChars="150"/>
        <w:rPr>
          <w:rFonts w:hint="eastAsia" w:ascii="宋体" w:hAnsi="宋体" w:eastAsia="宋体" w:cs="宋体"/>
          <w:color w:val="auto"/>
          <w:kern w:val="0"/>
          <w:szCs w:val="21"/>
          <w:highlight w:val="none"/>
          <w:lang w:eastAsia="zh-CN"/>
        </w:rPr>
      </w:pPr>
      <w:r>
        <w:rPr>
          <w:rFonts w:hint="eastAsia" w:ascii="宋体" w:hAnsi="宋体" w:cs="宋体"/>
          <w:b w:val="0"/>
          <w:bCs w:val="0"/>
          <w:color w:val="auto"/>
          <w:kern w:val="0"/>
          <w:szCs w:val="21"/>
          <w:highlight w:val="none"/>
        </w:rPr>
        <w:t>凡有意参加本项目的比选申请人请于</w:t>
      </w:r>
      <w:r>
        <w:rPr>
          <w:rFonts w:hint="eastAsia" w:ascii="宋体" w:hAnsi="宋体" w:cs="宋体"/>
          <w:b w:val="0"/>
          <w:bCs w:val="0"/>
          <w:color w:val="auto"/>
          <w:kern w:val="0"/>
          <w:szCs w:val="21"/>
          <w:highlight w:val="none"/>
          <w:u w:val="single"/>
          <w:lang w:val="en-US" w:eastAsia="zh-CN"/>
        </w:rPr>
        <w:t>2024</w:t>
      </w:r>
      <w:r>
        <w:rPr>
          <w:rFonts w:hint="eastAsia" w:ascii="宋体" w:hAnsi="宋体" w:cs="宋体"/>
          <w:b w:val="0"/>
          <w:bCs w:val="0"/>
          <w:color w:val="auto"/>
          <w:kern w:val="0"/>
          <w:szCs w:val="21"/>
          <w:highlight w:val="none"/>
          <w:u w:val="single"/>
        </w:rPr>
        <w:t xml:space="preserve"> </w:t>
      </w:r>
      <w:r>
        <w:rPr>
          <w:rFonts w:hint="eastAsia" w:ascii="宋体" w:hAnsi="宋体" w:cs="宋体"/>
          <w:b w:val="0"/>
          <w:bCs w:val="0"/>
          <w:color w:val="auto"/>
          <w:kern w:val="0"/>
          <w:szCs w:val="21"/>
          <w:highlight w:val="none"/>
        </w:rPr>
        <w:t>年</w:t>
      </w:r>
      <w:r>
        <w:rPr>
          <w:rFonts w:hint="eastAsia" w:ascii="宋体" w:hAnsi="宋体" w:cs="宋体"/>
          <w:b w:val="0"/>
          <w:bCs w:val="0"/>
          <w:color w:val="auto"/>
          <w:kern w:val="0"/>
          <w:szCs w:val="21"/>
          <w:highlight w:val="none"/>
          <w:u w:val="single"/>
          <w:lang w:val="en-US" w:eastAsia="zh-CN"/>
        </w:rPr>
        <w:t>9</w:t>
      </w:r>
      <w:r>
        <w:rPr>
          <w:rFonts w:hint="eastAsia" w:ascii="宋体" w:hAnsi="宋体" w:cs="宋体"/>
          <w:b w:val="0"/>
          <w:bCs w:val="0"/>
          <w:color w:val="auto"/>
          <w:kern w:val="0"/>
          <w:szCs w:val="21"/>
          <w:highlight w:val="none"/>
        </w:rPr>
        <w:t>月</w:t>
      </w:r>
      <w:r>
        <w:rPr>
          <w:rFonts w:hint="eastAsia" w:ascii="宋体" w:hAnsi="宋体" w:cs="宋体"/>
          <w:b w:val="0"/>
          <w:bCs w:val="0"/>
          <w:color w:val="auto"/>
          <w:kern w:val="0"/>
          <w:szCs w:val="21"/>
          <w:highlight w:val="none"/>
          <w:u w:val="single"/>
          <w:lang w:val="en-US" w:eastAsia="zh-CN"/>
        </w:rPr>
        <w:t>29</w:t>
      </w:r>
      <w:r>
        <w:rPr>
          <w:rFonts w:hint="eastAsia" w:ascii="宋体" w:hAnsi="宋体" w:cs="宋体"/>
          <w:b w:val="0"/>
          <w:bCs w:val="0"/>
          <w:color w:val="auto"/>
          <w:kern w:val="0"/>
          <w:szCs w:val="21"/>
          <w:highlight w:val="none"/>
        </w:rPr>
        <w:t>日至</w:t>
      </w:r>
      <w:r>
        <w:rPr>
          <w:rFonts w:hint="eastAsia" w:ascii="宋体" w:hAnsi="宋体" w:cs="宋体"/>
          <w:b w:val="0"/>
          <w:bCs w:val="0"/>
          <w:color w:val="auto"/>
          <w:kern w:val="0"/>
          <w:szCs w:val="21"/>
          <w:highlight w:val="none"/>
          <w:u w:val="single"/>
        </w:rPr>
        <w:t>202</w:t>
      </w:r>
      <w:r>
        <w:rPr>
          <w:rFonts w:hint="eastAsia" w:ascii="宋体" w:hAnsi="宋体" w:cs="宋体"/>
          <w:b w:val="0"/>
          <w:bCs w:val="0"/>
          <w:color w:val="auto"/>
          <w:kern w:val="0"/>
          <w:szCs w:val="21"/>
          <w:highlight w:val="none"/>
          <w:u w:val="single"/>
          <w:lang w:val="en-US" w:eastAsia="zh-CN"/>
        </w:rPr>
        <w:t>4</w:t>
      </w:r>
      <w:r>
        <w:rPr>
          <w:rFonts w:hint="eastAsia" w:ascii="宋体" w:hAnsi="宋体" w:cs="宋体"/>
          <w:b w:val="0"/>
          <w:bCs w:val="0"/>
          <w:color w:val="auto"/>
          <w:kern w:val="0"/>
          <w:szCs w:val="21"/>
          <w:highlight w:val="none"/>
          <w:u w:val="single"/>
        </w:rPr>
        <w:t xml:space="preserve"> </w:t>
      </w:r>
      <w:r>
        <w:rPr>
          <w:rFonts w:hint="eastAsia" w:ascii="宋体" w:hAnsi="宋体" w:cs="宋体"/>
          <w:b w:val="0"/>
          <w:bCs w:val="0"/>
          <w:color w:val="auto"/>
          <w:kern w:val="0"/>
          <w:szCs w:val="21"/>
          <w:highlight w:val="none"/>
        </w:rPr>
        <w:t>年</w:t>
      </w:r>
      <w:r>
        <w:rPr>
          <w:rFonts w:hint="eastAsia" w:ascii="宋体" w:hAnsi="宋体" w:cs="宋体"/>
          <w:b w:val="0"/>
          <w:bCs w:val="0"/>
          <w:color w:val="auto"/>
          <w:kern w:val="0"/>
          <w:szCs w:val="21"/>
          <w:highlight w:val="none"/>
          <w:u w:val="single"/>
          <w:lang w:val="en-US" w:eastAsia="zh-CN"/>
        </w:rPr>
        <w:t>10</w:t>
      </w:r>
      <w:r>
        <w:rPr>
          <w:rFonts w:hint="eastAsia" w:ascii="宋体" w:hAnsi="宋体" w:cs="宋体"/>
          <w:b w:val="0"/>
          <w:bCs w:val="0"/>
          <w:color w:val="auto"/>
          <w:kern w:val="0"/>
          <w:szCs w:val="21"/>
          <w:highlight w:val="none"/>
        </w:rPr>
        <w:t>月</w:t>
      </w:r>
      <w:r>
        <w:rPr>
          <w:rFonts w:hint="eastAsia" w:ascii="宋体" w:hAnsi="宋体" w:cs="宋体"/>
          <w:b w:val="0"/>
          <w:bCs w:val="0"/>
          <w:color w:val="auto"/>
          <w:kern w:val="0"/>
          <w:szCs w:val="21"/>
          <w:highlight w:val="none"/>
          <w:u w:val="single"/>
          <w:lang w:val="en-US" w:eastAsia="zh-CN"/>
        </w:rPr>
        <w:t>9</w:t>
      </w:r>
      <w:r>
        <w:rPr>
          <w:rFonts w:hint="eastAsia" w:ascii="宋体" w:hAnsi="宋体" w:cs="宋体"/>
          <w:b w:val="0"/>
          <w:bCs w:val="0"/>
          <w:color w:val="auto"/>
          <w:kern w:val="0"/>
          <w:szCs w:val="21"/>
          <w:highlight w:val="none"/>
        </w:rPr>
        <w:t>日，每日上午</w:t>
      </w:r>
      <w:r>
        <w:rPr>
          <w:rFonts w:hint="eastAsia" w:ascii="宋体" w:hAnsi="宋体" w:cs="宋体"/>
          <w:b w:val="0"/>
          <w:bCs w:val="0"/>
          <w:color w:val="auto"/>
          <w:kern w:val="0"/>
          <w:szCs w:val="21"/>
          <w:highlight w:val="none"/>
          <w:u w:val="single"/>
        </w:rPr>
        <w:t xml:space="preserve"> 9:00 </w:t>
      </w:r>
      <w:r>
        <w:rPr>
          <w:rFonts w:hint="eastAsia" w:ascii="宋体" w:hAnsi="宋体" w:cs="宋体"/>
          <w:b w:val="0"/>
          <w:bCs w:val="0"/>
          <w:color w:val="auto"/>
          <w:kern w:val="0"/>
          <w:szCs w:val="21"/>
          <w:highlight w:val="none"/>
        </w:rPr>
        <w:t>时至下午</w:t>
      </w:r>
      <w:r>
        <w:rPr>
          <w:rFonts w:hint="eastAsia" w:ascii="宋体" w:hAnsi="宋体" w:cs="宋体"/>
          <w:b w:val="0"/>
          <w:bCs w:val="0"/>
          <w:color w:val="auto"/>
          <w:kern w:val="0"/>
          <w:szCs w:val="21"/>
          <w:highlight w:val="none"/>
          <w:u w:val="single"/>
        </w:rPr>
        <w:t xml:space="preserve"> 17:30 </w:t>
      </w:r>
      <w:r>
        <w:rPr>
          <w:rFonts w:hint="eastAsia" w:ascii="宋体" w:hAnsi="宋体" w:cs="宋体"/>
          <w:b w:val="0"/>
          <w:bCs w:val="0"/>
          <w:color w:val="auto"/>
          <w:kern w:val="0"/>
          <w:szCs w:val="21"/>
          <w:highlight w:val="none"/>
        </w:rPr>
        <w:t>时（北京时间）,将公司</w:t>
      </w:r>
      <w:r>
        <w:rPr>
          <w:rFonts w:hint="eastAsia" w:ascii="宋体" w:hAnsi="宋体" w:cs="宋体"/>
          <w:b w:val="0"/>
          <w:bCs w:val="0"/>
          <w:snapToGrid w:val="0"/>
          <w:color w:val="auto"/>
          <w:kern w:val="0"/>
          <w:szCs w:val="21"/>
          <w:highlight w:val="none"/>
        </w:rPr>
        <w:t>授权委托书（或介绍信）</w:t>
      </w:r>
      <w:r>
        <w:rPr>
          <w:rFonts w:hint="eastAsia" w:ascii="宋体" w:hAnsi="宋体" w:cs="宋体"/>
          <w:b w:val="0"/>
          <w:bCs w:val="0"/>
          <w:color w:val="auto"/>
          <w:kern w:val="0"/>
          <w:szCs w:val="21"/>
          <w:highlight w:val="none"/>
        </w:rPr>
        <w:t>、营业执照并加盖比选申请单位鲜章后的扫描件传至</w:t>
      </w:r>
      <w:r>
        <w:rPr>
          <w:rFonts w:hint="eastAsia" w:ascii="宋体" w:hAnsi="宋体" w:cs="宋体"/>
          <w:b w:val="0"/>
          <w:bCs w:val="0"/>
          <w:color w:val="auto"/>
          <w:kern w:val="0"/>
          <w:szCs w:val="21"/>
          <w:highlight w:val="none"/>
          <w:u w:val="single"/>
          <w:lang w:val="en-US" w:eastAsia="zh-CN"/>
        </w:rPr>
        <w:t>364384794</w:t>
      </w:r>
      <w:r>
        <w:rPr>
          <w:rFonts w:hint="eastAsia" w:ascii="宋体" w:hAnsi="宋体" w:cs="宋体"/>
          <w:b w:val="0"/>
          <w:bCs w:val="0"/>
          <w:color w:val="auto"/>
          <w:kern w:val="0"/>
          <w:szCs w:val="21"/>
          <w:highlight w:val="none"/>
          <w:u w:val="single"/>
        </w:rPr>
        <w:t>@qq.com</w:t>
      </w:r>
      <w:r>
        <w:rPr>
          <w:rFonts w:hint="eastAsia" w:ascii="宋体" w:hAnsi="宋体" w:cs="宋体"/>
          <w:b w:val="0"/>
          <w:bCs w:val="0"/>
          <w:color w:val="auto"/>
          <w:kern w:val="0"/>
          <w:szCs w:val="21"/>
          <w:highlight w:val="none"/>
        </w:rPr>
        <w:t>并</w:t>
      </w:r>
      <w:r>
        <w:rPr>
          <w:rFonts w:hint="eastAsia" w:ascii="宋体" w:hAnsi="宋体" w:cs="宋体"/>
          <w:color w:val="auto"/>
          <w:kern w:val="0"/>
          <w:szCs w:val="21"/>
          <w:highlight w:val="none"/>
        </w:rPr>
        <w:t>电话通知如下联系人获取比选文件</w:t>
      </w:r>
      <w:r>
        <w:rPr>
          <w:rFonts w:hint="eastAsia" w:ascii="宋体" w:hAnsi="宋体" w:cs="宋体"/>
          <w:color w:val="auto"/>
          <w:kern w:val="0"/>
          <w:szCs w:val="21"/>
          <w:highlight w:val="none"/>
          <w:lang w:eastAsia="zh-CN"/>
        </w:rPr>
        <w:t>。</w:t>
      </w:r>
    </w:p>
    <w:p>
      <w:pPr>
        <w:tabs>
          <w:tab w:val="left" w:pos="8520"/>
        </w:tabs>
        <w:autoSpaceDE w:val="0"/>
        <w:autoSpaceDN w:val="0"/>
        <w:adjustRightInd w:val="0"/>
        <w:snapToGrid w:val="0"/>
        <w:spacing w:line="44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 系 人：</w:t>
      </w:r>
      <w:r>
        <w:rPr>
          <w:rFonts w:hint="eastAsia" w:ascii="宋体" w:hAnsi="宋体" w:cs="宋体"/>
          <w:snapToGrid w:val="0"/>
          <w:color w:val="auto"/>
          <w:kern w:val="0"/>
          <w:szCs w:val="21"/>
          <w:highlight w:val="none"/>
          <w:lang w:val="en-US" w:eastAsia="zh-CN"/>
        </w:rPr>
        <w:t>张</w:t>
      </w:r>
      <w:r>
        <w:rPr>
          <w:rFonts w:hint="eastAsia" w:ascii="宋体" w:hAnsi="宋体" w:cs="宋体"/>
          <w:snapToGrid w:val="0"/>
          <w:color w:val="auto"/>
          <w:kern w:val="0"/>
          <w:szCs w:val="21"/>
          <w:highlight w:val="none"/>
        </w:rPr>
        <w:t xml:space="preserve">老师 </w:t>
      </w:r>
    </w:p>
    <w:p>
      <w:pPr>
        <w:tabs>
          <w:tab w:val="left" w:pos="8520"/>
        </w:tabs>
        <w:autoSpaceDE w:val="0"/>
        <w:autoSpaceDN w:val="0"/>
        <w:adjustRightInd w:val="0"/>
        <w:snapToGrid w:val="0"/>
        <w:spacing w:line="440" w:lineRule="exact"/>
        <w:ind w:firstLine="359" w:firstLineChars="171"/>
        <w:jc w:val="left"/>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联系电话：</w:t>
      </w:r>
      <w:r>
        <w:rPr>
          <w:rFonts w:hint="eastAsia" w:ascii="宋体" w:hAnsi="宋体" w:cs="宋体"/>
          <w:snapToGrid w:val="0"/>
          <w:color w:val="auto"/>
          <w:kern w:val="0"/>
          <w:szCs w:val="21"/>
          <w:highlight w:val="none"/>
          <w:lang w:val="en-US" w:eastAsia="zh-CN"/>
        </w:rPr>
        <w:t>13330229250</w:t>
      </w:r>
    </w:p>
    <w:p>
      <w:pPr>
        <w:tabs>
          <w:tab w:val="left" w:pos="8520"/>
        </w:tabs>
        <w:autoSpaceDE w:val="0"/>
        <w:autoSpaceDN w:val="0"/>
        <w:adjustRightInd w:val="0"/>
        <w:snapToGrid w:val="0"/>
        <w:spacing w:line="44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联系地点：</w:t>
      </w:r>
      <w:r>
        <w:rPr>
          <w:rFonts w:hint="eastAsia" w:ascii="宋体" w:hAnsi="宋体" w:cs="宋体"/>
          <w:snapToGrid w:val="0"/>
          <w:color w:val="auto"/>
          <w:kern w:val="0"/>
          <w:szCs w:val="21"/>
          <w:highlight w:val="none"/>
          <w:lang w:eastAsia="zh-CN"/>
        </w:rPr>
        <w:t>鸿鲲咨询集团有限公司</w:t>
      </w:r>
      <w:r>
        <w:rPr>
          <w:rFonts w:hint="eastAsia" w:ascii="宋体" w:hAnsi="宋体" w:cs="宋体"/>
          <w:snapToGrid w:val="0"/>
          <w:color w:val="auto"/>
          <w:kern w:val="0"/>
          <w:szCs w:val="21"/>
          <w:highlight w:val="none"/>
        </w:rPr>
        <w:t xml:space="preserve"> </w:t>
      </w:r>
    </w:p>
    <w:p>
      <w:pPr>
        <w:pStyle w:val="4"/>
        <w:spacing w:line="440" w:lineRule="exact"/>
        <w:rPr>
          <w:rFonts w:ascii="宋体" w:hAnsi="宋体" w:eastAsia="宋体" w:cs="宋体"/>
          <w:snapToGrid w:val="0"/>
          <w:color w:val="auto"/>
          <w:sz w:val="21"/>
          <w:szCs w:val="21"/>
          <w:highlight w:val="none"/>
        </w:rPr>
      </w:pPr>
      <w:bookmarkStart w:id="47" w:name="_Toc19604"/>
      <w:bookmarkStart w:id="48" w:name="_Toc19867"/>
      <w:r>
        <w:rPr>
          <w:rFonts w:hint="eastAsia" w:ascii="宋体" w:hAnsi="宋体" w:eastAsia="宋体" w:cs="宋体"/>
          <w:snapToGrid w:val="0"/>
          <w:color w:val="auto"/>
          <w:sz w:val="21"/>
          <w:szCs w:val="21"/>
          <w:highlight w:val="none"/>
        </w:rPr>
        <w:t>5.比选申请文件的递交</w:t>
      </w:r>
      <w:bookmarkEnd w:id="46"/>
      <w:bookmarkEnd w:id="47"/>
      <w:bookmarkEnd w:id="48"/>
      <w:r>
        <w:rPr>
          <w:rFonts w:hint="eastAsia" w:ascii="宋体" w:hAnsi="宋体" w:eastAsia="宋体" w:cs="宋体"/>
          <w:snapToGrid w:val="0"/>
          <w:color w:val="auto"/>
          <w:sz w:val="21"/>
          <w:szCs w:val="21"/>
          <w:highlight w:val="none"/>
        </w:rPr>
        <w:tab/>
      </w:r>
    </w:p>
    <w:p>
      <w:pPr>
        <w:spacing w:line="440" w:lineRule="exact"/>
        <w:ind w:left="105" w:leftChars="50" w:firstLine="315" w:firstLineChars="150"/>
        <w:rPr>
          <w:rFonts w:ascii="宋体" w:hAnsi="宋体" w:cs="宋体"/>
          <w:color w:val="auto"/>
          <w:kern w:val="0"/>
          <w:szCs w:val="21"/>
          <w:highlight w:val="none"/>
          <w:u w:val="single"/>
        </w:rPr>
      </w:pPr>
      <w:r>
        <w:rPr>
          <w:rFonts w:hint="eastAsia" w:ascii="宋体" w:hAnsi="宋体" w:cs="宋体"/>
          <w:snapToGrid w:val="0"/>
          <w:color w:val="auto"/>
          <w:kern w:val="0"/>
          <w:szCs w:val="21"/>
          <w:highlight w:val="none"/>
        </w:rPr>
        <w:t>5.1比选申请文件的递交时间为</w:t>
      </w:r>
      <w:r>
        <w:rPr>
          <w:rFonts w:hint="eastAsia" w:ascii="宋体" w:hAnsi="宋体" w:cs="宋体"/>
          <w:snapToGrid w:val="0"/>
          <w:color w:val="auto"/>
          <w:kern w:val="0"/>
          <w:szCs w:val="21"/>
          <w:highlight w:val="none"/>
          <w:u w:val="single"/>
        </w:rPr>
        <w:t>202</w:t>
      </w:r>
      <w:r>
        <w:rPr>
          <w:rFonts w:hint="eastAsia" w:ascii="宋体" w:hAnsi="宋体" w:cs="宋体"/>
          <w:snapToGrid w:val="0"/>
          <w:color w:val="auto"/>
          <w:kern w:val="0"/>
          <w:szCs w:val="21"/>
          <w:highlight w:val="none"/>
          <w:u w:val="single"/>
          <w:lang w:val="en-US" w:eastAsia="zh-CN"/>
        </w:rPr>
        <w:t>4</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9</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30</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分至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0</w:t>
      </w:r>
      <w:r>
        <w:rPr>
          <w:rFonts w:hint="eastAsia" w:ascii="宋体" w:hAnsi="宋体" w:cs="宋体"/>
          <w:snapToGrid w:val="0"/>
          <w:color w:val="auto"/>
          <w:kern w:val="0"/>
          <w:szCs w:val="21"/>
          <w:highlight w:val="none"/>
          <w:u w:val="single"/>
        </w:rPr>
        <w:t xml:space="preserve">0 </w:t>
      </w:r>
      <w:r>
        <w:rPr>
          <w:rFonts w:hint="eastAsia" w:ascii="宋体" w:hAnsi="宋体" w:cs="宋体"/>
          <w:snapToGrid w:val="0"/>
          <w:color w:val="auto"/>
          <w:kern w:val="0"/>
          <w:szCs w:val="21"/>
          <w:highlight w:val="none"/>
        </w:rPr>
        <w:t>分（北京时间），</w:t>
      </w:r>
      <w:r>
        <w:rPr>
          <w:rFonts w:hint="eastAsia" w:ascii="宋体" w:hAnsi="宋体" w:cs="宋体"/>
          <w:color w:val="auto"/>
          <w:kern w:val="0"/>
          <w:szCs w:val="21"/>
          <w:highlight w:val="none"/>
        </w:rPr>
        <w:t>递交比选申请文件</w:t>
      </w:r>
      <w:r>
        <w:rPr>
          <w:rFonts w:hint="eastAsia" w:ascii="宋体" w:hAnsi="宋体" w:cs="宋体"/>
          <w:snapToGrid w:val="0"/>
          <w:color w:val="auto"/>
          <w:kern w:val="0"/>
          <w:szCs w:val="21"/>
          <w:highlight w:val="none"/>
        </w:rPr>
        <w:t>地点为</w:t>
      </w:r>
      <w:r>
        <w:rPr>
          <w:rFonts w:hint="eastAsia" w:ascii="宋体" w:hAnsi="宋体" w:cs="宋体"/>
          <w:snapToGrid w:val="0"/>
          <w:color w:val="auto"/>
          <w:kern w:val="0"/>
          <w:szCs w:val="21"/>
          <w:highlight w:val="none"/>
          <w:u w:val="single"/>
          <w:lang w:eastAsia="zh-CN"/>
        </w:rPr>
        <w:t>重庆市璧山区城市建设投资有限公司</w:t>
      </w:r>
      <w:r>
        <w:rPr>
          <w:rFonts w:hint="eastAsia" w:ascii="宋体" w:hAnsi="宋体" w:cs="宋体"/>
          <w:snapToGrid w:val="0"/>
          <w:color w:val="auto"/>
          <w:kern w:val="0"/>
          <w:szCs w:val="21"/>
          <w:highlight w:val="none"/>
          <w:u w:val="single"/>
          <w:lang w:val="en-US" w:eastAsia="zh-CN"/>
        </w:rPr>
        <w:t>会议室（重庆市璧山区璧泉街道双星大道50号CBD 1栋四楼）</w:t>
      </w:r>
      <w:r>
        <w:rPr>
          <w:rFonts w:hint="eastAsia" w:ascii="宋体" w:hAnsi="宋体" w:cs="宋体"/>
          <w:color w:val="auto"/>
          <w:kern w:val="0"/>
          <w:szCs w:val="21"/>
          <w:highlight w:val="none"/>
          <w:u w:val="single"/>
        </w:rPr>
        <w:t>。</w:t>
      </w:r>
    </w:p>
    <w:p>
      <w:pPr>
        <w:spacing w:line="440" w:lineRule="exact"/>
        <w:ind w:left="105" w:leftChars="50" w:firstLine="315" w:firstLineChars="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5.2比选截止时间（同开标时间）</w:t>
      </w:r>
      <w:r>
        <w:rPr>
          <w:rFonts w:hint="eastAsia" w:ascii="宋体" w:hAnsi="宋体" w:cs="宋体"/>
          <w:snapToGrid w:val="0"/>
          <w:color w:val="auto"/>
          <w:kern w:val="0"/>
          <w:szCs w:val="21"/>
          <w:highlight w:val="none"/>
          <w:u w:val="single"/>
        </w:rPr>
        <w:t>202</w:t>
      </w:r>
      <w:r>
        <w:rPr>
          <w:rFonts w:hint="eastAsia" w:ascii="宋体" w:hAnsi="宋体" w:cs="宋体"/>
          <w:snapToGrid w:val="0"/>
          <w:color w:val="auto"/>
          <w:kern w:val="0"/>
          <w:szCs w:val="21"/>
          <w:highlight w:val="none"/>
          <w:u w:val="single"/>
          <w:lang w:val="en-US" w:eastAsia="zh-CN"/>
        </w:rPr>
        <w:t>4</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0</w:t>
      </w:r>
      <w:r>
        <w:rPr>
          <w:rFonts w:hint="eastAsia" w:ascii="宋体" w:hAnsi="宋体" w:cs="宋体"/>
          <w:snapToGrid w:val="0"/>
          <w:color w:val="auto"/>
          <w:kern w:val="0"/>
          <w:szCs w:val="21"/>
          <w:highlight w:val="none"/>
          <w:u w:val="single"/>
        </w:rPr>
        <w:t xml:space="preserve">0 </w:t>
      </w:r>
      <w:r>
        <w:rPr>
          <w:rFonts w:hint="eastAsia" w:ascii="宋体" w:hAnsi="宋体" w:cs="宋体"/>
          <w:snapToGrid w:val="0"/>
          <w:color w:val="auto"/>
          <w:kern w:val="0"/>
          <w:szCs w:val="21"/>
          <w:highlight w:val="none"/>
        </w:rPr>
        <w:t>分（北京时间）。</w:t>
      </w:r>
    </w:p>
    <w:p>
      <w:pPr>
        <w:spacing w:line="440" w:lineRule="exact"/>
        <w:ind w:left="105" w:leftChars="50" w:firstLine="315" w:firstLineChars="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5.3 逾期送达的或者未送达指定地点的比选申请文件，比选人不予受理。</w:t>
      </w:r>
    </w:p>
    <w:p>
      <w:pPr>
        <w:pStyle w:val="4"/>
        <w:spacing w:line="440" w:lineRule="exact"/>
        <w:rPr>
          <w:rFonts w:ascii="宋体" w:hAnsi="宋体" w:eastAsia="宋体" w:cs="宋体"/>
          <w:snapToGrid w:val="0"/>
          <w:color w:val="auto"/>
          <w:sz w:val="21"/>
          <w:szCs w:val="21"/>
          <w:highlight w:val="none"/>
        </w:rPr>
      </w:pPr>
      <w:bookmarkStart w:id="49" w:name="_Toc12359"/>
      <w:bookmarkStart w:id="50" w:name="_Toc2068"/>
      <w:r>
        <w:rPr>
          <w:rFonts w:hint="eastAsia" w:ascii="宋体" w:hAnsi="宋体" w:eastAsia="宋体" w:cs="宋体"/>
          <w:snapToGrid w:val="0"/>
          <w:color w:val="auto"/>
          <w:sz w:val="21"/>
          <w:szCs w:val="21"/>
          <w:highlight w:val="none"/>
        </w:rPr>
        <w:t>6、发布公告的媒介</w:t>
      </w:r>
      <w:bookmarkEnd w:id="49"/>
      <w:bookmarkEnd w:id="50"/>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本次比选公告在重庆市璧山区人民政府网上</w:t>
      </w:r>
      <w:r>
        <w:rPr>
          <w:rFonts w:hint="eastAsia" w:ascii="宋体" w:hAnsi="宋体" w:cs="宋体"/>
          <w:snapToGrid w:val="0"/>
          <w:color w:val="auto"/>
          <w:kern w:val="0"/>
          <w:szCs w:val="21"/>
          <w:highlight w:val="none"/>
        </w:rPr>
        <w:t>发布</w:t>
      </w:r>
      <w:r>
        <w:rPr>
          <w:rFonts w:hint="eastAsia" w:ascii="宋体" w:hAnsi="宋体" w:cs="宋体"/>
          <w:color w:val="auto"/>
          <w:kern w:val="0"/>
          <w:szCs w:val="21"/>
          <w:highlight w:val="none"/>
        </w:rPr>
        <w:t>。</w:t>
      </w:r>
    </w:p>
    <w:p>
      <w:pPr>
        <w:tabs>
          <w:tab w:val="left" w:pos="4950"/>
        </w:tabs>
        <w:autoSpaceDE w:val="0"/>
        <w:autoSpaceDN w:val="0"/>
        <w:adjustRightInd w:val="0"/>
        <w:snapToGrid w:val="0"/>
        <w:spacing w:line="440" w:lineRule="exact"/>
        <w:jc w:val="left"/>
        <w:rPr>
          <w:rFonts w:ascii="宋体" w:hAnsi="宋体" w:cs="宋体"/>
          <w:b/>
          <w:snapToGrid w:val="0"/>
          <w:color w:val="auto"/>
          <w:spacing w:val="1"/>
          <w:w w:val="99"/>
          <w:szCs w:val="21"/>
          <w:highlight w:val="none"/>
        </w:rPr>
      </w:pPr>
      <w:r>
        <w:rPr>
          <w:rFonts w:hint="eastAsia" w:ascii="宋体" w:hAnsi="宋体" w:cs="宋体"/>
          <w:b/>
          <w:snapToGrid w:val="0"/>
          <w:color w:val="auto"/>
          <w:spacing w:val="1"/>
          <w:w w:val="99"/>
          <w:szCs w:val="21"/>
          <w:highlight w:val="none"/>
        </w:rPr>
        <w:t>7、联系方式</w:t>
      </w:r>
    </w:p>
    <w:p>
      <w:pPr>
        <w:tabs>
          <w:tab w:val="left" w:pos="8520"/>
        </w:tabs>
        <w:autoSpaceDE w:val="0"/>
        <w:autoSpaceDN w:val="0"/>
        <w:adjustRightInd w:val="0"/>
        <w:snapToGrid w:val="0"/>
        <w:spacing w:line="440" w:lineRule="exact"/>
        <w:ind w:firstLine="359" w:firstLineChars="171"/>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比 选 人：</w:t>
      </w:r>
      <w:r>
        <w:rPr>
          <w:rFonts w:hint="eastAsia" w:ascii="宋体" w:hAnsi="宋体" w:cs="宋体"/>
          <w:snapToGrid w:val="0"/>
          <w:color w:val="auto"/>
          <w:kern w:val="0"/>
          <w:szCs w:val="21"/>
          <w:highlight w:val="none"/>
          <w:lang w:eastAsia="zh-CN"/>
        </w:rPr>
        <w:t>重庆市璧山区城市建设投资有限公司</w:t>
      </w:r>
    </w:p>
    <w:p>
      <w:pPr>
        <w:tabs>
          <w:tab w:val="left" w:pos="8520"/>
        </w:tabs>
        <w:autoSpaceDE w:val="0"/>
        <w:autoSpaceDN w:val="0"/>
        <w:adjustRightInd w:val="0"/>
        <w:snapToGrid w:val="0"/>
        <w:spacing w:line="440" w:lineRule="exact"/>
        <w:ind w:firstLine="359" w:firstLineChars="171"/>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地    址：</w:t>
      </w:r>
      <w:r>
        <w:rPr>
          <w:rFonts w:hint="eastAsia" w:ascii="宋体" w:hAnsi="宋体" w:cs="宋体"/>
          <w:snapToGrid w:val="0"/>
          <w:color w:val="auto"/>
          <w:kern w:val="0"/>
          <w:szCs w:val="21"/>
          <w:highlight w:val="none"/>
          <w:lang w:eastAsia="zh-CN"/>
        </w:rPr>
        <w:t>重庆市璧山区璧城街道双星大道369号2号楼3楼</w:t>
      </w:r>
    </w:p>
    <w:p>
      <w:pPr>
        <w:tabs>
          <w:tab w:val="left" w:pos="8520"/>
        </w:tabs>
        <w:autoSpaceDE w:val="0"/>
        <w:autoSpaceDN w:val="0"/>
        <w:adjustRightInd w:val="0"/>
        <w:snapToGrid w:val="0"/>
        <w:spacing w:line="44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 系 人：</w:t>
      </w:r>
      <w:r>
        <w:rPr>
          <w:rFonts w:hint="eastAsia" w:ascii="宋体" w:hAnsi="宋体" w:cs="宋体"/>
          <w:snapToGrid w:val="0"/>
          <w:color w:val="auto"/>
          <w:kern w:val="0"/>
          <w:szCs w:val="21"/>
          <w:highlight w:val="none"/>
          <w:lang w:val="en-US" w:eastAsia="zh-CN"/>
        </w:rPr>
        <w:t>谢老师</w:t>
      </w:r>
    </w:p>
    <w:p>
      <w:pPr>
        <w:tabs>
          <w:tab w:val="left" w:pos="8520"/>
        </w:tabs>
        <w:autoSpaceDE w:val="0"/>
        <w:autoSpaceDN w:val="0"/>
        <w:adjustRightInd w:val="0"/>
        <w:snapToGrid w:val="0"/>
        <w:spacing w:line="440" w:lineRule="exact"/>
        <w:ind w:firstLine="359" w:firstLineChars="171"/>
        <w:jc w:val="left"/>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联系电话：</w:t>
      </w:r>
      <w:r>
        <w:rPr>
          <w:rFonts w:hint="eastAsia" w:ascii="宋体" w:hAnsi="宋体" w:cs="宋体"/>
          <w:snapToGrid w:val="0"/>
          <w:color w:val="auto"/>
          <w:kern w:val="0"/>
          <w:szCs w:val="21"/>
          <w:highlight w:val="none"/>
          <w:lang w:val="en-US" w:eastAsia="zh-CN"/>
        </w:rPr>
        <w:t>17830047367</w:t>
      </w:r>
    </w:p>
    <w:p>
      <w:pPr>
        <w:tabs>
          <w:tab w:val="left" w:pos="8520"/>
        </w:tabs>
        <w:autoSpaceDE w:val="0"/>
        <w:autoSpaceDN w:val="0"/>
        <w:adjustRightInd w:val="0"/>
        <w:snapToGrid w:val="0"/>
        <w:spacing w:line="440" w:lineRule="exact"/>
        <w:ind w:firstLine="359" w:firstLineChars="171"/>
        <w:jc w:val="left"/>
        <w:rPr>
          <w:rFonts w:ascii="宋体" w:hAnsi="宋体" w:cs="宋体"/>
          <w:snapToGrid w:val="0"/>
          <w:color w:val="auto"/>
          <w:kern w:val="0"/>
          <w:szCs w:val="21"/>
          <w:highlight w:val="none"/>
        </w:rPr>
      </w:pPr>
    </w:p>
    <w:p>
      <w:pPr>
        <w:tabs>
          <w:tab w:val="left" w:pos="8520"/>
        </w:tabs>
        <w:autoSpaceDE w:val="0"/>
        <w:autoSpaceDN w:val="0"/>
        <w:adjustRightInd w:val="0"/>
        <w:snapToGrid w:val="0"/>
        <w:spacing w:line="44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比选代理机构：</w:t>
      </w:r>
      <w:r>
        <w:rPr>
          <w:rFonts w:hint="eastAsia" w:ascii="宋体" w:hAnsi="宋体" w:cs="宋体"/>
          <w:snapToGrid w:val="0"/>
          <w:color w:val="auto"/>
          <w:kern w:val="0"/>
          <w:szCs w:val="21"/>
          <w:highlight w:val="none"/>
          <w:lang w:eastAsia="zh-CN"/>
        </w:rPr>
        <w:t>鸿鲲咨询集团有限公司</w:t>
      </w:r>
      <w:r>
        <w:rPr>
          <w:rFonts w:hint="eastAsia" w:ascii="宋体" w:hAnsi="宋体" w:cs="宋体"/>
          <w:snapToGrid w:val="0"/>
          <w:color w:val="auto"/>
          <w:kern w:val="0"/>
          <w:szCs w:val="21"/>
          <w:highlight w:val="none"/>
        </w:rPr>
        <w:t xml:space="preserve"> </w:t>
      </w:r>
    </w:p>
    <w:p>
      <w:pPr>
        <w:tabs>
          <w:tab w:val="left" w:pos="8520"/>
        </w:tabs>
        <w:autoSpaceDE w:val="0"/>
        <w:autoSpaceDN w:val="0"/>
        <w:adjustRightInd w:val="0"/>
        <w:snapToGrid w:val="0"/>
        <w:spacing w:line="440" w:lineRule="exact"/>
        <w:ind w:firstLine="359" w:firstLineChars="171"/>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地    址：</w:t>
      </w:r>
      <w:r>
        <w:rPr>
          <w:rFonts w:hint="eastAsia" w:ascii="宋体" w:hAnsi="宋体" w:cs="宋体"/>
          <w:snapToGrid w:val="0"/>
          <w:color w:val="auto"/>
          <w:kern w:val="0"/>
          <w:szCs w:val="21"/>
          <w:highlight w:val="none"/>
          <w:lang w:val="en-US" w:eastAsia="zh-CN"/>
        </w:rPr>
        <w:t>四川省</w:t>
      </w:r>
      <w:r>
        <w:rPr>
          <w:rFonts w:hint="eastAsia" w:ascii="宋体" w:hAnsi="宋体" w:cs="宋体"/>
          <w:snapToGrid w:val="0"/>
          <w:color w:val="auto"/>
          <w:kern w:val="0"/>
          <w:szCs w:val="21"/>
          <w:highlight w:val="none"/>
          <w:lang w:eastAsia="zh-CN"/>
        </w:rPr>
        <w:t>泸定县泸桥镇安乐坝村瑞金路200号</w:t>
      </w:r>
    </w:p>
    <w:p>
      <w:pPr>
        <w:tabs>
          <w:tab w:val="left" w:pos="8520"/>
        </w:tabs>
        <w:autoSpaceDE w:val="0"/>
        <w:autoSpaceDN w:val="0"/>
        <w:adjustRightInd w:val="0"/>
        <w:snapToGrid w:val="0"/>
        <w:spacing w:line="44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 系 人：</w:t>
      </w:r>
      <w:r>
        <w:rPr>
          <w:rFonts w:hint="eastAsia" w:ascii="宋体" w:hAnsi="宋体" w:cs="宋体"/>
          <w:snapToGrid w:val="0"/>
          <w:color w:val="auto"/>
          <w:kern w:val="0"/>
          <w:szCs w:val="21"/>
          <w:highlight w:val="none"/>
          <w:lang w:val="en-US" w:eastAsia="zh-CN"/>
        </w:rPr>
        <w:t>张</w:t>
      </w:r>
      <w:r>
        <w:rPr>
          <w:rFonts w:hint="eastAsia" w:ascii="宋体" w:hAnsi="宋体" w:cs="宋体"/>
          <w:snapToGrid w:val="0"/>
          <w:color w:val="auto"/>
          <w:kern w:val="0"/>
          <w:szCs w:val="21"/>
          <w:highlight w:val="none"/>
        </w:rPr>
        <w:t xml:space="preserve">老师 </w:t>
      </w:r>
    </w:p>
    <w:p>
      <w:pPr>
        <w:tabs>
          <w:tab w:val="left" w:pos="8520"/>
        </w:tabs>
        <w:autoSpaceDE w:val="0"/>
        <w:autoSpaceDN w:val="0"/>
        <w:adjustRightInd w:val="0"/>
        <w:snapToGrid w:val="0"/>
        <w:spacing w:line="44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 ：</w:t>
      </w:r>
      <w:r>
        <w:rPr>
          <w:rFonts w:hint="eastAsia" w:ascii="宋体" w:hAnsi="宋体" w:cs="宋体"/>
          <w:snapToGrid w:val="0"/>
          <w:color w:val="auto"/>
          <w:kern w:val="0"/>
          <w:szCs w:val="21"/>
          <w:highlight w:val="none"/>
          <w:lang w:val="en-US" w:eastAsia="zh-CN"/>
        </w:rPr>
        <w:t>13330229250</w:t>
      </w:r>
    </w:p>
    <w:p>
      <w:pPr>
        <w:tabs>
          <w:tab w:val="left" w:pos="4950"/>
        </w:tabs>
        <w:wordWrap w:val="0"/>
        <w:autoSpaceDE w:val="0"/>
        <w:autoSpaceDN w:val="0"/>
        <w:adjustRightInd w:val="0"/>
        <w:snapToGrid w:val="0"/>
        <w:spacing w:line="460" w:lineRule="exact"/>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2024</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18</w:t>
      </w:r>
      <w:r>
        <w:rPr>
          <w:rFonts w:hint="eastAsia" w:ascii="宋体" w:hAnsi="宋体" w:cs="宋体"/>
          <w:snapToGrid w:val="0"/>
          <w:color w:val="auto"/>
          <w:kern w:val="0"/>
          <w:szCs w:val="21"/>
          <w:highlight w:val="none"/>
        </w:rPr>
        <w:t xml:space="preserve">日 </w:t>
      </w:r>
    </w:p>
    <w:bookmarkEnd w:id="3"/>
    <w:p>
      <w:pPr>
        <w:tabs>
          <w:tab w:val="left" w:pos="4950"/>
        </w:tabs>
        <w:autoSpaceDE w:val="0"/>
        <w:autoSpaceDN w:val="0"/>
        <w:adjustRightInd w:val="0"/>
        <w:snapToGrid w:val="0"/>
        <w:spacing w:line="360" w:lineRule="auto"/>
        <w:rPr>
          <w:rFonts w:ascii="宋体" w:hAnsi="宋体" w:cs="宋体"/>
          <w:snapToGrid w:val="0"/>
          <w:color w:val="auto"/>
          <w:kern w:val="0"/>
          <w:szCs w:val="21"/>
          <w:highlight w:val="none"/>
        </w:rPr>
      </w:pPr>
    </w:p>
    <w:p>
      <w:pPr>
        <w:pStyle w:val="3"/>
        <w:pageBreakBefore/>
        <w:numPr>
          <w:ilvl w:val="0"/>
          <w:numId w:val="10"/>
        </w:numPr>
        <w:ind w:left="0" w:firstLine="0"/>
        <w:rPr>
          <w:rFonts w:ascii="宋体" w:hAnsi="宋体" w:eastAsia="宋体" w:cs="宋体"/>
          <w:b/>
          <w:color w:val="auto"/>
          <w:highlight w:val="none"/>
        </w:rPr>
      </w:pPr>
      <w:bookmarkStart w:id="51" w:name="_Toc11166813"/>
      <w:r>
        <w:rPr>
          <w:rFonts w:hint="eastAsia" w:ascii="宋体" w:hAnsi="宋体" w:eastAsia="宋体" w:cs="宋体"/>
          <w:b/>
          <w:color w:val="auto"/>
          <w:highlight w:val="none"/>
        </w:rPr>
        <w:t xml:space="preserve"> </w:t>
      </w:r>
      <w:bookmarkStart w:id="52" w:name="_Toc24904"/>
      <w:bookmarkStart w:id="53" w:name="_Toc2929"/>
      <w:r>
        <w:rPr>
          <w:rFonts w:hint="eastAsia" w:ascii="宋体" w:hAnsi="宋体" w:eastAsia="宋体" w:cs="宋体"/>
          <w:b/>
          <w:color w:val="auto"/>
          <w:highlight w:val="none"/>
        </w:rPr>
        <w:t>比选申请人须知</w:t>
      </w:r>
      <w:bookmarkEnd w:id="51"/>
      <w:bookmarkEnd w:id="52"/>
      <w:bookmarkEnd w:id="53"/>
    </w:p>
    <w:p>
      <w:pPr>
        <w:pStyle w:val="4"/>
        <w:spacing w:line="440" w:lineRule="exact"/>
        <w:rPr>
          <w:rFonts w:ascii="宋体" w:hAnsi="宋体" w:eastAsia="宋体" w:cs="宋体"/>
          <w:color w:val="auto"/>
          <w:w w:val="100"/>
          <w:sz w:val="20"/>
          <w:highlight w:val="none"/>
        </w:rPr>
      </w:pPr>
      <w:bookmarkStart w:id="54" w:name="_Toc11166814"/>
      <w:bookmarkStart w:id="55" w:name="_Toc30634"/>
      <w:bookmarkStart w:id="56" w:name="_Toc13287"/>
      <w:bookmarkStart w:id="57" w:name="_Toc356243614"/>
      <w:bookmarkStart w:id="58" w:name="_Toc354386951"/>
      <w:bookmarkStart w:id="59" w:name="_Toc431287042"/>
      <w:r>
        <w:rPr>
          <w:rFonts w:hint="eastAsia" w:ascii="宋体" w:hAnsi="宋体" w:eastAsia="宋体" w:cs="宋体"/>
          <w:color w:val="auto"/>
          <w:w w:val="100"/>
          <w:highlight w:val="none"/>
        </w:rPr>
        <w:t>比选申请人须知前附表</w:t>
      </w:r>
      <w:bookmarkEnd w:id="54"/>
      <w:bookmarkEnd w:id="55"/>
      <w:bookmarkEnd w:id="56"/>
      <w:bookmarkEnd w:id="57"/>
      <w:bookmarkEnd w:id="58"/>
      <w:bookmarkEnd w:id="59"/>
    </w:p>
    <w:tbl>
      <w:tblPr>
        <w:tblStyle w:val="64"/>
        <w:tblpPr w:leftFromText="180" w:rightFromText="180" w:vertAnchor="text" w:tblpXSpec="center" w:tblpY="1"/>
        <w:tblOverlap w:val="never"/>
        <w:tblW w:w="10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083"/>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blHeader/>
        </w:trPr>
        <w:tc>
          <w:tcPr>
            <w:tcW w:w="982" w:type="dxa"/>
            <w:shd w:val="clear" w:color="auto" w:fill="auto"/>
            <w:vAlign w:val="center"/>
          </w:tcPr>
          <w:p>
            <w:pPr>
              <w:snapToGrid w:val="0"/>
              <w:spacing w:line="440" w:lineRule="exact"/>
              <w:jc w:val="center"/>
              <w:rPr>
                <w:rFonts w:ascii="宋体" w:hAnsi="宋体" w:cs="宋体"/>
                <w:b/>
                <w:color w:val="auto"/>
                <w:kern w:val="0"/>
                <w:highlight w:val="none"/>
              </w:rPr>
            </w:pPr>
            <w:r>
              <w:rPr>
                <w:rFonts w:hint="eastAsia" w:ascii="宋体" w:hAnsi="宋体" w:cs="宋体"/>
                <w:b/>
                <w:color w:val="auto"/>
                <w:kern w:val="0"/>
                <w:highlight w:val="none"/>
              </w:rPr>
              <w:t>条 款 号</w:t>
            </w:r>
          </w:p>
        </w:tc>
        <w:tc>
          <w:tcPr>
            <w:tcW w:w="2083" w:type="dxa"/>
            <w:shd w:val="clear" w:color="auto" w:fill="auto"/>
            <w:vAlign w:val="center"/>
          </w:tcPr>
          <w:p>
            <w:pPr>
              <w:snapToGrid w:val="0"/>
              <w:spacing w:line="440" w:lineRule="exact"/>
              <w:jc w:val="center"/>
              <w:rPr>
                <w:rFonts w:ascii="宋体" w:hAnsi="宋体" w:cs="宋体"/>
                <w:b/>
                <w:color w:val="auto"/>
                <w:kern w:val="0"/>
                <w:highlight w:val="none"/>
              </w:rPr>
            </w:pPr>
            <w:r>
              <w:rPr>
                <w:rFonts w:hint="eastAsia" w:ascii="宋体" w:hAnsi="宋体" w:cs="宋体"/>
                <w:b/>
                <w:color w:val="auto"/>
                <w:kern w:val="0"/>
                <w:highlight w:val="none"/>
              </w:rPr>
              <w:t>条款名称</w:t>
            </w:r>
          </w:p>
        </w:tc>
        <w:tc>
          <w:tcPr>
            <w:tcW w:w="7287" w:type="dxa"/>
            <w:shd w:val="clear" w:color="auto" w:fill="auto"/>
            <w:vAlign w:val="center"/>
          </w:tcPr>
          <w:p>
            <w:pPr>
              <w:snapToGrid w:val="0"/>
              <w:spacing w:line="440" w:lineRule="exact"/>
              <w:jc w:val="center"/>
              <w:rPr>
                <w:rFonts w:ascii="宋体" w:hAnsi="宋体" w:cs="宋体"/>
                <w:b/>
                <w:color w:val="auto"/>
                <w:kern w:val="0"/>
                <w:highlight w:val="none"/>
              </w:rPr>
            </w:pPr>
            <w:r>
              <w:rPr>
                <w:rFonts w:hint="eastAsia" w:ascii="宋体" w:hAnsi="宋体" w:cs="宋体"/>
                <w:b/>
                <w:color w:val="auto"/>
                <w:kern w:val="0"/>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6"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1.1.2</w:t>
            </w:r>
          </w:p>
        </w:tc>
        <w:tc>
          <w:tcPr>
            <w:tcW w:w="2083" w:type="dxa"/>
            <w:shd w:val="clear" w:color="auto" w:fill="auto"/>
            <w:vAlign w:val="center"/>
          </w:tcPr>
          <w:p>
            <w:pPr>
              <w:snapToGrid w:val="0"/>
              <w:spacing w:line="44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  选  人</w:t>
            </w:r>
          </w:p>
        </w:tc>
        <w:tc>
          <w:tcPr>
            <w:tcW w:w="7287" w:type="dxa"/>
            <w:shd w:val="clear" w:color="auto" w:fill="auto"/>
            <w:vAlign w:val="center"/>
          </w:tcPr>
          <w:p>
            <w:pPr>
              <w:tabs>
                <w:tab w:val="left" w:pos="8520"/>
              </w:tabs>
              <w:autoSpaceDE w:val="0"/>
              <w:autoSpaceDN w:val="0"/>
              <w:adjustRightInd w:val="0"/>
              <w:snapToGrid w:val="0"/>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比 选 人：</w:t>
            </w:r>
            <w:r>
              <w:rPr>
                <w:rFonts w:hint="eastAsia" w:ascii="宋体" w:hAnsi="宋体" w:cs="宋体"/>
                <w:color w:val="auto"/>
                <w:szCs w:val="21"/>
                <w:highlight w:val="none"/>
                <w:lang w:eastAsia="zh-CN"/>
              </w:rPr>
              <w:t>重庆市璧山区城市建设投资有限公司</w:t>
            </w:r>
          </w:p>
          <w:p>
            <w:pPr>
              <w:tabs>
                <w:tab w:val="left" w:pos="8520"/>
              </w:tabs>
              <w:autoSpaceDE w:val="0"/>
              <w:autoSpaceDN w:val="0"/>
              <w:adjustRightInd w:val="0"/>
              <w:snapToGrid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地    址：重庆市璧山区璧城街道双星大道369号2号楼3楼</w:t>
            </w:r>
          </w:p>
          <w:p>
            <w:pPr>
              <w:tabs>
                <w:tab w:val="left" w:pos="8520"/>
              </w:tabs>
              <w:autoSpaceDE w:val="0"/>
              <w:autoSpaceDN w:val="0"/>
              <w:adjustRightInd w:val="0"/>
              <w:snapToGrid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联 系 人：</w:t>
            </w:r>
            <w:r>
              <w:rPr>
                <w:rFonts w:hint="eastAsia" w:ascii="宋体" w:hAnsi="宋体" w:cs="宋体"/>
                <w:color w:val="auto"/>
                <w:szCs w:val="21"/>
                <w:highlight w:val="none"/>
                <w:lang w:val="en-US" w:eastAsia="zh-CN"/>
              </w:rPr>
              <w:t>谢老师</w:t>
            </w:r>
          </w:p>
          <w:p>
            <w:pPr>
              <w:tabs>
                <w:tab w:val="left" w:pos="8520"/>
              </w:tabs>
              <w:autoSpaceDE w:val="0"/>
              <w:autoSpaceDN w:val="0"/>
              <w:adjustRightInd w:val="0"/>
              <w:snapToGrid w:val="0"/>
              <w:spacing w:line="440" w:lineRule="exact"/>
              <w:jc w:val="left"/>
              <w:rPr>
                <w:rFonts w:ascii="宋体" w:hAnsi="宋体" w:cs="宋体"/>
                <w:color w:val="auto"/>
                <w:kern w:val="0"/>
                <w:sz w:val="24"/>
                <w:szCs w:val="24"/>
                <w:highlight w:val="none"/>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17830047367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1"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1.1.3</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比选代理机构</w:t>
            </w:r>
          </w:p>
        </w:tc>
        <w:tc>
          <w:tcPr>
            <w:tcW w:w="7287" w:type="dxa"/>
            <w:shd w:val="clear" w:color="auto" w:fill="auto"/>
            <w:vAlign w:val="center"/>
          </w:tcPr>
          <w:p>
            <w:pPr>
              <w:tabs>
                <w:tab w:val="left" w:pos="8520"/>
              </w:tabs>
              <w:autoSpaceDE w:val="0"/>
              <w:autoSpaceDN w:val="0"/>
              <w:adjustRightInd w:val="0"/>
              <w:snapToGrid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 xml:space="preserve">比选代理机构：鸿鲲咨询集团有限公司 </w:t>
            </w:r>
          </w:p>
          <w:p>
            <w:pPr>
              <w:tabs>
                <w:tab w:val="left" w:pos="8520"/>
              </w:tabs>
              <w:autoSpaceDE w:val="0"/>
              <w:autoSpaceDN w:val="0"/>
              <w:adjustRightInd w:val="0"/>
              <w:snapToGrid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地    址：泸定县泸桥镇安乐坝村瑞金路200号</w:t>
            </w:r>
          </w:p>
          <w:p>
            <w:pPr>
              <w:tabs>
                <w:tab w:val="left" w:pos="8520"/>
              </w:tabs>
              <w:autoSpaceDE w:val="0"/>
              <w:autoSpaceDN w:val="0"/>
              <w:adjustRightInd w:val="0"/>
              <w:snapToGrid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联 系 人：</w:t>
            </w:r>
            <w:r>
              <w:rPr>
                <w:rFonts w:hint="eastAsia" w:ascii="宋体" w:hAnsi="宋体" w:cs="宋体"/>
                <w:color w:val="auto"/>
                <w:szCs w:val="21"/>
                <w:highlight w:val="none"/>
                <w:lang w:val="en-US" w:eastAsia="zh-CN"/>
              </w:rPr>
              <w:t>张</w:t>
            </w:r>
            <w:r>
              <w:rPr>
                <w:rFonts w:hint="eastAsia" w:ascii="宋体" w:hAnsi="宋体" w:cs="宋体"/>
                <w:color w:val="auto"/>
                <w:szCs w:val="21"/>
                <w:highlight w:val="none"/>
                <w:lang w:eastAsia="zh-CN"/>
              </w:rPr>
              <w:t xml:space="preserve">老师 </w:t>
            </w:r>
          </w:p>
          <w:p>
            <w:pPr>
              <w:tabs>
                <w:tab w:val="left" w:pos="8520"/>
              </w:tabs>
              <w:autoSpaceDE w:val="0"/>
              <w:autoSpaceDN w:val="0"/>
              <w:adjustRightInd w:val="0"/>
              <w:snapToGrid w:val="0"/>
              <w:spacing w:line="440" w:lineRule="exact"/>
              <w:jc w:val="left"/>
              <w:rPr>
                <w:rFonts w:ascii="宋体" w:hAnsi="宋体" w:cs="宋体"/>
                <w:snapToGrid w:val="0"/>
                <w:color w:val="auto"/>
                <w:kern w:val="0"/>
                <w:szCs w:val="21"/>
                <w:highlight w:val="none"/>
              </w:rPr>
            </w:pPr>
            <w:r>
              <w:rPr>
                <w:rFonts w:hint="eastAsia" w:ascii="宋体" w:hAnsi="宋体" w:cs="宋体"/>
                <w:color w:val="auto"/>
                <w:szCs w:val="21"/>
                <w:highlight w:val="none"/>
                <w:lang w:eastAsia="zh-CN"/>
              </w:rPr>
              <w:t>联系电话 ：</w:t>
            </w:r>
            <w:r>
              <w:rPr>
                <w:rFonts w:hint="eastAsia" w:ascii="宋体" w:hAnsi="宋体" w:cs="宋体"/>
                <w:color w:val="auto"/>
                <w:szCs w:val="21"/>
                <w:highlight w:val="none"/>
                <w:lang w:val="en-US" w:eastAsia="zh-CN"/>
              </w:rPr>
              <w:t>13330229250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1.1.4</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比选项目名称</w:t>
            </w:r>
          </w:p>
        </w:tc>
        <w:tc>
          <w:tcPr>
            <w:tcW w:w="7287" w:type="dxa"/>
            <w:shd w:val="clear" w:color="auto" w:fill="auto"/>
            <w:vAlign w:val="center"/>
          </w:tcPr>
          <w:p>
            <w:pPr>
              <w:spacing w:line="44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重庆市璧山区大路消防站建设工程新增160KVA临时配电工程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1.1.5</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工程地点</w:t>
            </w:r>
          </w:p>
        </w:tc>
        <w:tc>
          <w:tcPr>
            <w:tcW w:w="7287" w:type="dxa"/>
            <w:shd w:val="clear" w:color="auto" w:fill="auto"/>
            <w:vAlign w:val="center"/>
          </w:tcPr>
          <w:p>
            <w:pPr>
              <w:spacing w:line="44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重庆市璧山区大路街道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1.2.1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资金来源</w:t>
            </w:r>
          </w:p>
        </w:tc>
        <w:tc>
          <w:tcPr>
            <w:tcW w:w="7287" w:type="dxa"/>
            <w:shd w:val="clear" w:color="auto" w:fill="auto"/>
            <w:vAlign w:val="center"/>
          </w:tcPr>
          <w:p>
            <w:pPr>
              <w:spacing w:line="440" w:lineRule="exact"/>
              <w:jc w:val="left"/>
              <w:textAlignment w:val="baseline"/>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国有资金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 w:hRule="atLeast"/>
        </w:trPr>
        <w:tc>
          <w:tcPr>
            <w:tcW w:w="982" w:type="dxa"/>
            <w:shd w:val="clear" w:color="auto" w:fill="auto"/>
            <w:vAlign w:val="center"/>
          </w:tcPr>
          <w:p>
            <w:pPr>
              <w:spacing w:line="440" w:lineRule="exact"/>
              <w:jc w:val="center"/>
              <w:rPr>
                <w:rFonts w:ascii="宋体" w:hAnsi="宋体" w:cs="宋体"/>
                <w:color w:val="auto"/>
                <w:kern w:val="0"/>
                <w:highlight w:val="none"/>
              </w:rPr>
            </w:pPr>
            <w:r>
              <w:rPr>
                <w:rFonts w:hint="eastAsia" w:ascii="宋体" w:hAnsi="宋体" w:cs="宋体"/>
                <w:color w:val="auto"/>
                <w:kern w:val="0"/>
                <w:highlight w:val="none"/>
              </w:rPr>
              <w:t>1.3.1</w:t>
            </w:r>
          </w:p>
        </w:tc>
        <w:tc>
          <w:tcPr>
            <w:tcW w:w="2083" w:type="dxa"/>
            <w:shd w:val="clear" w:color="auto" w:fill="auto"/>
            <w:vAlign w:val="center"/>
          </w:tcPr>
          <w:p>
            <w:pPr>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比选范围</w:t>
            </w:r>
          </w:p>
        </w:tc>
        <w:tc>
          <w:tcPr>
            <w:tcW w:w="7287" w:type="dxa"/>
            <w:shd w:val="clear" w:color="auto" w:fill="auto"/>
            <w:vAlign w:val="center"/>
          </w:tcPr>
          <w:p>
            <w:pPr>
              <w:widowControl/>
              <w:spacing w:line="44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none"/>
              </w:rPr>
              <w:t>完成</w:t>
            </w:r>
            <w:r>
              <w:rPr>
                <w:rFonts w:hint="eastAsia" w:ascii="宋体" w:hAnsi="宋体" w:cs="宋体"/>
                <w:snapToGrid w:val="0"/>
                <w:color w:val="auto"/>
                <w:kern w:val="0"/>
                <w:szCs w:val="21"/>
                <w:highlight w:val="none"/>
                <w:u w:val="none"/>
                <w:lang w:val="en-US" w:eastAsia="zh-CN"/>
              </w:rPr>
              <w:t>重庆市璧山区大路消防站建设工程新增160KVA临时配电工程</w:t>
            </w:r>
            <w:r>
              <w:rPr>
                <w:rFonts w:hint="eastAsia" w:ascii="宋体" w:hAnsi="宋体" w:cs="宋体"/>
                <w:snapToGrid w:val="0"/>
                <w:color w:val="auto"/>
                <w:kern w:val="0"/>
                <w:szCs w:val="21"/>
                <w:highlight w:val="none"/>
                <w:u w:val="none"/>
              </w:rPr>
              <w:t>的所有工程内容，</w:t>
            </w:r>
            <w:r>
              <w:rPr>
                <w:rFonts w:hint="eastAsia" w:ascii="宋体" w:hAnsi="宋体" w:cs="宋体"/>
                <w:color w:val="auto"/>
                <w:szCs w:val="21"/>
                <w:highlight w:val="none"/>
                <w:u w:val="none"/>
              </w:rPr>
              <w:t>具体详见比选人提供的</w:t>
            </w:r>
            <w:r>
              <w:rPr>
                <w:rFonts w:hint="eastAsia" w:ascii="宋体" w:hAnsi="宋体" w:cs="宋体"/>
                <w:snapToGrid w:val="0"/>
                <w:color w:val="auto"/>
                <w:kern w:val="0"/>
                <w:szCs w:val="21"/>
                <w:highlight w:val="none"/>
                <w:u w:val="none"/>
              </w:rPr>
              <w:t>比选文件、工程量清单、比选文件补遗、答疑、澄清中补充的全部工程内容等。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982" w:type="dxa"/>
            <w:shd w:val="clear" w:color="auto" w:fill="auto"/>
            <w:vAlign w:val="center"/>
          </w:tcPr>
          <w:p>
            <w:pPr>
              <w:spacing w:line="440" w:lineRule="exact"/>
              <w:jc w:val="center"/>
              <w:rPr>
                <w:rFonts w:ascii="宋体" w:hAnsi="宋体" w:cs="宋体"/>
                <w:color w:val="auto"/>
                <w:kern w:val="0"/>
                <w:highlight w:val="none"/>
              </w:rPr>
            </w:pPr>
            <w:r>
              <w:rPr>
                <w:rFonts w:hint="eastAsia" w:ascii="宋体" w:hAnsi="宋体" w:cs="宋体"/>
                <w:color w:val="auto"/>
                <w:kern w:val="0"/>
                <w:highlight w:val="none"/>
              </w:rPr>
              <w:t>1.3.2</w:t>
            </w:r>
          </w:p>
        </w:tc>
        <w:tc>
          <w:tcPr>
            <w:tcW w:w="2083" w:type="dxa"/>
            <w:shd w:val="clear" w:color="auto" w:fill="auto"/>
            <w:vAlign w:val="center"/>
          </w:tcPr>
          <w:p>
            <w:pPr>
              <w:spacing w:line="440" w:lineRule="exact"/>
              <w:jc w:val="center"/>
              <w:rPr>
                <w:rFonts w:ascii="宋体" w:hAnsi="宋体" w:cs="宋体"/>
                <w:color w:val="auto"/>
                <w:kern w:val="0"/>
                <w:highlight w:val="none"/>
              </w:rPr>
            </w:pPr>
            <w:r>
              <w:rPr>
                <w:rFonts w:hint="eastAsia" w:ascii="宋体" w:hAnsi="宋体" w:cs="宋体"/>
                <w:color w:val="auto"/>
                <w:kern w:val="0"/>
                <w:highlight w:val="none"/>
              </w:rPr>
              <w:t>计划工期</w:t>
            </w:r>
          </w:p>
        </w:tc>
        <w:tc>
          <w:tcPr>
            <w:tcW w:w="7287" w:type="dxa"/>
            <w:shd w:val="clear" w:color="auto" w:fill="auto"/>
            <w:vAlign w:val="center"/>
          </w:tcPr>
          <w:p>
            <w:pPr>
              <w:widowControl/>
              <w:spacing w:line="44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none"/>
                <w:lang w:val="en-US" w:eastAsia="zh-CN"/>
              </w:rPr>
              <w:t>30</w:t>
            </w:r>
            <w:r>
              <w:rPr>
                <w:rFonts w:hint="eastAsia" w:ascii="宋体" w:hAnsi="宋体" w:cs="宋体"/>
                <w:snapToGrid w:val="0"/>
                <w:color w:val="auto"/>
                <w:kern w:val="0"/>
                <w:szCs w:val="21"/>
                <w:highlight w:val="none"/>
                <w:u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1.3.3</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质量要求</w:t>
            </w:r>
          </w:p>
        </w:tc>
        <w:tc>
          <w:tcPr>
            <w:tcW w:w="7287" w:type="dxa"/>
            <w:shd w:val="clear" w:color="auto" w:fill="auto"/>
            <w:vAlign w:val="center"/>
          </w:tcPr>
          <w:p>
            <w:pPr>
              <w:autoSpaceDE w:val="0"/>
              <w:autoSpaceDN w:val="0"/>
              <w:adjustRightInd w:val="0"/>
              <w:snapToGrid w:val="0"/>
              <w:spacing w:line="440" w:lineRule="exact"/>
              <w:ind w:firstLine="315" w:firstLineChars="150"/>
              <w:jc w:val="left"/>
              <w:rPr>
                <w:rFonts w:ascii="宋体" w:hAnsi="宋体" w:cs="宋体"/>
                <w:color w:val="auto"/>
                <w:highlight w:val="none"/>
              </w:rPr>
            </w:pPr>
            <w:r>
              <w:rPr>
                <w:rFonts w:hint="eastAsia" w:ascii="宋体" w:hAnsi="宋体" w:cs="宋体"/>
                <w:snapToGrid w:val="0"/>
                <w:color w:val="auto"/>
                <w:kern w:val="0"/>
                <w:szCs w:val="21"/>
                <w:highlight w:val="none"/>
                <w:u w:val="single"/>
              </w:rPr>
              <w:t>符合强制性质量标准，符合国家和重庆市现行有关施工质量验收规范要求，并达到合格标准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1.4.1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比选申请人资质条件、能力和信誉</w:t>
            </w:r>
          </w:p>
          <w:p>
            <w:pPr>
              <w:snapToGrid w:val="0"/>
              <w:spacing w:line="440" w:lineRule="exact"/>
              <w:rPr>
                <w:rFonts w:ascii="宋体" w:hAnsi="宋体" w:cs="宋体"/>
                <w:color w:val="auto"/>
                <w:kern w:val="0"/>
                <w:highlight w:val="none"/>
              </w:rPr>
            </w:pPr>
          </w:p>
        </w:tc>
        <w:tc>
          <w:tcPr>
            <w:tcW w:w="7287" w:type="dxa"/>
            <w:shd w:val="clear" w:color="auto" w:fill="auto"/>
            <w:vAlign w:val="center"/>
          </w:tcPr>
          <w:p>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本工程施工比选实行资格后审，比选申请人应具备以下资格条件：</w:t>
            </w:r>
          </w:p>
          <w:p>
            <w:pPr>
              <w:numPr>
                <w:ilvl w:val="0"/>
                <w:numId w:val="11"/>
              </w:numPr>
              <w:snapToGrid w:val="0"/>
              <w:spacing w:line="440" w:lineRule="exact"/>
              <w:ind w:firstLine="417" w:firstLineChars="198"/>
              <w:jc w:val="left"/>
              <w:rPr>
                <w:rFonts w:hint="eastAsia" w:ascii="宋体" w:hAnsi="宋体" w:cs="宋体"/>
                <w:color w:val="auto"/>
                <w:szCs w:val="22"/>
                <w:highlight w:val="none"/>
              </w:rPr>
            </w:pPr>
            <w:r>
              <w:rPr>
                <w:rFonts w:hint="eastAsia" w:ascii="宋体" w:hAnsi="宋体" w:cs="宋体"/>
                <w:b/>
                <w:bCs/>
                <w:color w:val="auto"/>
                <w:highlight w:val="none"/>
              </w:rPr>
              <w:t>资质条件、营业执照</w:t>
            </w:r>
          </w:p>
          <w:p>
            <w:pPr>
              <w:pStyle w:val="23"/>
              <w:numPr>
                <w:ilvl w:val="0"/>
                <w:numId w:val="0"/>
              </w:numPr>
              <w:spacing w:line="440" w:lineRule="exact"/>
              <w:ind w:leftChars="24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①本次比选要求比选申请人具备有效的建设行政主管部门颁发的电力工程施工总承包三级及以上资质或输变电工程专业承包三级及以上资质；并同时具备国家能源局（或国家电力监管委员会）颁发的电力设施许可证。</w:t>
            </w:r>
          </w:p>
          <w:p>
            <w:pPr>
              <w:snapToGrid w:val="0"/>
              <w:spacing w:line="440" w:lineRule="exact"/>
              <w:jc w:val="left"/>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[比选申请人须在比选申请文件资格审查部分提供有效的资质证书复印件]</w:t>
            </w:r>
          </w:p>
          <w:p>
            <w:pPr>
              <w:pStyle w:val="23"/>
              <w:numPr>
                <w:ilvl w:val="0"/>
                <w:numId w:val="0"/>
              </w:numPr>
              <w:spacing w:line="440" w:lineRule="exact"/>
              <w:ind w:leftChars="24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②具备有效的营业执照。</w:t>
            </w:r>
          </w:p>
          <w:p>
            <w:pPr>
              <w:pStyle w:val="23"/>
              <w:numPr>
                <w:ilvl w:val="0"/>
                <w:numId w:val="0"/>
              </w:numPr>
              <w:spacing w:line="440" w:lineRule="exact"/>
              <w:rPr>
                <w:rFonts w:hint="default" w:ascii="宋体" w:hAnsi="宋体" w:eastAsia="宋体" w:cs="宋体"/>
                <w:color w:val="auto"/>
                <w:kern w:val="2"/>
                <w:sz w:val="21"/>
                <w:szCs w:val="21"/>
                <w:highlight w:val="none"/>
                <w:lang w:val="en-US" w:eastAsia="zh-CN"/>
              </w:rPr>
            </w:pPr>
            <w:r>
              <w:rPr>
                <w:rFonts w:hint="default" w:ascii="宋体" w:hAnsi="宋体" w:eastAsia="宋体" w:cs="宋体"/>
                <w:b/>
                <w:color w:val="auto"/>
                <w:kern w:val="2"/>
                <w:sz w:val="21"/>
                <w:highlight w:val="none"/>
                <w:lang w:val="en-US" w:eastAsia="zh-CN" w:bidi="ar-SA"/>
              </w:rPr>
              <w:t>[比选申请人须在比选申请文件资格审查部分提供有效的营业执照复印件]</w:t>
            </w:r>
          </w:p>
          <w:p>
            <w:pPr>
              <w:pStyle w:val="23"/>
              <w:numPr>
                <w:ilvl w:val="0"/>
                <w:numId w:val="0"/>
              </w:numPr>
              <w:spacing w:line="440" w:lineRule="exact"/>
              <w:ind w:leftChars="24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③具备建设行政主管部门颁发的有效的企业安全生产许可证，企业主要负责人、拟担任本项目的项目经理具备建设行政主管颁发的有效的安全生产考核合格证书。</w:t>
            </w:r>
          </w:p>
          <w:p>
            <w:pPr>
              <w:snapToGrid w:val="0"/>
              <w:spacing w:line="440" w:lineRule="exact"/>
              <w:ind w:firstLine="417" w:firstLineChars="198"/>
              <w:jc w:val="left"/>
              <w:rPr>
                <w:rFonts w:ascii="宋体" w:hAnsi="宋体" w:cs="宋体"/>
                <w:b/>
                <w:bCs/>
                <w:color w:val="auto"/>
                <w:szCs w:val="21"/>
                <w:highlight w:val="none"/>
              </w:rPr>
            </w:pPr>
            <w:r>
              <w:rPr>
                <w:rFonts w:hint="eastAsia" w:ascii="宋体" w:hAnsi="宋体" w:cs="宋体"/>
                <w:b/>
                <w:bCs/>
                <w:color w:val="auto"/>
                <w:szCs w:val="21"/>
                <w:highlight w:val="none"/>
              </w:rPr>
              <w:t>[比选申请人须在比选申请文件资格审查部分提供有效的安全生产许可证及安全生产考核合格证书复印件]</w:t>
            </w:r>
          </w:p>
          <w:p>
            <w:pPr>
              <w:widowControl/>
              <w:numPr>
                <w:ilvl w:val="0"/>
                <w:numId w:val="12"/>
              </w:numPr>
              <w:spacing w:line="440" w:lineRule="exact"/>
              <w:ind w:firstLine="524" w:firstLineChars="249"/>
              <w:jc w:val="left"/>
              <w:rPr>
                <w:rFonts w:ascii="宋体" w:hAnsi="宋体" w:cs="宋体"/>
                <w:b/>
                <w:bCs/>
                <w:color w:val="auto"/>
                <w:szCs w:val="21"/>
                <w:highlight w:val="none"/>
              </w:rPr>
            </w:pPr>
            <w:r>
              <w:rPr>
                <w:rFonts w:hint="eastAsia" w:ascii="宋体" w:hAnsi="宋体" w:cs="宋体"/>
                <w:b/>
                <w:bCs/>
                <w:color w:val="auto"/>
                <w:szCs w:val="21"/>
                <w:highlight w:val="none"/>
              </w:rPr>
              <w:t xml:space="preserve">财务要求 </w:t>
            </w:r>
          </w:p>
          <w:p>
            <w:pPr>
              <w:pStyle w:val="23"/>
              <w:spacing w:line="440" w:lineRule="exact"/>
              <w:ind w:left="523" w:leftChars="249"/>
              <w:rPr>
                <w:rFonts w:ascii="宋体" w:hAnsi="宋体" w:cs="宋体"/>
                <w:color w:val="auto"/>
                <w:kern w:val="2"/>
                <w:sz w:val="21"/>
                <w:szCs w:val="21"/>
                <w:highlight w:val="none"/>
              </w:rPr>
            </w:pPr>
            <w:r>
              <w:rPr>
                <w:rFonts w:hint="eastAsia" w:ascii="宋体" w:hAnsi="宋体" w:cs="宋体"/>
                <w:color w:val="auto"/>
                <w:kern w:val="2"/>
                <w:sz w:val="21"/>
                <w:szCs w:val="21"/>
                <w:highlight w:val="none"/>
              </w:rPr>
              <w:t>无。</w:t>
            </w:r>
          </w:p>
          <w:p>
            <w:pPr>
              <w:widowControl/>
              <w:numPr>
                <w:ilvl w:val="0"/>
                <w:numId w:val="12"/>
              </w:numPr>
              <w:spacing w:line="440" w:lineRule="exact"/>
              <w:ind w:firstLine="524" w:firstLineChars="249"/>
              <w:jc w:val="left"/>
              <w:rPr>
                <w:rFonts w:ascii="宋体" w:hAnsi="宋体" w:cs="宋体"/>
                <w:b/>
                <w:bCs/>
                <w:color w:val="auto"/>
                <w:szCs w:val="21"/>
                <w:highlight w:val="none"/>
              </w:rPr>
            </w:pPr>
            <w:r>
              <w:rPr>
                <w:rFonts w:hint="eastAsia" w:ascii="宋体" w:hAnsi="宋体" w:cs="宋体"/>
                <w:b/>
                <w:bCs/>
                <w:color w:val="auto"/>
                <w:szCs w:val="21"/>
                <w:highlight w:val="none"/>
              </w:rPr>
              <w:t>业绩要求</w:t>
            </w:r>
          </w:p>
          <w:p>
            <w:pPr>
              <w:pStyle w:val="23"/>
              <w:spacing w:line="440" w:lineRule="exact"/>
              <w:ind w:left="523" w:leftChars="249"/>
              <w:rPr>
                <w:rFonts w:ascii="宋体" w:hAnsi="宋体" w:cs="宋体"/>
                <w:color w:val="auto"/>
                <w:kern w:val="2"/>
                <w:sz w:val="21"/>
                <w:szCs w:val="21"/>
                <w:highlight w:val="none"/>
              </w:rPr>
            </w:pPr>
            <w:r>
              <w:rPr>
                <w:rFonts w:hint="eastAsia" w:ascii="宋体" w:hAnsi="宋体" w:cs="宋体"/>
                <w:color w:val="auto"/>
                <w:kern w:val="2"/>
                <w:sz w:val="21"/>
                <w:szCs w:val="21"/>
                <w:highlight w:val="none"/>
              </w:rPr>
              <w:t>无。</w:t>
            </w:r>
          </w:p>
          <w:p>
            <w:pPr>
              <w:widowControl/>
              <w:numPr>
                <w:ilvl w:val="0"/>
                <w:numId w:val="12"/>
              </w:numPr>
              <w:spacing w:line="440" w:lineRule="exact"/>
              <w:ind w:firstLine="524" w:firstLineChars="249"/>
              <w:jc w:val="left"/>
              <w:rPr>
                <w:rFonts w:ascii="宋体" w:hAnsi="宋体" w:cs="宋体"/>
                <w:b/>
                <w:bCs/>
                <w:color w:val="auto"/>
                <w:szCs w:val="21"/>
                <w:highlight w:val="none"/>
              </w:rPr>
            </w:pPr>
            <w:r>
              <w:rPr>
                <w:rFonts w:hint="eastAsia" w:ascii="宋体" w:hAnsi="宋体" w:cs="宋体"/>
                <w:b/>
                <w:bCs/>
                <w:color w:val="auto"/>
                <w:szCs w:val="21"/>
                <w:highlight w:val="none"/>
              </w:rPr>
              <w:t>比选截止日比选资格情况</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比选申请人自行承诺（格式见第八章比选申请文件格式）不得存在下列情形之一：</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（1）被人民法院列入失信被执行人名单且在被执行期内；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pPr>
              <w:spacing w:line="440" w:lineRule="exact"/>
              <w:ind w:firstLine="421" w:firstLineChars="200"/>
              <w:rPr>
                <w:rFonts w:hint="eastAsia" w:ascii="宋体" w:hAnsi="宋体" w:cs="宋体"/>
                <w:b/>
                <w:bCs/>
                <w:color w:val="auto"/>
                <w:highlight w:val="none"/>
              </w:rPr>
            </w:pPr>
            <w:r>
              <w:rPr>
                <w:rFonts w:hint="eastAsia" w:ascii="宋体" w:hAnsi="宋体" w:cs="宋体"/>
                <w:b/>
                <w:bCs/>
                <w:color w:val="auto"/>
                <w:highlight w:val="none"/>
              </w:rPr>
              <w:t>[比选申请人须在比选申请文件资格审查部分提供承诺]</w:t>
            </w:r>
          </w:p>
          <w:p>
            <w:pPr>
              <w:pStyle w:val="2"/>
              <w:numPr>
                <w:ilvl w:val="0"/>
                <w:numId w:val="12"/>
              </w:numPr>
              <w:ind w:left="0" w:leftChars="0" w:firstLine="524" w:firstLineChars="249"/>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项目经理资格要求</w:t>
            </w:r>
          </w:p>
          <w:p>
            <w:pPr>
              <w:pStyle w:val="23"/>
              <w:numPr>
                <w:ilvl w:val="0"/>
                <w:numId w:val="0"/>
              </w:numPr>
              <w:spacing w:line="440" w:lineRule="exact"/>
              <w:ind w:leftChars="249"/>
              <w:rPr>
                <w:rFonts w:hint="default" w:ascii="宋体" w:hAnsi="宋体" w:eastAsia="宋体" w:cs="宋体"/>
                <w:color w:val="auto"/>
                <w:kern w:val="2"/>
                <w:sz w:val="21"/>
                <w:szCs w:val="21"/>
                <w:highlight w:val="none"/>
                <w:lang w:val="en-US" w:eastAsia="zh-CN"/>
              </w:rPr>
            </w:pPr>
            <w:r>
              <w:rPr>
                <w:rFonts w:hint="default" w:ascii="宋体" w:hAnsi="宋体" w:eastAsia="宋体" w:cs="宋体"/>
                <w:color w:val="auto"/>
                <w:kern w:val="2"/>
                <w:sz w:val="21"/>
                <w:szCs w:val="21"/>
                <w:highlight w:val="none"/>
                <w:lang w:val="en-US" w:eastAsia="zh-CN"/>
              </w:rPr>
              <w:t>项目经理必须在本单位注册并应具有机电专业二级及以上注册建造师执业资格，并作出书面承诺：未在在建工程中担任项目经理，一经查实拟派项目经理已担任在建工程项目经理的，将取消其响应资格（若成交，则取消成交资格）。</w:t>
            </w:r>
          </w:p>
          <w:p>
            <w:pPr>
              <w:widowControl/>
              <w:spacing w:line="440" w:lineRule="exact"/>
              <w:ind w:firstLine="524" w:firstLineChars="249"/>
              <w:jc w:val="left"/>
              <w:rPr>
                <w:rFonts w:ascii="宋体" w:hAnsi="宋体" w:cs="宋体"/>
                <w:b/>
                <w:bCs/>
                <w:color w:val="auto"/>
                <w:highlight w:val="none"/>
              </w:rPr>
            </w:pPr>
            <w:r>
              <w:rPr>
                <w:rFonts w:hint="eastAsia" w:ascii="宋体" w:hAnsi="宋体" w:cs="宋体"/>
                <w:b/>
                <w:bCs/>
                <w:color w:val="auto"/>
                <w:highlight w:val="none"/>
              </w:rPr>
              <w:t>[须提供建造师注册证、安全生产考核合格证书（B证）和比选申请单位为其缴纳的养老保险证明材料复印件（至少包含</w:t>
            </w:r>
            <w:r>
              <w:rPr>
                <w:rFonts w:hint="eastAsia" w:ascii="宋体" w:hAnsi="宋体" w:cs="宋体"/>
                <w:b/>
                <w:bCs/>
                <w:color w:val="auto"/>
                <w:highlight w:val="none"/>
                <w:u w:val="single"/>
              </w:rPr>
              <w:t xml:space="preserve"> 202</w:t>
            </w:r>
            <w:r>
              <w:rPr>
                <w:rFonts w:hint="eastAsia" w:ascii="宋体" w:hAnsi="宋体" w:cs="宋体"/>
                <w:b/>
                <w:bCs/>
                <w:color w:val="auto"/>
                <w:highlight w:val="none"/>
                <w:u w:val="single"/>
                <w:lang w:val="en-US" w:eastAsia="zh-CN"/>
              </w:rPr>
              <w:t>4</w:t>
            </w:r>
            <w:r>
              <w:rPr>
                <w:rFonts w:hint="eastAsia" w:ascii="宋体" w:hAnsi="宋体" w:cs="宋体"/>
                <w:b/>
                <w:bCs/>
                <w:color w:val="auto"/>
                <w:highlight w:val="none"/>
              </w:rPr>
              <w:t>年</w:t>
            </w:r>
            <w:r>
              <w:rPr>
                <w:rFonts w:hint="eastAsia" w:ascii="宋体" w:hAnsi="宋体" w:cs="宋体"/>
                <w:b/>
                <w:bCs/>
                <w:color w:val="auto"/>
                <w:highlight w:val="none"/>
                <w:u w:val="single"/>
              </w:rPr>
              <w:t xml:space="preserve"> </w:t>
            </w:r>
            <w:r>
              <w:rPr>
                <w:rFonts w:hint="eastAsia" w:ascii="宋体" w:hAnsi="宋体" w:cs="宋体"/>
                <w:b/>
                <w:bCs/>
                <w:color w:val="auto"/>
                <w:highlight w:val="none"/>
                <w:u w:val="single"/>
                <w:lang w:val="en-US" w:eastAsia="zh-CN"/>
              </w:rPr>
              <w:t>2</w:t>
            </w:r>
            <w:r>
              <w:rPr>
                <w:rFonts w:hint="eastAsia" w:ascii="宋体" w:hAnsi="宋体" w:cs="宋体"/>
                <w:b/>
                <w:bCs/>
                <w:color w:val="auto"/>
                <w:highlight w:val="none"/>
              </w:rPr>
              <w:t>月～</w:t>
            </w:r>
            <w:r>
              <w:rPr>
                <w:rFonts w:hint="eastAsia" w:ascii="宋体" w:hAnsi="宋体" w:cs="宋体"/>
                <w:b/>
                <w:bCs/>
                <w:color w:val="auto"/>
                <w:highlight w:val="none"/>
                <w:u w:val="single"/>
              </w:rPr>
              <w:t>202</w:t>
            </w:r>
            <w:r>
              <w:rPr>
                <w:rFonts w:hint="eastAsia" w:ascii="宋体" w:hAnsi="宋体" w:cs="宋体"/>
                <w:b/>
                <w:bCs/>
                <w:color w:val="auto"/>
                <w:highlight w:val="none"/>
                <w:u w:val="single"/>
                <w:lang w:val="en-US" w:eastAsia="zh-CN"/>
              </w:rPr>
              <w:t>4</w:t>
            </w:r>
            <w:r>
              <w:rPr>
                <w:rFonts w:hint="eastAsia" w:ascii="宋体" w:hAnsi="宋体" w:cs="宋体"/>
                <w:b/>
                <w:bCs/>
                <w:color w:val="auto"/>
                <w:highlight w:val="none"/>
              </w:rPr>
              <w:t>年</w:t>
            </w:r>
            <w:r>
              <w:rPr>
                <w:rFonts w:hint="eastAsia" w:ascii="宋体" w:hAnsi="宋体" w:cs="宋体"/>
                <w:b/>
                <w:bCs/>
                <w:color w:val="auto"/>
                <w:highlight w:val="none"/>
                <w:u w:val="single"/>
                <w:lang w:val="en-US" w:eastAsia="zh-CN"/>
              </w:rPr>
              <w:t>8</w:t>
            </w:r>
            <w:r>
              <w:rPr>
                <w:rFonts w:hint="eastAsia" w:ascii="宋体" w:hAnsi="宋体" w:cs="宋体"/>
                <w:b/>
                <w:bCs/>
                <w:color w:val="auto"/>
                <w:highlight w:val="none"/>
              </w:rPr>
              <w:t>月）</w:t>
            </w:r>
            <w:r>
              <w:rPr>
                <w:rFonts w:hint="eastAsia" w:ascii="宋体" w:hAnsi="宋体" w:cs="宋体"/>
                <w:b/>
                <w:color w:val="auto"/>
                <w:szCs w:val="21"/>
                <w:highlight w:val="none"/>
              </w:rPr>
              <w:t>]</w:t>
            </w:r>
          </w:p>
          <w:p>
            <w:pPr>
              <w:widowControl/>
              <w:spacing w:line="440" w:lineRule="exact"/>
              <w:ind w:firstLine="524" w:firstLineChars="249"/>
              <w:jc w:val="left"/>
              <w:rPr>
                <w:rFonts w:ascii="宋体" w:hAnsi="宋体" w:cs="宋体"/>
                <w:b/>
                <w:bCs/>
                <w:color w:val="auto"/>
                <w:szCs w:val="21"/>
                <w:highlight w:val="none"/>
              </w:rPr>
            </w:pPr>
            <w:r>
              <w:rPr>
                <w:rFonts w:hint="eastAsia" w:ascii="宋体" w:hAnsi="宋体" w:cs="宋体"/>
                <w:b/>
                <w:bCs/>
                <w:color w:val="auto"/>
                <w:szCs w:val="21"/>
                <w:highlight w:val="none"/>
              </w:rPr>
              <w:t>6.其他要求</w:t>
            </w:r>
          </w:p>
          <w:p>
            <w:pPr>
              <w:widowControl/>
              <w:spacing w:line="440" w:lineRule="exact"/>
              <w:ind w:firstLine="522" w:firstLineChars="249"/>
              <w:jc w:val="left"/>
              <w:rPr>
                <w:rFonts w:ascii="宋体" w:hAnsi="宋体" w:cs="宋体"/>
                <w:bCs/>
                <w:color w:val="auto"/>
                <w:szCs w:val="21"/>
                <w:highlight w:val="none"/>
              </w:rPr>
            </w:pPr>
            <w:r>
              <w:rPr>
                <w:rFonts w:hint="eastAsia" w:ascii="宋体" w:hAnsi="宋体" w:cs="宋体"/>
                <w:bCs/>
                <w:color w:val="auto"/>
                <w:szCs w:val="21"/>
                <w:highlight w:val="none"/>
              </w:rPr>
              <w:t>（1）技术负责人：</w:t>
            </w:r>
          </w:p>
          <w:p>
            <w:pPr>
              <w:widowControl/>
              <w:spacing w:line="440" w:lineRule="exact"/>
              <w:ind w:firstLine="522" w:firstLineChars="249"/>
              <w:jc w:val="left"/>
              <w:rPr>
                <w:rFonts w:ascii="宋体" w:hAnsi="宋体" w:cs="宋体"/>
                <w:bCs/>
                <w:color w:val="auto"/>
                <w:szCs w:val="21"/>
                <w:highlight w:val="none"/>
              </w:rPr>
            </w:pPr>
            <w:r>
              <w:rPr>
                <w:rFonts w:hint="eastAsia" w:ascii="宋体" w:hAnsi="宋体" w:cs="宋体"/>
                <w:color w:val="auto"/>
                <w:highlight w:val="none"/>
              </w:rPr>
              <w:t>技术负责人应具有工程类</w:t>
            </w:r>
            <w:r>
              <w:rPr>
                <w:rFonts w:hint="eastAsia" w:ascii="宋体" w:hAnsi="宋体" w:cs="宋体"/>
                <w:b/>
                <w:bCs/>
                <w:color w:val="auto"/>
                <w:highlight w:val="none"/>
                <w:u w:val="single"/>
              </w:rPr>
              <w:t>中级</w:t>
            </w:r>
            <w:r>
              <w:rPr>
                <w:rFonts w:hint="eastAsia" w:ascii="宋体" w:hAnsi="宋体" w:cs="宋体"/>
                <w:color w:val="auto"/>
                <w:highlight w:val="none"/>
              </w:rPr>
              <w:t>及以上职称</w:t>
            </w:r>
            <w:r>
              <w:rPr>
                <w:rFonts w:hint="eastAsia" w:ascii="宋体" w:hAnsi="宋体" w:cs="宋体"/>
                <w:bCs/>
                <w:color w:val="auto"/>
                <w:szCs w:val="21"/>
                <w:highlight w:val="none"/>
              </w:rPr>
              <w:t>。</w:t>
            </w:r>
          </w:p>
          <w:p>
            <w:pPr>
              <w:spacing w:line="440" w:lineRule="exact"/>
              <w:ind w:firstLine="413" w:firstLineChars="196"/>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须提供职称证</w:t>
            </w:r>
            <w:r>
              <w:rPr>
                <w:rFonts w:hint="eastAsia" w:ascii="宋体" w:hAnsi="宋体" w:cs="宋体"/>
                <w:b/>
                <w:color w:val="auto"/>
                <w:szCs w:val="21"/>
                <w:highlight w:val="none"/>
              </w:rPr>
              <w:t>和比选申请单位为其缴纳的养老保险证明材料复印件（</w:t>
            </w:r>
            <w:r>
              <w:rPr>
                <w:rFonts w:hint="eastAsia" w:ascii="宋体" w:hAnsi="宋体" w:cs="宋体"/>
                <w:b/>
                <w:bCs/>
                <w:color w:val="auto"/>
                <w:highlight w:val="none"/>
              </w:rPr>
              <w:t>至少包含</w:t>
            </w:r>
            <w:r>
              <w:rPr>
                <w:rFonts w:hint="eastAsia" w:ascii="宋体" w:hAnsi="宋体" w:cs="宋体"/>
                <w:b/>
                <w:bCs/>
                <w:color w:val="auto"/>
                <w:highlight w:val="none"/>
                <w:u w:val="single"/>
              </w:rPr>
              <w:t xml:space="preserve"> 202</w:t>
            </w:r>
            <w:r>
              <w:rPr>
                <w:rFonts w:hint="eastAsia" w:ascii="宋体" w:hAnsi="宋体" w:cs="宋体"/>
                <w:b/>
                <w:bCs/>
                <w:color w:val="auto"/>
                <w:highlight w:val="none"/>
                <w:u w:val="single"/>
                <w:lang w:val="en-US" w:eastAsia="zh-CN"/>
              </w:rPr>
              <w:t>4</w:t>
            </w:r>
            <w:r>
              <w:rPr>
                <w:rFonts w:hint="eastAsia" w:ascii="宋体" w:hAnsi="宋体" w:cs="宋体"/>
                <w:b/>
                <w:bCs/>
                <w:color w:val="auto"/>
                <w:highlight w:val="none"/>
              </w:rPr>
              <w:t>年</w:t>
            </w:r>
            <w:r>
              <w:rPr>
                <w:rFonts w:hint="eastAsia" w:ascii="宋体" w:hAnsi="宋体" w:cs="宋体"/>
                <w:b/>
                <w:bCs/>
                <w:color w:val="auto"/>
                <w:highlight w:val="none"/>
                <w:u w:val="single"/>
              </w:rPr>
              <w:t xml:space="preserve"> </w:t>
            </w:r>
            <w:r>
              <w:rPr>
                <w:rFonts w:hint="eastAsia" w:ascii="宋体" w:hAnsi="宋体" w:cs="宋体"/>
                <w:b/>
                <w:bCs/>
                <w:color w:val="auto"/>
                <w:highlight w:val="none"/>
                <w:u w:val="single"/>
                <w:lang w:val="en-US" w:eastAsia="zh-CN"/>
              </w:rPr>
              <w:t>2</w:t>
            </w:r>
            <w:r>
              <w:rPr>
                <w:rFonts w:hint="eastAsia" w:ascii="宋体" w:hAnsi="宋体" w:cs="宋体"/>
                <w:b/>
                <w:bCs/>
                <w:color w:val="auto"/>
                <w:highlight w:val="none"/>
              </w:rPr>
              <w:t>月～</w:t>
            </w:r>
            <w:r>
              <w:rPr>
                <w:rFonts w:hint="eastAsia" w:ascii="宋体" w:hAnsi="宋体" w:cs="宋体"/>
                <w:b/>
                <w:bCs/>
                <w:color w:val="auto"/>
                <w:highlight w:val="none"/>
                <w:u w:val="single"/>
              </w:rPr>
              <w:t>202</w:t>
            </w:r>
            <w:r>
              <w:rPr>
                <w:rFonts w:hint="eastAsia" w:ascii="宋体" w:hAnsi="宋体" w:cs="宋体"/>
                <w:b/>
                <w:bCs/>
                <w:color w:val="auto"/>
                <w:highlight w:val="none"/>
                <w:u w:val="single"/>
                <w:lang w:val="en-US" w:eastAsia="zh-CN"/>
              </w:rPr>
              <w:t>4</w:t>
            </w:r>
            <w:r>
              <w:rPr>
                <w:rFonts w:hint="eastAsia" w:ascii="宋体" w:hAnsi="宋体" w:cs="宋体"/>
                <w:b/>
                <w:bCs/>
                <w:color w:val="auto"/>
                <w:highlight w:val="none"/>
              </w:rPr>
              <w:t>年</w:t>
            </w:r>
            <w:r>
              <w:rPr>
                <w:rFonts w:hint="eastAsia" w:ascii="宋体" w:hAnsi="宋体" w:cs="宋体"/>
                <w:b/>
                <w:bCs/>
                <w:color w:val="auto"/>
                <w:highlight w:val="none"/>
                <w:u w:val="single"/>
              </w:rPr>
              <w:t xml:space="preserve"> </w:t>
            </w:r>
            <w:r>
              <w:rPr>
                <w:rFonts w:hint="eastAsia" w:ascii="宋体" w:hAnsi="宋体" w:cs="宋体"/>
                <w:b/>
                <w:bCs/>
                <w:color w:val="auto"/>
                <w:highlight w:val="none"/>
                <w:u w:val="single"/>
                <w:lang w:val="en-US" w:eastAsia="zh-CN"/>
              </w:rPr>
              <w:t>8</w:t>
            </w:r>
            <w:r>
              <w:rPr>
                <w:rFonts w:hint="eastAsia" w:ascii="宋体" w:hAnsi="宋体" w:cs="宋体"/>
                <w:b/>
                <w:bCs/>
                <w:color w:val="auto"/>
                <w:highlight w:val="none"/>
              </w:rPr>
              <w:t>月）</w:t>
            </w:r>
            <w:r>
              <w:rPr>
                <w:rFonts w:hint="eastAsia" w:ascii="宋体" w:hAnsi="宋体" w:cs="宋体"/>
                <w:b/>
                <w:color w:val="auto"/>
                <w:szCs w:val="21"/>
                <w:highlight w:val="none"/>
              </w:rPr>
              <w:t>]</w:t>
            </w:r>
          </w:p>
          <w:p>
            <w:pPr>
              <w:widowControl/>
              <w:spacing w:line="440" w:lineRule="exact"/>
              <w:ind w:firstLine="522" w:firstLineChars="249"/>
              <w:jc w:val="left"/>
              <w:rPr>
                <w:rFonts w:ascii="宋体" w:hAnsi="宋体" w:cs="宋体"/>
                <w:bCs/>
                <w:color w:val="auto"/>
                <w:szCs w:val="21"/>
                <w:highlight w:val="none"/>
              </w:rPr>
            </w:pPr>
            <w:r>
              <w:rPr>
                <w:rFonts w:hint="eastAsia" w:ascii="宋体" w:hAnsi="宋体" w:cs="宋体"/>
                <w:bCs/>
                <w:color w:val="auto"/>
                <w:szCs w:val="21"/>
                <w:highlight w:val="none"/>
              </w:rPr>
              <w:t>(2)主要管理人员：</w:t>
            </w:r>
          </w:p>
          <w:p>
            <w:pPr>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比选申请人自行承诺中选后在签订合同之前，</w:t>
            </w:r>
            <w:r>
              <w:rPr>
                <w:rFonts w:hint="eastAsia" w:ascii="宋体" w:hAnsi="宋体" w:cs="宋体"/>
                <w:color w:val="auto"/>
                <w:szCs w:val="21"/>
                <w:highlight w:val="none"/>
              </w:rPr>
              <w:t>须按照建设行政主管部门的要求组建施工项目部，</w:t>
            </w:r>
            <w:r>
              <w:rPr>
                <w:rFonts w:hint="eastAsia" w:ascii="宋体" w:hAnsi="宋体" w:cs="宋体"/>
                <w:color w:val="auto"/>
                <w:highlight w:val="none"/>
              </w:rPr>
              <w:t>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比选申请人依法承担违约赔偿责任。比选申请人须在比选申请文件资格审查部分附承诺函</w:t>
            </w:r>
            <w:r>
              <w:rPr>
                <w:rFonts w:hint="eastAsia" w:ascii="宋体" w:hAnsi="宋体" w:cs="宋体"/>
                <w:color w:val="auto"/>
                <w:szCs w:val="21"/>
                <w:highlight w:val="none"/>
              </w:rPr>
              <w:t>（承诺格式见第八章比选申请文件格式）</w:t>
            </w:r>
            <w:r>
              <w:rPr>
                <w:rFonts w:hint="eastAsia" w:ascii="宋体" w:hAnsi="宋体" w:cs="宋体"/>
                <w:color w:val="auto"/>
                <w:highlight w:val="none"/>
              </w:rPr>
              <w:t>。</w:t>
            </w:r>
          </w:p>
          <w:p>
            <w:pPr>
              <w:pStyle w:val="2"/>
              <w:numPr>
                <w:ilvl w:val="0"/>
                <w:numId w:val="0"/>
              </w:numPr>
              <w:ind w:leftChars="249"/>
              <w:rPr>
                <w:rFonts w:hint="default"/>
                <w:color w:val="auto"/>
                <w:highlight w:val="none"/>
                <w:lang w:val="en-US" w:eastAsia="zh-CN"/>
              </w:rPr>
            </w:pPr>
          </w:p>
          <w:p>
            <w:pPr>
              <w:widowControl/>
              <w:spacing w:line="440" w:lineRule="exact"/>
              <w:ind w:firstLine="421"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特别说明：</w:t>
            </w:r>
          </w:p>
          <w:p>
            <w:pPr>
              <w:snapToGrid w:val="0"/>
              <w:spacing w:line="440" w:lineRule="exact"/>
              <w:ind w:firstLine="420" w:firstLineChars="200"/>
              <w:rPr>
                <w:rFonts w:ascii="宋体" w:hAnsi="宋体" w:cs="宋体"/>
                <w:color w:val="auto"/>
                <w:szCs w:val="22"/>
                <w:highlight w:val="none"/>
              </w:rPr>
            </w:pPr>
            <w:r>
              <w:rPr>
                <w:rFonts w:hint="eastAsia" w:ascii="宋体" w:hAnsi="宋体" w:cs="宋体"/>
                <w:color w:val="auto"/>
                <w:szCs w:val="22"/>
                <w:highlight w:val="none"/>
              </w:rPr>
              <w:t>（1）上述1～</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条所须提交的相关证明材料复印件均应加盖比选申请单位法人章并装入比选申请文件资格审查部分中。以上1～</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条，有一条不满足，则比选申请文件由评审小组作否决比选处理。</w:t>
            </w:r>
          </w:p>
          <w:p>
            <w:pPr>
              <w:snapToGrid w:val="0"/>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2"/>
                <w:highlight w:val="none"/>
              </w:rPr>
              <w:t>（2）比选人在合同签订前均有权对比选申请人提供的上述相关证明材料进行核实，若发现资料</w:t>
            </w:r>
            <w:r>
              <w:rPr>
                <w:rFonts w:hint="eastAsia" w:ascii="宋体" w:hAnsi="宋体" w:cs="宋体"/>
                <w:color w:val="auto"/>
                <w:szCs w:val="21"/>
                <w:highlight w:val="none"/>
              </w:rPr>
              <w:t>存在弄虚作假，按照相关法律法规处理，其比选保证金不予退还，比选申请人承担因此造成的相关责任并赔偿相应损失。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1.4.2</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是否接受</w:t>
            </w:r>
          </w:p>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联合体参选</w:t>
            </w:r>
          </w:p>
        </w:tc>
        <w:tc>
          <w:tcPr>
            <w:tcW w:w="7287" w:type="dxa"/>
            <w:shd w:val="clear" w:color="auto" w:fill="auto"/>
            <w:vAlign w:val="center"/>
          </w:tcPr>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1.4.3</w:t>
            </w:r>
          </w:p>
        </w:tc>
        <w:tc>
          <w:tcPr>
            <w:tcW w:w="2083" w:type="dxa"/>
            <w:shd w:val="clear" w:color="auto" w:fill="auto"/>
            <w:vAlign w:val="center"/>
          </w:tcPr>
          <w:p>
            <w:pPr>
              <w:pStyle w:val="525"/>
              <w:autoSpaceDE w:val="0"/>
              <w:autoSpaceDN w:val="0"/>
              <w:spacing w:before="93" w:line="440" w:lineRule="exact"/>
              <w:ind w:left="145" w:right="141"/>
              <w:jc w:val="center"/>
              <w:rPr>
                <w:color w:val="auto"/>
                <w:kern w:val="0"/>
                <w:highlight w:val="none"/>
              </w:rPr>
            </w:pPr>
            <w:r>
              <w:rPr>
                <w:rFonts w:hint="eastAsia"/>
                <w:color w:val="auto"/>
                <w:kern w:val="0"/>
                <w:highlight w:val="none"/>
              </w:rPr>
              <w:t>比选申请人不得存在的其他情形</w:t>
            </w:r>
          </w:p>
        </w:tc>
        <w:tc>
          <w:tcPr>
            <w:tcW w:w="7287" w:type="dxa"/>
            <w:shd w:val="clear" w:color="auto" w:fill="auto"/>
            <w:vAlign w:val="center"/>
          </w:tcPr>
          <w:p>
            <w:pPr>
              <w:pStyle w:val="525"/>
              <w:tabs>
                <w:tab w:val="left" w:pos="447"/>
              </w:tabs>
              <w:autoSpaceDE w:val="0"/>
              <w:autoSpaceDN w:val="0"/>
              <w:spacing w:line="440" w:lineRule="exact"/>
              <w:ind w:left="40" w:firstLine="405" w:firstLineChars="193"/>
              <w:rPr>
                <w:color w:val="auto"/>
                <w:kern w:val="0"/>
                <w:highlight w:val="none"/>
              </w:rPr>
            </w:pPr>
            <w:r>
              <w:rPr>
                <w:rFonts w:hint="eastAsia"/>
                <w:color w:val="auto"/>
                <w:kern w:val="0"/>
                <w:highlight w:val="none"/>
              </w:rPr>
              <w:tab/>
            </w:r>
            <w:r>
              <w:rPr>
                <w:rFonts w:hint="eastAsia"/>
                <w:color w:val="auto"/>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1.9.1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踏勘现场</w:t>
            </w:r>
          </w:p>
        </w:tc>
        <w:tc>
          <w:tcPr>
            <w:tcW w:w="7287" w:type="dxa"/>
            <w:shd w:val="clear" w:color="auto" w:fill="auto"/>
            <w:vAlign w:val="center"/>
          </w:tcPr>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1.10.1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比选预备会</w:t>
            </w:r>
          </w:p>
        </w:tc>
        <w:tc>
          <w:tcPr>
            <w:tcW w:w="7287" w:type="dxa"/>
            <w:shd w:val="clear" w:color="auto" w:fill="auto"/>
            <w:vAlign w:val="center"/>
          </w:tcPr>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1.10.2</w:t>
            </w:r>
          </w:p>
        </w:tc>
        <w:tc>
          <w:tcPr>
            <w:tcW w:w="2083" w:type="dxa"/>
            <w:shd w:val="clear" w:color="auto" w:fill="auto"/>
            <w:vAlign w:val="center"/>
          </w:tcPr>
          <w:p>
            <w:pPr>
              <w:adjustRightInd w:val="0"/>
              <w:snapToGrid w:val="0"/>
              <w:spacing w:beforeLines="50"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比选申请人提出问题的截止时间</w:t>
            </w:r>
          </w:p>
        </w:tc>
        <w:tc>
          <w:tcPr>
            <w:tcW w:w="7287" w:type="dxa"/>
            <w:shd w:val="clear" w:color="auto" w:fill="auto"/>
            <w:vAlign w:val="center"/>
          </w:tcPr>
          <w:p>
            <w:pPr>
              <w:snapToGrid w:val="0"/>
              <w:spacing w:beforeLines="50" w:line="440" w:lineRule="exact"/>
              <w:ind w:left="210" w:leftChars="100" w:firstLine="210" w:firstLineChars="100"/>
              <w:rPr>
                <w:rFonts w:ascii="宋体" w:hAnsi="宋体" w:cs="宋体"/>
                <w:color w:val="auto"/>
                <w:kern w:val="0"/>
                <w:szCs w:val="21"/>
                <w:highlight w:val="none"/>
              </w:rPr>
            </w:pPr>
            <w:r>
              <w:rPr>
                <w:rFonts w:hint="eastAsia" w:ascii="宋体" w:hAnsi="宋体" w:cs="宋体"/>
                <w:color w:val="auto"/>
                <w:highlight w:val="none"/>
              </w:rPr>
              <w:t>比选申请人在获取比选文件后，应仔细检查比选文件的所有内容，如有残缺或文字表述不清，图纸尺寸标注不明以及存在错、碰、漏、缺、概念模糊和有可能出现歧义或理解上的偏差的内容等应在发布之日起，截止</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10</w:t>
            </w:r>
            <w:r>
              <w:rPr>
                <w:rFonts w:hint="eastAsia" w:ascii="宋体" w:hAnsi="宋体" w:cs="宋体"/>
                <w:color w:val="auto"/>
                <w:highlight w:val="none"/>
              </w:rPr>
              <w:t>月</w:t>
            </w:r>
            <w:r>
              <w:rPr>
                <w:rFonts w:hint="eastAsia" w:ascii="宋体" w:hAnsi="宋体" w:cs="宋体"/>
                <w:color w:val="auto"/>
                <w:highlight w:val="none"/>
                <w:u w:val="single"/>
                <w:lang w:val="en-US" w:eastAsia="zh-CN"/>
              </w:rPr>
              <w:t>8</w:t>
            </w:r>
            <w:r>
              <w:rPr>
                <w:rFonts w:hint="eastAsia" w:ascii="宋体" w:hAnsi="宋体" w:cs="宋体"/>
                <w:color w:val="auto"/>
                <w:highlight w:val="none"/>
              </w:rPr>
              <w:t>日</w:t>
            </w:r>
            <w:r>
              <w:rPr>
                <w:rFonts w:hint="eastAsia" w:ascii="宋体" w:hAnsi="宋体" w:cs="宋体"/>
                <w:color w:val="auto"/>
                <w:highlight w:val="none"/>
                <w:u w:val="single"/>
              </w:rPr>
              <w:t>10</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分前</w:t>
            </w:r>
            <w:r>
              <w:rPr>
                <w:rFonts w:hint="eastAsia" w:ascii="宋体" w:hAnsi="宋体" w:cs="宋体"/>
                <w:snapToGrid w:val="0"/>
                <w:color w:val="auto"/>
                <w:kern w:val="0"/>
                <w:szCs w:val="21"/>
                <w:highlight w:val="none"/>
              </w:rPr>
              <w:t>以书面形式向比选人或比选代理机构提出或将质疑书扫描件</w:t>
            </w:r>
            <w:r>
              <w:rPr>
                <w:rFonts w:hint="eastAsia" w:ascii="宋体" w:hAnsi="宋体" w:cs="宋体"/>
                <w:color w:val="auto"/>
                <w:highlight w:val="none"/>
              </w:rPr>
              <w:t>提交至比选代理机构邮箱</w:t>
            </w:r>
            <w:r>
              <w:rPr>
                <w:rFonts w:hint="eastAsia" w:ascii="宋体" w:hAnsi="宋体" w:cs="宋体"/>
                <w:color w:val="auto"/>
                <w:highlight w:val="none"/>
                <w:lang w:val="en-US" w:eastAsia="zh-CN"/>
              </w:rPr>
              <w:t>364384794</w:t>
            </w:r>
            <w:r>
              <w:rPr>
                <w:rFonts w:hint="eastAsia" w:ascii="宋体" w:hAnsi="宋体" w:cs="宋体"/>
                <w:color w:val="auto"/>
                <w:highlight w:val="none"/>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82" w:type="dxa"/>
            <w:shd w:val="clear" w:color="auto" w:fill="auto"/>
            <w:vAlign w:val="center"/>
          </w:tcPr>
          <w:p>
            <w:pPr>
              <w:adjustRightInd w:val="0"/>
              <w:snapToGrid w:val="0"/>
              <w:spacing w:beforeLines="50"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1.10.3</w:t>
            </w:r>
          </w:p>
        </w:tc>
        <w:tc>
          <w:tcPr>
            <w:tcW w:w="2083" w:type="dxa"/>
            <w:shd w:val="clear" w:color="auto" w:fill="auto"/>
            <w:vAlign w:val="center"/>
          </w:tcPr>
          <w:p>
            <w:pPr>
              <w:wordWrap w:val="0"/>
              <w:topLinePunct/>
              <w:adjustRightInd w:val="0"/>
              <w:snapToGrid w:val="0"/>
              <w:spacing w:beforeLines="50"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比选人书面澄清的时间</w:t>
            </w:r>
          </w:p>
        </w:tc>
        <w:tc>
          <w:tcPr>
            <w:tcW w:w="7287" w:type="dxa"/>
            <w:shd w:val="clear" w:color="auto" w:fill="auto"/>
            <w:vAlign w:val="center"/>
          </w:tcPr>
          <w:p>
            <w:pPr>
              <w:wordWrap w:val="0"/>
              <w:topLinePunct/>
              <w:snapToGrid w:val="0"/>
              <w:spacing w:beforeLines="50"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u w:val="single"/>
              </w:rPr>
              <w:t xml:space="preserve"> 20</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17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snapToGrid w:val="0"/>
                <w:color w:val="auto"/>
                <w:kern w:val="0"/>
                <w:szCs w:val="21"/>
                <w:highlight w:val="none"/>
              </w:rPr>
              <w:t>前对所有比选申请人提出的问题进行回答，并将答疑澄清发到比选申请人邮箱，不管下载与否都视为潜在比选申请人知晓有关澄清等内容。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1.11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分包</w:t>
            </w:r>
          </w:p>
        </w:tc>
        <w:tc>
          <w:tcPr>
            <w:tcW w:w="7287" w:type="dxa"/>
            <w:shd w:val="clear" w:color="auto" w:fill="auto"/>
            <w:vAlign w:val="center"/>
          </w:tcPr>
          <w:p>
            <w:pPr>
              <w:snapToGrid w:val="0"/>
              <w:spacing w:line="440" w:lineRule="exact"/>
              <w:rPr>
                <w:rFonts w:ascii="宋体" w:hAnsi="宋体" w:cs="宋体"/>
                <w:color w:val="auto"/>
                <w:kern w:val="0"/>
                <w:szCs w:val="21"/>
                <w:highlight w:val="none"/>
              </w:rPr>
            </w:pPr>
            <w:r>
              <w:rPr>
                <w:rFonts w:hint="eastAsia" w:ascii="宋体" w:hAnsi="宋体" w:cs="宋体"/>
                <w:snapToGrid w:val="0"/>
                <w:color w:val="auto"/>
                <w:kern w:val="0"/>
                <w:highlight w:val="none"/>
              </w:rPr>
              <w:t>不允许</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2.1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构成比选文件的其他材料</w:t>
            </w:r>
          </w:p>
        </w:tc>
        <w:tc>
          <w:tcPr>
            <w:tcW w:w="7287" w:type="dxa"/>
            <w:shd w:val="clear" w:color="auto" w:fill="auto"/>
            <w:vAlign w:val="center"/>
          </w:tcPr>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比选人发出的答疑澄清及修改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2.2.1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szCs w:val="21"/>
                <w:highlight w:val="none"/>
              </w:rPr>
              <w:t>比选申请人</w:t>
            </w:r>
            <w:r>
              <w:rPr>
                <w:rFonts w:hint="eastAsia" w:ascii="宋体" w:hAnsi="宋体" w:cs="宋体"/>
                <w:color w:val="auto"/>
                <w:szCs w:val="21"/>
                <w:highlight w:val="none"/>
              </w:rPr>
              <w:t>要求澄清比选文件</w:t>
            </w:r>
          </w:p>
        </w:tc>
        <w:tc>
          <w:tcPr>
            <w:tcW w:w="7287" w:type="dxa"/>
            <w:shd w:val="clear" w:color="auto" w:fill="auto"/>
            <w:vAlign w:val="center"/>
          </w:tcPr>
          <w:p>
            <w:pPr>
              <w:snapToGrid w:val="0"/>
              <w:spacing w:line="440" w:lineRule="exact"/>
              <w:rPr>
                <w:rFonts w:ascii="宋体" w:hAnsi="宋体" w:cs="宋体"/>
                <w:color w:val="auto"/>
                <w:szCs w:val="21"/>
                <w:highlight w:val="none"/>
              </w:rPr>
            </w:pPr>
            <w:r>
              <w:rPr>
                <w:rFonts w:hint="eastAsia" w:ascii="宋体" w:hAnsi="宋体" w:cs="宋体"/>
                <w:color w:val="auto"/>
                <w:kern w:val="0"/>
                <w:szCs w:val="21"/>
                <w:highlight w:val="none"/>
              </w:rPr>
              <w:t>比选申请人应仔细阅读比选文件及附件的所有内容，如有文字表述不清，图纸尺寸标注不明以及存在错、漏、缺、概念模糊和有可能出现歧义或理解上的偏差的内容等应在比选公告规定的时间前</w:t>
            </w:r>
            <w:r>
              <w:rPr>
                <w:rFonts w:hint="eastAsia" w:ascii="宋体" w:hAnsi="宋体" w:cs="宋体"/>
                <w:snapToGrid w:val="0"/>
                <w:color w:val="auto"/>
                <w:kern w:val="0"/>
                <w:szCs w:val="21"/>
                <w:highlight w:val="none"/>
              </w:rPr>
              <w:t>以书面形式向比选人或比选代理机构提出或将质疑书扫描件</w:t>
            </w:r>
            <w:r>
              <w:rPr>
                <w:rFonts w:hint="eastAsia" w:ascii="宋体" w:hAnsi="宋体" w:cs="宋体"/>
                <w:color w:val="auto"/>
                <w:highlight w:val="none"/>
              </w:rPr>
              <w:t>提交至比选代理机构邮箱</w:t>
            </w:r>
            <w:r>
              <w:rPr>
                <w:rFonts w:hint="eastAsia" w:ascii="宋体" w:hAnsi="宋体" w:cs="宋体"/>
                <w:color w:val="auto"/>
                <w:highlight w:val="none"/>
                <w:u w:val="single"/>
                <w:lang w:val="en-US" w:eastAsia="zh-CN"/>
              </w:rPr>
              <w:t>364384794</w:t>
            </w:r>
            <w:r>
              <w:rPr>
                <w:rFonts w:hint="eastAsia" w:ascii="宋体" w:hAnsi="宋体" w:cs="宋体"/>
                <w:color w:val="auto"/>
                <w:highlight w:val="none"/>
                <w:u w:val="single"/>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2" w:type="dxa"/>
            <w:vMerge w:val="restart"/>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2.2.2</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szCs w:val="21"/>
                <w:highlight w:val="none"/>
              </w:rPr>
              <w:t>比选人对比选文件澄清的截止时间</w:t>
            </w:r>
          </w:p>
        </w:tc>
        <w:tc>
          <w:tcPr>
            <w:tcW w:w="7287" w:type="dxa"/>
            <w:shd w:val="clear" w:color="auto" w:fill="auto"/>
            <w:vAlign w:val="center"/>
          </w:tcPr>
          <w:p>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比选人应在比选公告规定的时间前，</w:t>
            </w:r>
            <w:r>
              <w:rPr>
                <w:rFonts w:hint="eastAsia" w:ascii="宋体" w:hAnsi="宋体" w:cs="宋体"/>
                <w:snapToGrid w:val="0"/>
                <w:color w:val="auto"/>
                <w:kern w:val="0"/>
                <w:szCs w:val="21"/>
                <w:highlight w:val="none"/>
              </w:rPr>
              <w:t>将答疑澄清发到比选申请人邮箱</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82" w:type="dxa"/>
            <w:vMerge w:val="continue"/>
            <w:shd w:val="clear" w:color="auto" w:fill="auto"/>
            <w:vAlign w:val="center"/>
          </w:tcPr>
          <w:p>
            <w:pPr>
              <w:snapToGrid w:val="0"/>
              <w:spacing w:line="440" w:lineRule="exact"/>
              <w:jc w:val="center"/>
              <w:rPr>
                <w:rFonts w:ascii="宋体" w:hAnsi="宋体" w:cs="宋体"/>
                <w:color w:val="auto"/>
                <w:highlight w:val="none"/>
              </w:rPr>
            </w:pP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szCs w:val="21"/>
                <w:highlight w:val="none"/>
              </w:rPr>
              <w:t>比选截止时间</w:t>
            </w:r>
          </w:p>
        </w:tc>
        <w:tc>
          <w:tcPr>
            <w:tcW w:w="7287"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szCs w:val="21"/>
                <w:highlight w:val="none"/>
              </w:rPr>
              <w:t>详见比选公告规定的比选截止时间。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3.1.1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构成比选申请文件的其他材料</w:t>
            </w:r>
          </w:p>
        </w:tc>
        <w:tc>
          <w:tcPr>
            <w:tcW w:w="7287" w:type="dxa"/>
            <w:shd w:val="clear" w:color="auto" w:fill="auto"/>
            <w:vAlign w:val="center"/>
          </w:tcPr>
          <w:p>
            <w:pPr>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3.2</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比选报价</w:t>
            </w:r>
          </w:p>
        </w:tc>
        <w:tc>
          <w:tcPr>
            <w:tcW w:w="7287" w:type="dxa"/>
            <w:shd w:val="clear" w:color="auto" w:fill="auto"/>
            <w:vAlign w:val="center"/>
          </w:tcPr>
          <w:p>
            <w:pPr>
              <w:pStyle w:val="269"/>
              <w:spacing w:line="440" w:lineRule="exact"/>
              <w:ind w:firstLineChars="200"/>
              <w:rPr>
                <w:color w:val="auto"/>
                <w:sz w:val="21"/>
                <w:szCs w:val="21"/>
                <w:highlight w:val="none"/>
              </w:rPr>
            </w:pPr>
            <w:r>
              <w:rPr>
                <w:rFonts w:hint="eastAsia"/>
                <w:color w:val="auto"/>
                <w:sz w:val="21"/>
                <w:szCs w:val="21"/>
                <w:highlight w:val="none"/>
              </w:rPr>
              <w:t>1.使用国有资金投资的建设工程发承包，必须采用工程量清单计价。工程量清单应采用综合单价计价。</w:t>
            </w:r>
          </w:p>
          <w:p>
            <w:pPr>
              <w:pStyle w:val="269"/>
              <w:spacing w:line="440" w:lineRule="exact"/>
              <w:ind w:firstLineChars="200"/>
              <w:rPr>
                <w:color w:val="auto"/>
                <w:sz w:val="21"/>
                <w:szCs w:val="21"/>
                <w:highlight w:val="none"/>
              </w:rPr>
            </w:pPr>
            <w:r>
              <w:rPr>
                <w:rFonts w:hint="eastAsia"/>
                <w:color w:val="auto"/>
                <w:sz w:val="21"/>
                <w:szCs w:val="21"/>
                <w:highlight w:val="none"/>
              </w:rPr>
              <w:t>2.比选申请人应按</w:t>
            </w:r>
            <w:r>
              <w:rPr>
                <w:rFonts w:hint="eastAsia"/>
                <w:color w:val="auto"/>
                <w:sz w:val="21"/>
                <w:szCs w:val="21"/>
                <w:highlight w:val="none"/>
                <w:lang w:val="zh-CN" w:eastAsia="zh-CN"/>
              </w:rPr>
              <w:t>区公共资源交易监督管理委员会《关于印发璧山区政府投资项目计价原则(2023年第3期)的通知》(璧公管办〔2023〕5号)、《建设工程工程量清单计价规范》（GB50500-2013）、《重庆市建设工程工程量清单计价规则》（CQJJGZ-2013 ）、《重庆市建设工程工程量计算规则》（CQJLGZ-2013 ）、2018年《重庆市通用安装工程计价定额》、2018年《重庆市市政工程计价定额》、2018年《重庆市建设工程费用定额》、重庆市住房城乡建委《关于适用增值税新税率调整建设工程计价依据的通知》（渝建〔2019〕143号）及相关配套文件</w:t>
            </w:r>
            <w:r>
              <w:rPr>
                <w:rFonts w:hint="eastAsia"/>
                <w:color w:val="auto"/>
                <w:sz w:val="21"/>
                <w:szCs w:val="21"/>
                <w:highlight w:val="none"/>
              </w:rPr>
              <w:t>和第五章“工程量清单”的要求填写相应清单表格。比选申请人的比选报价应是本章比选申请人须知前附表第1.3.1项中所述的本工程合同段招标范围内的全部工程的比选报价，并以比选申请人在工程量清单中提出的单价或总价为依据。</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s="MingLiU"/>
                <w:snapToGrid w:val="0"/>
                <w:color w:val="auto"/>
                <w:kern w:val="0"/>
                <w:szCs w:val="21"/>
                <w:highlight w:val="none"/>
              </w:rPr>
              <w:t>3.比选申请人在分部分项工程项目清单计价表中所报的综合单价和合价，以及投标总报价均包括了比选申请人为实施和完成该工程招标范围所确定的全部工程内容所需的直接费、间接费、管理费、利润、税金、措施费、配合费、大型机械进出场费、环境保护税、二次或多次转运费、安全文明施工费、建设工程竣工档案编制费、风险费、规费、工伤保险费、工程建设招标投标交易服务费、招标代理费、政策性文件规定费用等所有与本工程建设相关的费用，以及施工合同明示或暗示的所有责任、义务和风险。比选申请人的比选报价视为是一个有经验的比选申请人，在对工程充分了解及对风险充分估计后所作的完备报价。</w:t>
            </w:r>
          </w:p>
          <w:p>
            <w:pPr>
              <w:pStyle w:val="269"/>
              <w:spacing w:line="440" w:lineRule="exact"/>
              <w:ind w:firstLineChars="200"/>
              <w:rPr>
                <w:color w:val="auto"/>
                <w:sz w:val="21"/>
                <w:szCs w:val="21"/>
                <w:highlight w:val="none"/>
              </w:rPr>
            </w:pPr>
            <w:r>
              <w:rPr>
                <w:rFonts w:hint="eastAsia"/>
                <w:color w:val="auto"/>
                <w:sz w:val="21"/>
                <w:szCs w:val="21"/>
                <w:highlight w:val="none"/>
              </w:rPr>
              <w:t>4.比选申请人应认真填写工程量清单中所列的本合同各工程子目的单价或总价。比选申请人没有填入单价或总价的工程子目，比选人将认为该子目的价款已包括在工程量清单其他子目的单价和总价中。比选申请人必须按招标工程量清单填报价格。项目编码、项目名称、项目特征、计量单位、工程量必须与招标工程量清单一致。否则交由评审小组作否决投标处理。</w:t>
            </w:r>
          </w:p>
          <w:p>
            <w:pPr>
              <w:pStyle w:val="269"/>
              <w:spacing w:line="440" w:lineRule="exact"/>
              <w:ind w:firstLineChars="200"/>
              <w:rPr>
                <w:color w:val="auto"/>
                <w:sz w:val="21"/>
                <w:szCs w:val="21"/>
                <w:highlight w:val="none"/>
              </w:rPr>
            </w:pPr>
            <w:r>
              <w:rPr>
                <w:rFonts w:hint="eastAsia"/>
                <w:color w:val="auto"/>
                <w:sz w:val="21"/>
                <w:szCs w:val="21"/>
                <w:highlight w:val="none"/>
              </w:rPr>
              <w:t>5.比选函中的总报价必须与已标价工程量清单总报价一致,且工程量清单总报价与依据单价、工程数量、分部分项工程合价计算出的结果应一致，否则由评审小组作否决投标处理。</w:t>
            </w:r>
          </w:p>
          <w:p>
            <w:pPr>
              <w:pStyle w:val="269"/>
              <w:spacing w:line="440" w:lineRule="exact"/>
              <w:ind w:firstLineChars="200"/>
              <w:rPr>
                <w:color w:val="auto"/>
                <w:sz w:val="21"/>
                <w:szCs w:val="21"/>
                <w:highlight w:val="none"/>
              </w:rPr>
            </w:pPr>
            <w:r>
              <w:rPr>
                <w:rFonts w:hint="eastAsia"/>
                <w:color w:val="auto"/>
                <w:sz w:val="21"/>
                <w:szCs w:val="21"/>
                <w:highlight w:val="none"/>
              </w:rPr>
              <w:t>6.增值税计税方法由比选人依据国家税法规定选择：一般计税法</w:t>
            </w:r>
          </w:p>
          <w:p>
            <w:pPr>
              <w:pStyle w:val="269"/>
              <w:spacing w:line="440" w:lineRule="exact"/>
              <w:ind w:firstLineChars="200"/>
              <w:rPr>
                <w:color w:val="auto"/>
                <w:sz w:val="21"/>
                <w:szCs w:val="21"/>
                <w:highlight w:val="none"/>
              </w:rPr>
            </w:pPr>
            <w:r>
              <w:rPr>
                <w:rFonts w:hint="eastAsia"/>
                <w:color w:val="auto"/>
                <w:sz w:val="21"/>
                <w:szCs w:val="21"/>
                <w:highlight w:val="none"/>
              </w:rPr>
              <w:t>7.如发现工程量清单中的数量与图纸中数量不一致，应于本须知第2.2.1项中规定的时间前书面通知比选人核查，除非比选人以修改的形式予以更正，否则，应以工程量清单中列出的数量为准。</w:t>
            </w:r>
          </w:p>
          <w:p>
            <w:pPr>
              <w:pStyle w:val="269"/>
              <w:spacing w:line="440" w:lineRule="exact"/>
              <w:ind w:firstLineChars="200"/>
              <w:rPr>
                <w:rFonts w:cs="宋体"/>
                <w:color w:val="auto"/>
                <w:highlight w:val="none"/>
              </w:rPr>
            </w:pPr>
            <w:r>
              <w:rPr>
                <w:rFonts w:hint="eastAsia"/>
                <w:color w:val="auto"/>
                <w:sz w:val="21"/>
                <w:szCs w:val="21"/>
                <w:highlight w:val="none"/>
              </w:rPr>
              <w:t>8.比选人在工程量清单中所列出的暂列金额、暂估价等暂定金额，比选申请人不得修改，否则由评审小组作否决投标处理。</w:t>
            </w:r>
            <w:r>
              <w:rPr>
                <w:rFonts w:hint="eastAsia" w:cs="宋体"/>
                <w:color w:val="auto"/>
                <w:highlight w:val="none"/>
              </w:rPr>
              <w:t xml:space="preserve"> </w:t>
            </w:r>
          </w:p>
          <w:p>
            <w:pPr>
              <w:tabs>
                <w:tab w:val="left" w:pos="3016"/>
              </w:tabs>
              <w:wordWrap w:val="0"/>
              <w:topLinePunct/>
              <w:spacing w:line="440" w:lineRule="exact"/>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9.本工程比选将设置比选总报价最高限价，比选总报价最高限价为</w:t>
            </w:r>
            <w:r>
              <w:rPr>
                <w:rFonts w:hint="eastAsia" w:ascii="宋体" w:hAnsi="宋体" w:cs="宋体"/>
                <w:b w:val="0"/>
                <w:bCs w:val="0"/>
                <w:color w:val="auto"/>
                <w:highlight w:val="none"/>
                <w:lang w:val="en-US" w:eastAsia="zh-CN"/>
              </w:rPr>
              <w:t>人民币</w:t>
            </w:r>
            <w:r>
              <w:rPr>
                <w:rFonts w:hint="eastAsia" w:ascii="宋体" w:hAnsi="宋体" w:cs="宋体"/>
                <w:b w:val="0"/>
                <w:bCs w:val="0"/>
                <w:color w:val="auto"/>
                <w:highlight w:val="none"/>
                <w:lang w:eastAsia="zh-CN"/>
              </w:rPr>
              <w:t>215919.26</w:t>
            </w:r>
            <w:r>
              <w:rPr>
                <w:rFonts w:hint="eastAsia" w:ascii="宋体" w:hAnsi="宋体" w:cs="宋体"/>
                <w:b w:val="0"/>
                <w:bCs w:val="0"/>
                <w:color w:val="auto"/>
                <w:highlight w:val="none"/>
                <w:lang w:val="en-US" w:eastAsia="zh-CN"/>
              </w:rPr>
              <w:t>元</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大写：贰拾壹万伍仟玖佰壹拾玖元贰角陆分）；其中安全文明施工费用为4030.3元（大写：肆仟零叁拾元叁角）</w:t>
            </w:r>
            <w:r>
              <w:rPr>
                <w:rFonts w:hint="eastAsia" w:ascii="宋体" w:hAnsi="宋体" w:cs="宋体"/>
                <w:b w:val="0"/>
                <w:bCs w:val="0"/>
                <w:color w:val="auto"/>
                <w:highlight w:val="none"/>
              </w:rPr>
              <w:t>。比选申请人的比选总报价不得超过比选总报价最高限价， 否则由评审小组作否决投标处理。 本工程比选将设置全部清单综合单价最高限价，全部清单综合单价最高限价详见工程量清单，比选申请人的每项清单综合单价报价不得超过每项清单综合单价最高限价。</w:t>
            </w:r>
          </w:p>
          <w:p>
            <w:pPr>
              <w:pStyle w:val="269"/>
              <w:spacing w:line="440" w:lineRule="exact"/>
              <w:ind w:firstLineChars="200"/>
              <w:rPr>
                <w:color w:val="auto"/>
                <w:sz w:val="21"/>
                <w:szCs w:val="21"/>
                <w:highlight w:val="none"/>
              </w:rPr>
            </w:pPr>
            <w:r>
              <w:rPr>
                <w:rFonts w:hint="eastAsia"/>
                <w:color w:val="auto"/>
                <w:sz w:val="21"/>
                <w:szCs w:val="21"/>
                <w:highlight w:val="none"/>
              </w:rPr>
              <w:t>10.安全文明施工费：</w:t>
            </w:r>
          </w:p>
          <w:p>
            <w:pPr>
              <w:pStyle w:val="269"/>
              <w:spacing w:line="440" w:lineRule="exact"/>
              <w:ind w:firstLineChars="200"/>
              <w:rPr>
                <w:color w:val="auto"/>
                <w:sz w:val="21"/>
                <w:szCs w:val="21"/>
                <w:highlight w:val="none"/>
              </w:rPr>
            </w:pPr>
            <w:r>
              <w:rPr>
                <w:rFonts w:hint="eastAsia"/>
                <w:color w:val="auto"/>
                <w:sz w:val="21"/>
                <w:szCs w:val="21"/>
                <w:highlight w:val="none"/>
              </w:rPr>
              <w:t>10.1根据《重庆城乡建设委员会关于印发&lt;重庆市建设工程安全文明施工费计取及使用管理规定&gt;的通知》（渝建发〔2014〕25号）规定，安全文明施工费由安全施工费、文明施工费、环境保护费及临时设施费组成。</w:t>
            </w:r>
          </w:p>
          <w:p>
            <w:pPr>
              <w:snapToGrid w:val="0"/>
              <w:spacing w:line="440" w:lineRule="exact"/>
              <w:ind w:firstLine="420" w:firstLineChars="200"/>
              <w:rPr>
                <w:rFonts w:ascii="宋体" w:hAnsi="宋体" w:cs="宋体"/>
                <w:color w:val="auto"/>
                <w:kern w:val="0"/>
                <w:highlight w:val="none"/>
              </w:rPr>
            </w:pPr>
            <w:r>
              <w:rPr>
                <w:rFonts w:hint="eastAsia" w:ascii="宋体" w:hAnsi="宋体"/>
                <w:color w:val="auto"/>
                <w:szCs w:val="21"/>
                <w:highlight w:val="none"/>
              </w:rPr>
              <w:t>10.2本工程安全文明施工费由</w:t>
            </w:r>
            <w:r>
              <w:rPr>
                <w:rFonts w:hint="eastAsia"/>
                <w:color w:val="auto"/>
                <w:szCs w:val="21"/>
                <w:highlight w:val="none"/>
              </w:rPr>
              <w:t>比选人</w:t>
            </w:r>
            <w:r>
              <w:rPr>
                <w:rFonts w:hint="eastAsia" w:ascii="宋体" w:hAnsi="宋体"/>
                <w:color w:val="auto"/>
                <w:szCs w:val="21"/>
                <w:highlight w:val="none"/>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w:t>
            </w:r>
            <w:r>
              <w:rPr>
                <w:rFonts w:hint="eastAsia" w:ascii="宋体" w:hAnsi="宋体" w:cs="宋体"/>
                <w:color w:val="auto"/>
                <w:kern w:val="0"/>
                <w:highlight w:val="none"/>
              </w:rPr>
              <w:t>关于适用增值税新税率调整建设工程计价依据的通知》（渝建〔2019〕143号）的相关规定和费用标准单列计算，安全文明施工费为暂定金额，与最高限价一起公布。《比选函》及工程量清单报价中的安全文明施工费必须按照比选人给出的暂定金额填报，否则视为对比选文件不作实质性响应，其比选申请文件由评审小组作否决投标处理。注：采用全费用清单计价的项目，安全文明施工费仅针对《比选函》中的安全文明施工费进行评审。</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清单中如有采用“全费用综合单价”的子目，全费用综合单价项目应包括完成该子项所需的人工费、材料费、施工机具使用费、管理费、利润、风险费、措施费、规费、税金等完成该项工程的所有费用。比选人不再对综合单价进行调整。</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针对全费用综合包干单价项目，无论比选申请人在单价分析表中是否组价完整，比选人均认为该单价为全费用综合包干单价。</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12.措施项目清单的报价要求</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措施项目费清单包括施工组织措施项目清单和施工技术措施项目清单两部分。</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12.1施工组织措施项目清单：本项目施工组织措施项目费根据“渝建发[2018]29号”文的规定进行计算，建设工程竣工档案编制费、</w:t>
            </w:r>
            <w:r>
              <w:rPr>
                <w:rFonts w:hint="eastAsia" w:ascii="宋体" w:hAnsi="宋体"/>
                <w:color w:val="auto"/>
                <w:kern w:val="0"/>
                <w:szCs w:val="21"/>
                <w:highlight w:val="none"/>
              </w:rPr>
              <w:t>住宅工程质量分户验收费（建筑工程需增加）</w:t>
            </w:r>
            <w:r>
              <w:rPr>
                <w:rFonts w:hint="eastAsia" w:ascii="宋体" w:hAnsi="宋体" w:cs="宋体"/>
                <w:color w:val="auto"/>
                <w:kern w:val="0"/>
                <w:highlight w:val="none"/>
              </w:rPr>
              <w:t>按照“渝建发[2018]29号”文的规定进行计算。比选人给出的施工组织措施项目清单仅供比选申请人参考，比选申请人在投标报价时可参照比选人给出的施工组织措施项目清单并结合本工程的实际情况和国家及重庆市相关管理规定自行增减项目，并进行报价。如果漏项或不报价，视为已包含在其他项目清单综合单价内。中选后施工组织措施项目费用按合同条款 “结算原则”的规定调整。</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12.2施工技术措施项目清单：技术措施清单中以项计列的项目，由比选申请人根据现场踏勘情况及本工程的实际情况结合自身施工组织设计，以项为单位自行报价。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否则视为对比选文件不作实质性响应，其比选申请文件由评审小组作否决投标处理。比选申请人可根据本工程的实际情况增加技术措施项目（增加项目均必须以“项”报价）并进行报价。如果漏项或不报价，视为已包含在其他项目清单综合单价内，结算时不作调整。中选后相应的综合单价不作调整，工程量按《建设工程工程量清单计价规范》（GB50500-2013）规定的计量规则及工程量清单说明按实计量。。</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13.专业工程暂估价达到重庆市规定规模标准或属于依法必须进行招标的，应当进行招标。</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14.材料和设备的采购</w:t>
            </w:r>
          </w:p>
          <w:p>
            <w:pPr>
              <w:snapToGrid w:val="0"/>
              <w:spacing w:line="440" w:lineRule="exact"/>
              <w:ind w:firstLine="420" w:firstLineChars="200"/>
              <w:rPr>
                <w:color w:val="auto"/>
                <w:highlight w:val="none"/>
              </w:rPr>
            </w:pPr>
            <w:r>
              <w:rPr>
                <w:rFonts w:hint="eastAsia" w:ascii="宋体" w:hAnsi="宋体" w:cs="宋体"/>
                <w:color w:val="auto"/>
                <w:kern w:val="0"/>
                <w:highlight w:val="none"/>
              </w:rPr>
              <w:t>本工程所需的所有材料、设备均由中选人自行采购，所采购的材料、设备必须符合国家规范标准（在没有国家标准的情况下，执行行业标准）及设计文件、比选文件要求，提供相应合格证明资料、质保书等。中选人应在计划采购前向比选人和监理人报送样品，并由比选人、监理人验收合格后方可用于施工，如果中选人采购的材料、设备未经比选人和监理人验收直接用于施工，则比选人有权要求中选人无条件的更换至符合比选人要求，中选人不得延误工期和提出任何费用并赔偿发表人因此产生的直接和间接损失。</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15.人工费</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本工程人工单价由各比选申请人结合市场行情自主测算计入各分部分项综合单价中，中选后不再调整。</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16.本工程企业管理费、利润、一般风险费、建设工程竣工档案编制费和组织措施费参照《重庆市建设工程费用定额》（CQFYDE-2018）规定并结合企业实力自主进行报价。</w:t>
            </w:r>
          </w:p>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17.规费按2018年《重庆市建设工程费用定额》的标准计取。</w:t>
            </w:r>
          </w:p>
          <w:p>
            <w:pPr>
              <w:tabs>
                <w:tab w:val="left" w:pos="3016"/>
              </w:tabs>
              <w:topLinePunct/>
              <w:autoSpaceDE w:val="0"/>
              <w:spacing w:line="440" w:lineRule="exact"/>
              <w:ind w:firstLine="420" w:firstLineChars="200"/>
              <w:rPr>
                <w:rFonts w:ascii="宋体" w:hAnsi="宋体" w:cs="宋体"/>
                <w:color w:val="auto"/>
                <w:highlight w:val="none"/>
              </w:rPr>
            </w:pPr>
            <w:r>
              <w:rPr>
                <w:rFonts w:hint="eastAsia" w:ascii="宋体" w:hAnsi="宋体" w:cs="宋体"/>
                <w:color w:val="auto"/>
                <w:kern w:val="0"/>
                <w:highlight w:val="none"/>
              </w:rPr>
              <w:t>18.本项目所采用技术、工艺和产品等必须执行重庆市住房和城乡建设委员会关于发布《重庆市建设领域禁止、限制使用落后技术通告（2019年版）（渝建发〔2019〕25号）的规定。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3.3.1</w:t>
            </w:r>
          </w:p>
        </w:tc>
        <w:tc>
          <w:tcPr>
            <w:tcW w:w="2083" w:type="dxa"/>
            <w:shd w:val="clear" w:color="auto" w:fill="auto"/>
            <w:vAlign w:val="center"/>
          </w:tcPr>
          <w:p>
            <w:pPr>
              <w:snapToGrid w:val="0"/>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7287" w:type="dxa"/>
            <w:shd w:val="clear" w:color="auto" w:fill="auto"/>
            <w:vAlign w:val="center"/>
          </w:tcPr>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3.4.1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比选保证金</w:t>
            </w:r>
          </w:p>
        </w:tc>
        <w:tc>
          <w:tcPr>
            <w:tcW w:w="7287" w:type="dxa"/>
            <w:shd w:val="clear" w:color="auto" w:fill="auto"/>
            <w:vAlign w:val="center"/>
          </w:tcPr>
          <w:p>
            <w:pPr>
              <w:tabs>
                <w:tab w:val="left" w:pos="3016"/>
              </w:tabs>
              <w:topLinePunct/>
              <w:autoSpaceDE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1、比选保证金的形式：现金。</w:t>
            </w:r>
          </w:p>
          <w:p>
            <w:pPr>
              <w:tabs>
                <w:tab w:val="left" w:pos="3016"/>
              </w:tabs>
              <w:topLinePunct/>
              <w:autoSpaceDE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2、比选保证金金额：</w:t>
            </w:r>
            <w:r>
              <w:rPr>
                <w:rFonts w:hint="eastAsia" w:ascii="宋体" w:hAnsi="宋体" w:cs="宋体"/>
                <w:color w:val="auto"/>
                <w:highlight w:val="none"/>
                <w:u w:val="single"/>
                <w:lang w:val="en-US" w:eastAsia="zh-CN"/>
              </w:rPr>
              <w:t>肆仟元整</w:t>
            </w:r>
            <w:r>
              <w:rPr>
                <w:rFonts w:hint="eastAsia" w:ascii="宋体" w:hAnsi="宋体" w:cs="宋体"/>
                <w:color w:val="auto"/>
                <w:highlight w:val="none"/>
              </w:rPr>
              <w:t>人民币。</w:t>
            </w:r>
          </w:p>
          <w:p>
            <w:pPr>
              <w:tabs>
                <w:tab w:val="left" w:pos="3016"/>
              </w:tabs>
              <w:topLinePunct/>
              <w:autoSpaceDE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3、递交方式：各比选申请人自备信封，封袋上注名项目名称及比选申请人单位名称，封口处加盖比选申请人单位公章。比选保证金先不装入比选申请人自备的信封袋中，开标现场由工作人员当场清点后再装入各比选申请人自备的信封袋中密封。若比选申请人不按上述要求递交比选保证金，则视为其比选保证金无效。</w:t>
            </w:r>
          </w:p>
          <w:p>
            <w:pPr>
              <w:adjustRightInd w:val="0"/>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highlight w:val="none"/>
              </w:rPr>
              <w:t>4、比选保证金的退还：除第一中选候选人外的其余比选申请人的比选保证金在开标现场当场退还；第一中选候选人的比选保证金在中选结果公示后3日内一次性无息退还。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82" w:type="dxa"/>
            <w:tcBorders>
              <w:top w:val="single" w:color="auto" w:sz="4" w:space="0"/>
            </w:tcBorders>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3.5.2</w:t>
            </w:r>
          </w:p>
        </w:tc>
        <w:tc>
          <w:tcPr>
            <w:tcW w:w="2083" w:type="dxa"/>
            <w:tcBorders>
              <w:top w:val="single" w:color="auto" w:sz="4" w:space="0"/>
            </w:tcBorders>
            <w:shd w:val="clear" w:color="auto" w:fill="auto"/>
            <w:vAlign w:val="center"/>
          </w:tcPr>
          <w:p>
            <w:pPr>
              <w:snapToGrid w:val="0"/>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近年财务状况的年份要求</w:t>
            </w:r>
          </w:p>
        </w:tc>
        <w:tc>
          <w:tcPr>
            <w:tcW w:w="7287" w:type="dxa"/>
            <w:tcBorders>
              <w:top w:val="single" w:color="auto" w:sz="4" w:space="0"/>
            </w:tcBorders>
            <w:shd w:val="clear" w:color="auto" w:fill="auto"/>
            <w:vAlign w:val="center"/>
          </w:tcPr>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3.5.5</w:t>
            </w:r>
          </w:p>
        </w:tc>
        <w:tc>
          <w:tcPr>
            <w:tcW w:w="2083" w:type="dxa"/>
            <w:shd w:val="clear" w:color="auto" w:fill="auto"/>
            <w:vAlign w:val="center"/>
          </w:tcPr>
          <w:p>
            <w:pPr>
              <w:snapToGrid w:val="0"/>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近</w:t>
            </w:r>
            <w:r>
              <w:rPr>
                <w:rFonts w:hint="eastAsia" w:ascii="宋体" w:hAnsi="宋体" w:cs="宋体"/>
                <w:color w:val="auto"/>
                <w:kern w:val="0"/>
                <w:highlight w:val="none"/>
              </w:rPr>
              <w:t>年发生的诉讼及仲裁情况的年份要求</w:t>
            </w:r>
          </w:p>
        </w:tc>
        <w:tc>
          <w:tcPr>
            <w:tcW w:w="7287" w:type="dxa"/>
            <w:shd w:val="clear" w:color="auto" w:fill="auto"/>
            <w:vAlign w:val="center"/>
          </w:tcPr>
          <w:p>
            <w:pPr>
              <w:snapToGrid w:val="0"/>
              <w:spacing w:line="440" w:lineRule="exact"/>
              <w:rPr>
                <w:rFonts w:ascii="宋体" w:hAnsi="宋体" w:cs="宋体"/>
                <w:color w:val="auto"/>
                <w:kern w:val="0"/>
                <w:szCs w:val="21"/>
                <w:highlight w:val="none"/>
              </w:rPr>
            </w:pPr>
            <w:r>
              <w:rPr>
                <w:rFonts w:hint="eastAsia" w:ascii="宋体" w:hAnsi="宋体" w:cs="宋体"/>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3.6.1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是否允许递交备选比选</w:t>
            </w:r>
            <w:r>
              <w:rPr>
                <w:rFonts w:hint="eastAsia" w:ascii="宋体" w:hAnsi="宋体" w:cs="宋体"/>
                <w:snapToGrid w:val="0"/>
                <w:color w:val="auto"/>
                <w:kern w:val="0"/>
                <w:highlight w:val="none"/>
              </w:rPr>
              <w:t>申请</w:t>
            </w:r>
            <w:r>
              <w:rPr>
                <w:rFonts w:hint="eastAsia" w:ascii="宋体" w:hAnsi="宋体" w:cs="宋体"/>
                <w:color w:val="auto"/>
                <w:kern w:val="0"/>
                <w:highlight w:val="none"/>
              </w:rPr>
              <w:t>方案</w:t>
            </w:r>
          </w:p>
        </w:tc>
        <w:tc>
          <w:tcPr>
            <w:tcW w:w="7287" w:type="dxa"/>
            <w:shd w:val="clear" w:color="auto" w:fill="auto"/>
            <w:vAlign w:val="center"/>
          </w:tcPr>
          <w:p>
            <w:pPr>
              <w:snapToGrid w:val="0"/>
              <w:spacing w:line="440" w:lineRule="exact"/>
              <w:rPr>
                <w:rFonts w:ascii="宋体" w:hAnsi="宋体" w:cs="宋体"/>
                <w:color w:val="auto"/>
                <w:kern w:val="0"/>
                <w:highlight w:val="none"/>
              </w:rPr>
            </w:pPr>
            <w:r>
              <w:rPr>
                <w:rFonts w:hint="eastAsia" w:ascii="宋体" w:hAnsi="宋体" w:cs="宋体"/>
                <w:color w:val="auto"/>
                <w:kern w:val="0"/>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3.7.3</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p>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签字盖章要求</w:t>
            </w:r>
          </w:p>
        </w:tc>
        <w:tc>
          <w:tcPr>
            <w:tcW w:w="7287" w:type="dxa"/>
            <w:shd w:val="clear" w:color="auto" w:fill="auto"/>
            <w:vAlign w:val="center"/>
          </w:tcPr>
          <w:p>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比选申请文件应用不褪色的材料书写或打印，并由比选申请人的法定代表人或其委托代理人在比选文件规定的位置按比选文件要求签名或盖章、盖单位法人章。委托代理人签名的，比选申请文件应附法定代表人签署的授权委托书。比选文件应尽量避免涂改、行间插字或删除。如果出现上述情况，改动之处应加盖单位法人章或由比选申请人的法定代表人或其授权的代理人签名确认。</w:t>
            </w:r>
          </w:p>
          <w:p>
            <w:pPr>
              <w:snapToGrid w:val="0"/>
              <w:spacing w:line="44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未按上述规定执行的，交由评审小组作否决比选处理。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3.7.4</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比选申请文件的份数</w:t>
            </w:r>
          </w:p>
        </w:tc>
        <w:tc>
          <w:tcPr>
            <w:tcW w:w="7287" w:type="dxa"/>
            <w:shd w:val="clear" w:color="auto" w:fill="auto"/>
            <w:vAlign w:val="center"/>
          </w:tcPr>
          <w:p>
            <w:pPr>
              <w:numPr>
                <w:ilvl w:val="0"/>
                <w:numId w:val="13"/>
              </w:num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比选函部分：正本一份，副本一份；</w:t>
            </w:r>
          </w:p>
          <w:p>
            <w:pPr>
              <w:numPr>
                <w:ilvl w:val="0"/>
                <w:numId w:val="13"/>
              </w:num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经济部分：正本一份，副本一份；</w:t>
            </w:r>
          </w:p>
          <w:p>
            <w:pPr>
              <w:numPr>
                <w:ilvl w:val="0"/>
                <w:numId w:val="13"/>
              </w:num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资格审查部分：正本一份，副本一份；</w:t>
            </w:r>
          </w:p>
          <w:p>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、电子版形式（U盘）：U盘1份。</w:t>
            </w:r>
          </w:p>
          <w:p>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注：（1）电子版形式（U盘）要求：应包含比选函部分、经济部分、资格审查部分、技术部分等比选申请文件的全部内容。</w:t>
            </w:r>
          </w:p>
          <w:p>
            <w:pPr>
              <w:snapToGrid w:val="0"/>
              <w:spacing w:line="44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（2）U盘表面应粘贴白纸，写明比选申请单位名称、项目名称并加盖比选申请单位公章。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2" w:type="dxa"/>
            <w:shd w:val="clear" w:color="auto" w:fill="auto"/>
            <w:vAlign w:val="center"/>
          </w:tcPr>
          <w:p>
            <w:pPr>
              <w:snapToGrid w:val="0"/>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3.7.5</w:t>
            </w:r>
          </w:p>
        </w:tc>
        <w:tc>
          <w:tcPr>
            <w:tcW w:w="2083" w:type="dxa"/>
            <w:shd w:val="clear" w:color="auto" w:fill="auto"/>
            <w:vAlign w:val="center"/>
          </w:tcPr>
          <w:p>
            <w:pPr>
              <w:snapToGrid w:val="0"/>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装订要求</w:t>
            </w:r>
          </w:p>
        </w:tc>
        <w:tc>
          <w:tcPr>
            <w:tcW w:w="7287" w:type="dxa"/>
            <w:shd w:val="clear" w:color="auto" w:fill="auto"/>
            <w:vAlign w:val="center"/>
          </w:tcPr>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1、本工程技术部分采用暗标评审，应将比选函部分、技术部分、资格审查部分各自分别装订成册。</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2、装订</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（1）比选函部分的装订要求</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应按照第八章规定格式装订成册，并应编制目录。</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（2）经济部分的装订要求</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应按照第八章规定格式装订成册，并应编制目录。</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（3）技术部分的装订要求：</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技术方案》面页使用A4厚型纸面页（以盖章折叠后不显示单位名称为合格），用初号仿宋字体居中写明“技术方案”；在页面右下角加盖比选申请单位公章后折叠成腰约8.5cm左右的等腰直角三角形密封，封底用A4白页；面页除了“技术方案”四字和右下角密封处印章外不得有任何信息或明显标志；《技术方案》不得使用塑料夹条、薄膜外皮等饰物或特别标（注）记。装订中不得有重页、漏页、倒页、空白页（封底除外），技术方案中不得出现与本项目无关或具有提示性的内容且章节不得有缺少或重复。违反上述任何一项，其比选申请文件《技术方案》部分为零分。</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技术方案》文字部分纸张采用A4白纸，四号仿宋字体；所有图表可采用A4或A3(折叠成A4纸大小)图幅；图表内的字号大小不限；文字、图表不得使用彩色和不得编制页码、页眉和页脚。违反上述任何一项，其比选申请文件《技术方案》部分为零分。</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（技术方案原则上不超过 200 页。）</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（4）资格审查部分的装订要求</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应按照第八章规定格式装订成册，并应编制目录。</w:t>
            </w:r>
          </w:p>
          <w:p>
            <w:pPr>
              <w:wordWrap w:val="0"/>
              <w:topLinePunct/>
              <w:adjustRightInd w:val="0"/>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4.比选申请人提供的U盘必须注明不少于以下内容:</w:t>
            </w:r>
            <w:r>
              <w:rPr>
                <w:rFonts w:hint="eastAsia" w:ascii="宋体" w:hAnsi="宋体" w:cs="宋体"/>
                <w:color w:val="auto"/>
                <w:kern w:val="0"/>
                <w:szCs w:val="21"/>
                <w:highlight w:val="none"/>
              </w:rPr>
              <w:t>写明比选申请单位名称、项目名称并加盖比选申请单位公章。</w:t>
            </w:r>
            <w:r>
              <w:rPr>
                <w:rFonts w:hint="eastAsia" w:ascii="宋体" w:hAnsi="宋体" w:cs="宋体"/>
                <w:color w:val="auto"/>
                <w:highlight w:val="none"/>
              </w:rPr>
              <w:t xml:space="preserve"> (注:以上内容打印在白纸上,并加盖单位公章,贴在U盘上)。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4.1.1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比选申请文件的密封</w:t>
            </w:r>
          </w:p>
        </w:tc>
        <w:tc>
          <w:tcPr>
            <w:tcW w:w="7287" w:type="dxa"/>
            <w:shd w:val="clear" w:color="auto" w:fill="auto"/>
            <w:vAlign w:val="center"/>
          </w:tcPr>
          <w:p>
            <w:pPr>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 比选申请文件袋使用“比选函部分”袋、“经济部分袋”、“技术部分”袋、“资格审查部分”袋以及“比选申请文件”大袋。</w:t>
            </w:r>
          </w:p>
          <w:p>
            <w:pPr>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2.比选函部分及电子版形式（U盘）装入“比选函部分”袋中，密封并在袋上加盖比选申请人单位法人章。</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color w:val="auto"/>
                <w:spacing w:val="4"/>
                <w:szCs w:val="21"/>
                <w:highlight w:val="none"/>
              </w:rPr>
              <w:t>经济部分装入“经济部分”袋中，密封并在袋上加盖比选申请人单</w:t>
            </w:r>
            <w:r>
              <w:rPr>
                <w:rFonts w:hint="eastAsia" w:ascii="宋体" w:hAnsi="宋体" w:cs="宋体"/>
                <w:color w:val="auto"/>
                <w:szCs w:val="21"/>
                <w:highlight w:val="none"/>
              </w:rPr>
              <w:t>位法人章。</w:t>
            </w:r>
          </w:p>
          <w:p>
            <w:pPr>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4.本次比选技术部分采用暗标评审，技术部分装入“技术部分”袋中，密封不加盖任何印章。</w:t>
            </w:r>
          </w:p>
          <w:p>
            <w:pPr>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5.资格审查资料装入“资格审查资料”袋中，密封并在袋上加盖比选申请人单位法人章。</w:t>
            </w:r>
          </w:p>
          <w:p>
            <w:pPr>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6.“比选函部分”、“经济部分”、“技术部分”、“资格审查部分”等小袋装入“比选申请文件”大袋中，密封并在大袋上加盖比选申请人单位法人章，同时“比选申请文件”大袋应按本表第4.1.2项的规定写明相应内容。</w:t>
            </w:r>
          </w:p>
          <w:p>
            <w:pPr>
              <w:spacing w:line="440" w:lineRule="exact"/>
              <w:ind w:firstLine="422" w:firstLineChars="201"/>
              <w:rPr>
                <w:rFonts w:ascii="宋体" w:hAnsi="宋体" w:cs="宋体"/>
                <w:color w:val="auto"/>
                <w:kern w:val="0"/>
                <w:highlight w:val="none"/>
              </w:rPr>
            </w:pPr>
            <w:r>
              <w:rPr>
                <w:rFonts w:hint="eastAsia" w:ascii="宋体" w:hAnsi="宋体" w:cs="宋体"/>
                <w:color w:val="auto"/>
                <w:szCs w:val="21"/>
                <w:highlight w:val="none"/>
              </w:rPr>
              <w:t>8.如果“比选申请文件”大袋未按上述规定封装，比选人或比选代理机构应当拒绝接收。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4.1.2</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封套上写明</w:t>
            </w:r>
          </w:p>
        </w:tc>
        <w:tc>
          <w:tcPr>
            <w:tcW w:w="7287" w:type="dxa"/>
            <w:shd w:val="clear" w:color="auto" w:fill="auto"/>
            <w:vAlign w:val="center"/>
          </w:tcPr>
          <w:p>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应在“比选申请文件”大袋封套上写明如下内容：</w:t>
            </w:r>
          </w:p>
          <w:p>
            <w:pPr>
              <w:snapToGrid w:val="0"/>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p>
          <w:p>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比选申请人名称：</w:t>
            </w:r>
            <w:r>
              <w:rPr>
                <w:rFonts w:hint="eastAsia" w:ascii="宋体" w:hAnsi="宋体" w:cs="宋体"/>
                <w:color w:val="auto"/>
                <w:kern w:val="0"/>
                <w:szCs w:val="21"/>
                <w:highlight w:val="none"/>
                <w:u w:val="single"/>
              </w:rPr>
              <w:t xml:space="preserve">                           </w:t>
            </w:r>
          </w:p>
          <w:p>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(项目名称)比选申请文件</w:t>
            </w:r>
          </w:p>
          <w:p>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分（开标时间）前不得开启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4.2.2</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递交比选申请文件时间和地点</w:t>
            </w:r>
          </w:p>
        </w:tc>
        <w:tc>
          <w:tcPr>
            <w:tcW w:w="7287" w:type="dxa"/>
            <w:shd w:val="clear" w:color="auto" w:fill="auto"/>
            <w:vAlign w:val="center"/>
          </w:tcPr>
          <w:p>
            <w:pPr>
              <w:snapToGrid w:val="0"/>
              <w:spacing w:line="440" w:lineRule="exact"/>
              <w:rPr>
                <w:rFonts w:ascii="宋体" w:hAnsi="宋体" w:cs="宋体"/>
                <w:color w:val="auto"/>
                <w:kern w:val="0"/>
                <w:szCs w:val="21"/>
                <w:highlight w:val="none"/>
              </w:rPr>
            </w:pPr>
            <w:r>
              <w:rPr>
                <w:rFonts w:hint="eastAsia" w:ascii="宋体" w:hAnsi="宋体" w:cs="宋体"/>
                <w:snapToGrid w:val="0"/>
                <w:color w:val="auto"/>
                <w:kern w:val="0"/>
                <w:szCs w:val="21"/>
                <w:highlight w:val="none"/>
              </w:rPr>
              <w:t>比选申请文件的递交时间为</w:t>
            </w:r>
            <w:r>
              <w:rPr>
                <w:rFonts w:hint="eastAsia" w:ascii="宋体" w:hAnsi="宋体" w:cs="宋体"/>
                <w:snapToGrid w:val="0"/>
                <w:color w:val="auto"/>
                <w:kern w:val="0"/>
                <w:szCs w:val="21"/>
                <w:highlight w:val="none"/>
                <w:u w:val="single"/>
              </w:rPr>
              <w:t xml:space="preserve"> 202</w:t>
            </w:r>
            <w:r>
              <w:rPr>
                <w:rFonts w:hint="eastAsia" w:ascii="宋体" w:hAnsi="宋体" w:cs="宋体"/>
                <w:snapToGrid w:val="0"/>
                <w:color w:val="auto"/>
                <w:kern w:val="0"/>
                <w:szCs w:val="21"/>
                <w:highlight w:val="none"/>
                <w:u w:val="single"/>
                <w:lang w:val="en-US" w:eastAsia="zh-CN"/>
              </w:rPr>
              <w:t>4</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9</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lang w:val="en-US" w:eastAsia="zh-CN"/>
              </w:rPr>
              <w:t>3</w:t>
            </w:r>
            <w:r>
              <w:rPr>
                <w:rFonts w:hint="eastAsia" w:ascii="宋体" w:hAnsi="宋体" w:cs="宋体"/>
                <w:snapToGrid w:val="0"/>
                <w:color w:val="auto"/>
                <w:kern w:val="0"/>
                <w:szCs w:val="21"/>
                <w:highlight w:val="none"/>
                <w:u w:val="single"/>
              </w:rPr>
              <w:t xml:space="preserve">0 </w:t>
            </w:r>
            <w:r>
              <w:rPr>
                <w:rFonts w:hint="eastAsia" w:ascii="宋体" w:hAnsi="宋体" w:cs="宋体"/>
                <w:snapToGrid w:val="0"/>
                <w:color w:val="auto"/>
                <w:kern w:val="0"/>
                <w:szCs w:val="21"/>
                <w:highlight w:val="none"/>
              </w:rPr>
              <w:t>分至</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0</w:t>
            </w:r>
            <w:r>
              <w:rPr>
                <w:rFonts w:hint="eastAsia" w:ascii="宋体" w:hAnsi="宋体" w:cs="宋体"/>
                <w:snapToGrid w:val="0"/>
                <w:color w:val="auto"/>
                <w:kern w:val="0"/>
                <w:szCs w:val="21"/>
                <w:highlight w:val="none"/>
                <w:u w:val="single"/>
              </w:rPr>
              <w:t xml:space="preserve">0 </w:t>
            </w:r>
            <w:r>
              <w:rPr>
                <w:rFonts w:hint="eastAsia" w:ascii="宋体" w:hAnsi="宋体" w:cs="宋体"/>
                <w:snapToGrid w:val="0"/>
                <w:color w:val="auto"/>
                <w:kern w:val="0"/>
                <w:szCs w:val="21"/>
                <w:highlight w:val="none"/>
              </w:rPr>
              <w:t>分</w:t>
            </w:r>
            <w:r>
              <w:rPr>
                <w:rFonts w:hint="eastAsia" w:ascii="宋体" w:hAnsi="宋体" w:cs="宋体"/>
                <w:color w:val="auto"/>
                <w:kern w:val="0"/>
                <w:szCs w:val="21"/>
                <w:highlight w:val="none"/>
              </w:rPr>
              <w:t>（北京时间）</w:t>
            </w:r>
          </w:p>
          <w:p>
            <w:pPr>
              <w:spacing w:line="440" w:lineRule="exact"/>
              <w:rPr>
                <w:rFonts w:ascii="宋体" w:hAnsi="宋体" w:cs="宋体"/>
                <w:color w:val="auto"/>
                <w:szCs w:val="21"/>
                <w:highlight w:val="none"/>
                <w:u w:val="single"/>
              </w:rPr>
            </w:pPr>
            <w:r>
              <w:rPr>
                <w:rFonts w:hint="eastAsia" w:ascii="宋体" w:hAnsi="宋体" w:cs="宋体"/>
                <w:color w:val="auto"/>
                <w:kern w:val="0"/>
                <w:szCs w:val="21"/>
                <w:highlight w:val="none"/>
              </w:rPr>
              <w:t>递交比选申请文件地点：</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重庆市璧山区城市建设投资有限公司会议室</w:t>
            </w:r>
            <w:r>
              <w:rPr>
                <w:rFonts w:hint="eastAsia" w:ascii="宋体" w:hAnsi="宋体" w:cs="宋体"/>
                <w:snapToGrid w:val="0"/>
                <w:color w:val="auto"/>
                <w:kern w:val="0"/>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4.2.3</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是否退还比选申请文件</w:t>
            </w:r>
          </w:p>
        </w:tc>
        <w:tc>
          <w:tcPr>
            <w:tcW w:w="7287" w:type="dxa"/>
            <w:shd w:val="clear" w:color="auto" w:fill="auto"/>
            <w:vAlign w:val="center"/>
          </w:tcPr>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kern w:val="0"/>
                <w:szCs w:val="21"/>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5.1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开标时间和地点</w:t>
            </w:r>
          </w:p>
        </w:tc>
        <w:tc>
          <w:tcPr>
            <w:tcW w:w="7287" w:type="dxa"/>
            <w:shd w:val="clear" w:color="auto" w:fill="auto"/>
            <w:vAlign w:val="center"/>
          </w:tcPr>
          <w:p>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开标时间：同比选截止时间</w:t>
            </w:r>
          </w:p>
          <w:p>
            <w:pPr>
              <w:snapToGrid w:val="0"/>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开标地点：</w:t>
            </w:r>
            <w:r>
              <w:rPr>
                <w:rFonts w:hint="eastAsia" w:ascii="宋体" w:hAnsi="宋体" w:cs="宋体"/>
                <w:color w:val="auto"/>
                <w:kern w:val="0"/>
                <w:szCs w:val="21"/>
                <w:highlight w:val="none"/>
                <w:lang w:eastAsia="zh-CN"/>
              </w:rPr>
              <w:t>重庆市璧山区城市建设投资有限公司</w:t>
            </w:r>
            <w:r>
              <w:rPr>
                <w:rFonts w:hint="eastAsia" w:ascii="宋体" w:hAnsi="宋体" w:cs="宋体"/>
                <w:color w:val="auto"/>
                <w:kern w:val="0"/>
                <w:szCs w:val="21"/>
                <w:highlight w:val="none"/>
                <w:lang w:val="en-US" w:eastAsia="zh-CN"/>
              </w:rPr>
              <w:t>会议室</w:t>
            </w:r>
            <w:r>
              <w:rPr>
                <w:rFonts w:hint="eastAsia" w:ascii="宋体" w:hAnsi="宋体" w:cs="宋体"/>
                <w:snapToGrid w:val="0"/>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shd w:val="clear" w:color="auto" w:fill="auto"/>
            <w:vAlign w:val="center"/>
          </w:tcPr>
          <w:p>
            <w:pPr>
              <w:snapToGrid w:val="0"/>
              <w:spacing w:line="440" w:lineRule="exact"/>
              <w:jc w:val="center"/>
              <w:rPr>
                <w:rFonts w:ascii="宋体" w:hAnsi="宋体" w:cs="宋体"/>
                <w:color w:val="auto"/>
                <w:highlight w:val="none"/>
              </w:rPr>
            </w:pPr>
            <w:r>
              <w:rPr>
                <w:rFonts w:hint="eastAsia" w:ascii="宋体" w:hAnsi="宋体" w:cs="宋体"/>
                <w:color w:val="auto"/>
                <w:kern w:val="0"/>
                <w:highlight w:val="none"/>
              </w:rPr>
              <w:t>5.2</w:t>
            </w:r>
          </w:p>
        </w:tc>
        <w:tc>
          <w:tcPr>
            <w:tcW w:w="2083" w:type="dxa"/>
            <w:shd w:val="clear" w:color="auto" w:fill="auto"/>
            <w:vAlign w:val="center"/>
          </w:tcPr>
          <w:p>
            <w:pPr>
              <w:snapToGrid w:val="0"/>
              <w:spacing w:line="440" w:lineRule="exact"/>
              <w:jc w:val="center"/>
              <w:rPr>
                <w:rFonts w:ascii="宋体" w:hAnsi="宋体" w:cs="宋体"/>
                <w:color w:val="auto"/>
                <w:highlight w:val="none"/>
              </w:rPr>
            </w:pPr>
            <w:r>
              <w:rPr>
                <w:rFonts w:hint="eastAsia" w:ascii="宋体" w:hAnsi="宋体" w:cs="宋体"/>
                <w:color w:val="auto"/>
                <w:kern w:val="0"/>
                <w:highlight w:val="none"/>
              </w:rPr>
              <w:t>开标程序</w:t>
            </w:r>
          </w:p>
        </w:tc>
        <w:tc>
          <w:tcPr>
            <w:tcW w:w="7287" w:type="dxa"/>
            <w:shd w:val="clear" w:color="auto" w:fill="auto"/>
            <w:vAlign w:val="center"/>
          </w:tcPr>
          <w:p>
            <w:pPr>
              <w:wordWrap w:val="0"/>
              <w:autoSpaceDE w:val="0"/>
              <w:autoSpaceDN w:val="0"/>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主持人按下列程序进行开标：</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若法定代表人参加开标会的，核验参加开标会议的比选申请人的法定代表人本人身份证（原件）；若委托代理人参加开标会的，核验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宣布开标纪律。</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宣布开标人、唱标人、记录人、监标人等有关人员姓名。</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公布在比选截止时间前递交比选申请文件的比选申请人名称。</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 比选申请文件的密封检查：随机抽选比选申请人代表对比选申请文件封装情况进行检查，以确认其比选申请文件密封完好。</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6.展示比选保证金交纳情况</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 设有最高限价的，公布最高限价。</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 逐单位随机开启比选申请文件。开启比选申请文件大袋及比选函部分袋、经济部分袋、技术部分带袋、资格审查部分袋；公布比选申请人名称、比选报价、质量要求、工期及其他内容并记录在案。</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 比选申请人代表、比选人代表、监标人、记录人等有关人员在开标记录上签字确认。</w:t>
            </w:r>
          </w:p>
          <w:p>
            <w:pPr>
              <w:wordWrap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6.1.1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评审小组的组建</w:t>
            </w:r>
          </w:p>
        </w:tc>
        <w:tc>
          <w:tcPr>
            <w:tcW w:w="7287" w:type="dxa"/>
            <w:shd w:val="clear" w:color="auto" w:fill="auto"/>
            <w:vAlign w:val="center"/>
          </w:tcPr>
          <w:p>
            <w:pPr>
              <w:pStyle w:val="258"/>
              <w:spacing w:line="440" w:lineRule="exact"/>
              <w:ind w:firstLine="420"/>
              <w:rPr>
                <w:rFonts w:cs="宋体"/>
                <w:color w:val="auto"/>
                <w:kern w:val="2"/>
                <w:sz w:val="21"/>
                <w:highlight w:val="none"/>
                <w:lang w:val="zh-CN"/>
              </w:rPr>
            </w:pPr>
            <w:r>
              <w:rPr>
                <w:rFonts w:hint="eastAsia" w:cs="宋体"/>
                <w:color w:val="auto"/>
                <w:kern w:val="2"/>
                <w:sz w:val="21"/>
                <w:highlight w:val="none"/>
                <w:lang w:val="zh-CN"/>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6.3.2</w:t>
            </w:r>
          </w:p>
        </w:tc>
        <w:tc>
          <w:tcPr>
            <w:tcW w:w="2083" w:type="dxa"/>
            <w:shd w:val="clear" w:color="auto" w:fill="auto"/>
            <w:vAlign w:val="center"/>
          </w:tcPr>
          <w:p>
            <w:pPr>
              <w:pStyle w:val="525"/>
              <w:autoSpaceDE w:val="0"/>
              <w:autoSpaceDN w:val="0"/>
              <w:spacing w:line="440" w:lineRule="exact"/>
              <w:ind w:left="147" w:right="138"/>
              <w:jc w:val="center"/>
              <w:rPr>
                <w:color w:val="auto"/>
                <w:szCs w:val="21"/>
                <w:highlight w:val="none"/>
              </w:rPr>
            </w:pPr>
            <w:r>
              <w:rPr>
                <w:rFonts w:hint="eastAsia"/>
                <w:color w:val="auto"/>
                <w:szCs w:val="21"/>
                <w:highlight w:val="none"/>
              </w:rPr>
              <w:t>评审小组推荐中选候选人的人数</w:t>
            </w:r>
          </w:p>
        </w:tc>
        <w:tc>
          <w:tcPr>
            <w:tcW w:w="7287" w:type="dxa"/>
            <w:shd w:val="clear" w:color="auto" w:fill="auto"/>
            <w:vAlign w:val="center"/>
          </w:tcPr>
          <w:p>
            <w:pPr>
              <w:pStyle w:val="525"/>
              <w:autoSpaceDE w:val="0"/>
              <w:autoSpaceDN w:val="0"/>
              <w:spacing w:line="440" w:lineRule="exact"/>
              <w:ind w:firstLine="420" w:firstLineChars="200"/>
              <w:rPr>
                <w:color w:val="auto"/>
                <w:szCs w:val="21"/>
                <w:highlight w:val="none"/>
                <w:lang w:val="zh-CN"/>
              </w:rPr>
            </w:pPr>
            <w:r>
              <w:rPr>
                <w:rFonts w:hint="eastAsia"/>
                <w:color w:val="auto"/>
                <w:szCs w:val="21"/>
                <w:highlight w:val="none"/>
              </w:rPr>
              <w:t>推荐经评审总得分由高到低排名前三名为中选候选人。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7.1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是否授权评审小组确定中选人</w:t>
            </w:r>
          </w:p>
        </w:tc>
        <w:tc>
          <w:tcPr>
            <w:tcW w:w="7287" w:type="dxa"/>
            <w:shd w:val="clear" w:color="auto" w:fill="auto"/>
            <w:vAlign w:val="center"/>
          </w:tcPr>
          <w:p>
            <w:pPr>
              <w:snapToGrid w:val="0"/>
              <w:spacing w:line="440" w:lineRule="exact"/>
              <w:ind w:left="212" w:hanging="212" w:hangingChars="101"/>
              <w:rPr>
                <w:rFonts w:ascii="宋体" w:hAnsi="宋体" w:cs="宋体"/>
                <w:color w:val="auto"/>
                <w:kern w:val="0"/>
                <w:highlight w:val="none"/>
              </w:rPr>
            </w:pPr>
            <w:r>
              <w:rPr>
                <w:rFonts w:hint="eastAsia" w:ascii="宋体" w:hAnsi="宋体" w:cs="宋体"/>
                <w:color w:val="auto"/>
                <w:kern w:val="0"/>
                <w:highlight w:val="none"/>
              </w:rPr>
              <w:t>否，</w:t>
            </w:r>
            <w:r>
              <w:rPr>
                <w:rFonts w:hint="eastAsia" w:ascii="宋体" w:hAnsi="宋体" w:cs="宋体"/>
                <w:color w:val="auto"/>
                <w:kern w:val="0"/>
                <w:szCs w:val="21"/>
                <w:highlight w:val="none"/>
              </w:rPr>
              <w:t>推荐经评审综合得分由高到低排名前三名为中选候选人</w:t>
            </w:r>
            <w:r>
              <w:rPr>
                <w:rFonts w:hint="eastAsia" w:ascii="宋体" w:hAnsi="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7.2</w:t>
            </w:r>
          </w:p>
        </w:tc>
        <w:tc>
          <w:tcPr>
            <w:tcW w:w="2083" w:type="dxa"/>
            <w:shd w:val="clear" w:color="auto" w:fill="auto"/>
            <w:vAlign w:val="center"/>
          </w:tcPr>
          <w:p>
            <w:pPr>
              <w:snapToGrid w:val="0"/>
              <w:spacing w:afterLines="20" w:line="440" w:lineRule="exact"/>
              <w:jc w:val="center"/>
              <w:rPr>
                <w:rFonts w:ascii="宋体" w:hAnsi="宋体" w:cs="宋体"/>
                <w:color w:val="auto"/>
                <w:kern w:val="0"/>
                <w:highlight w:val="none"/>
              </w:rPr>
            </w:pPr>
            <w:r>
              <w:rPr>
                <w:rFonts w:hint="eastAsia" w:ascii="宋体" w:hAnsi="宋体" w:cs="宋体"/>
                <w:color w:val="auto"/>
                <w:kern w:val="0"/>
                <w:szCs w:val="21"/>
                <w:highlight w:val="none"/>
              </w:rPr>
              <w:t>中选公示</w:t>
            </w:r>
          </w:p>
        </w:tc>
        <w:tc>
          <w:tcPr>
            <w:tcW w:w="7287" w:type="dxa"/>
            <w:shd w:val="clear" w:color="auto" w:fill="auto"/>
            <w:vAlign w:val="center"/>
          </w:tcPr>
          <w:p>
            <w:pPr>
              <w:snapToGrid w:val="0"/>
              <w:spacing w:line="440" w:lineRule="exact"/>
              <w:ind w:firstLine="420" w:firstLineChars="200"/>
              <w:rPr>
                <w:rFonts w:ascii="宋体" w:hAnsi="宋体" w:cs="宋体"/>
                <w:color w:val="auto"/>
                <w:kern w:val="0"/>
                <w:highlight w:val="none"/>
              </w:rPr>
            </w:pPr>
            <w:r>
              <w:rPr>
                <w:rFonts w:hint="eastAsia" w:ascii="宋体" w:hAnsi="宋体" w:cs="宋体"/>
                <w:color w:val="auto"/>
                <w:szCs w:val="21"/>
                <w:highlight w:val="none"/>
              </w:rPr>
              <w:t>比选人在收到评审报告后3日内将评审结果在重庆市九龙坡区含谷镇人民政府</w:t>
            </w:r>
            <w:r>
              <w:rPr>
                <w:rFonts w:hint="eastAsia" w:ascii="宋体" w:hAnsi="宋体" w:cs="宋体"/>
                <w:color w:val="auto"/>
                <w:szCs w:val="21"/>
                <w:highlight w:val="none"/>
                <w:lang w:val="en-US" w:eastAsia="zh-CN"/>
              </w:rPr>
              <w:t>和重庆市璧山区城市建设投资有限公司公告栏</w:t>
            </w:r>
            <w:r>
              <w:rPr>
                <w:rFonts w:hint="eastAsia" w:ascii="宋体" w:hAnsi="宋体" w:cs="宋体"/>
                <w:color w:val="auto"/>
                <w:szCs w:val="21"/>
                <w:highlight w:val="none"/>
              </w:rPr>
              <w:t>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8.1</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szCs w:val="21"/>
                <w:highlight w:val="none"/>
              </w:rPr>
              <w:t>重新比选</w:t>
            </w:r>
          </w:p>
        </w:tc>
        <w:tc>
          <w:tcPr>
            <w:tcW w:w="7287" w:type="dxa"/>
            <w:shd w:val="clear" w:color="auto" w:fill="auto"/>
            <w:vAlign w:val="center"/>
          </w:tcPr>
          <w:p>
            <w:pPr>
              <w:pStyle w:val="258"/>
              <w:spacing w:line="440" w:lineRule="exact"/>
              <w:ind w:firstLine="420" w:firstLineChars="200"/>
              <w:rPr>
                <w:rFonts w:cs="宋体"/>
                <w:color w:val="auto"/>
                <w:kern w:val="2"/>
                <w:sz w:val="21"/>
                <w:szCs w:val="22"/>
                <w:highlight w:val="none"/>
                <w:lang w:val="zh-CN"/>
              </w:rPr>
            </w:pPr>
            <w:r>
              <w:rPr>
                <w:rFonts w:hint="eastAsia" w:cs="宋体"/>
                <w:color w:val="auto"/>
                <w:kern w:val="2"/>
                <w:sz w:val="21"/>
                <w:szCs w:val="22"/>
                <w:highlight w:val="none"/>
                <w:lang w:val="zh-CN"/>
              </w:rPr>
              <w:t>1.按比选申请人须知第8.1（1）执行；</w:t>
            </w:r>
          </w:p>
          <w:p>
            <w:pPr>
              <w:pStyle w:val="258"/>
              <w:spacing w:line="440" w:lineRule="exact"/>
              <w:ind w:firstLine="420" w:firstLineChars="200"/>
              <w:rPr>
                <w:rFonts w:cs="宋体"/>
                <w:color w:val="auto"/>
                <w:kern w:val="2"/>
                <w:sz w:val="21"/>
                <w:szCs w:val="22"/>
                <w:highlight w:val="none"/>
                <w:lang w:val="zh-CN"/>
              </w:rPr>
            </w:pPr>
            <w:r>
              <w:rPr>
                <w:rFonts w:hint="eastAsia" w:cs="宋体"/>
                <w:color w:val="auto"/>
                <w:kern w:val="2"/>
                <w:sz w:val="21"/>
                <w:szCs w:val="22"/>
                <w:highlight w:val="none"/>
                <w:lang w:val="zh-CN"/>
              </w:rPr>
              <w:t>2.按比选申请人须知第8.1（2）执行；</w:t>
            </w:r>
          </w:p>
          <w:p>
            <w:pPr>
              <w:pStyle w:val="258"/>
              <w:spacing w:line="440" w:lineRule="exact"/>
              <w:ind w:firstLine="420" w:firstLineChars="200"/>
              <w:rPr>
                <w:rFonts w:cs="宋体"/>
                <w:color w:val="auto"/>
                <w:kern w:val="2"/>
                <w:sz w:val="21"/>
                <w:szCs w:val="22"/>
                <w:highlight w:val="none"/>
                <w:lang w:val="zh-CN"/>
              </w:rPr>
            </w:pPr>
            <w:r>
              <w:rPr>
                <w:rFonts w:hint="eastAsia" w:cs="宋体"/>
                <w:color w:val="auto"/>
                <w:kern w:val="2"/>
                <w:sz w:val="21"/>
                <w:szCs w:val="22"/>
                <w:highlight w:val="none"/>
                <w:lang w:val="zh-CN"/>
              </w:rPr>
              <w:t>3.按比选申请人须知第8.1（3）执行；</w:t>
            </w:r>
          </w:p>
          <w:p>
            <w:pPr>
              <w:pStyle w:val="258"/>
              <w:spacing w:line="440" w:lineRule="exact"/>
              <w:ind w:firstLine="420" w:firstLineChars="200"/>
              <w:rPr>
                <w:rFonts w:cs="宋体"/>
                <w:color w:val="auto"/>
                <w:kern w:val="2"/>
                <w:sz w:val="21"/>
                <w:highlight w:val="none"/>
                <w:lang w:val="zh-CN"/>
              </w:rPr>
            </w:pPr>
            <w:r>
              <w:rPr>
                <w:rFonts w:hint="eastAsia" w:cs="宋体"/>
                <w:color w:val="auto"/>
                <w:kern w:val="2"/>
                <w:sz w:val="21"/>
                <w:szCs w:val="22"/>
                <w:highlight w:val="none"/>
                <w:lang w:val="zh-CN"/>
              </w:rPr>
              <w:t>4.按比选申请人须知第8.1（4）执行。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8.2</w:t>
            </w:r>
          </w:p>
        </w:tc>
        <w:tc>
          <w:tcPr>
            <w:tcW w:w="2083"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szCs w:val="21"/>
                <w:highlight w:val="none"/>
              </w:rPr>
              <w:t>二次比选和不再比选</w:t>
            </w:r>
          </w:p>
        </w:tc>
        <w:tc>
          <w:tcPr>
            <w:tcW w:w="7287" w:type="dxa"/>
            <w:shd w:val="clear" w:color="auto" w:fill="auto"/>
            <w:vAlign w:val="center"/>
          </w:tcPr>
          <w:p>
            <w:pPr>
              <w:pStyle w:val="258"/>
              <w:spacing w:line="440" w:lineRule="exact"/>
              <w:ind w:firstLine="420" w:firstLineChars="200"/>
              <w:rPr>
                <w:rFonts w:cs="宋体"/>
                <w:color w:val="auto"/>
                <w:kern w:val="2"/>
                <w:sz w:val="21"/>
                <w:highlight w:val="none"/>
                <w:lang w:val="zh-CN"/>
              </w:rPr>
            </w:pPr>
            <w:r>
              <w:rPr>
                <w:rFonts w:hint="eastAsia" w:cs="宋体"/>
                <w:color w:val="auto"/>
                <w:kern w:val="2"/>
                <w:sz w:val="21"/>
                <w:szCs w:val="22"/>
                <w:highlight w:val="none"/>
                <w:lang w:val="zh-CN"/>
              </w:rPr>
              <w:t>重新比选后比选申请人仍少于3个，按法定程序开标和评审，确定中选人。经评审无合格比选申请人，属于必须审批或核准的工程建设项目，经原审批或核准部门批准后不再进行</w:t>
            </w:r>
            <w:r>
              <w:rPr>
                <w:rFonts w:hint="eastAsia" w:cs="宋体"/>
                <w:color w:val="auto"/>
                <w:kern w:val="2"/>
                <w:sz w:val="21"/>
                <w:szCs w:val="22"/>
                <w:highlight w:val="none"/>
              </w:rPr>
              <w:t>比选</w:t>
            </w:r>
            <w:r>
              <w:rPr>
                <w:rFonts w:hint="eastAsia" w:cs="宋体"/>
                <w:color w:val="auto"/>
                <w:kern w:val="2"/>
                <w:sz w:val="21"/>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2" w:type="dxa"/>
            <w:shd w:val="clear" w:color="auto" w:fill="auto"/>
            <w:vAlign w:val="center"/>
          </w:tcPr>
          <w:p>
            <w:pPr>
              <w:snapToGrid w:val="0"/>
              <w:spacing w:line="440" w:lineRule="exact"/>
              <w:jc w:val="center"/>
              <w:rPr>
                <w:rFonts w:ascii="宋体" w:hAnsi="宋体" w:cs="宋体"/>
                <w:b/>
                <w:color w:val="auto"/>
                <w:kern w:val="0"/>
                <w:highlight w:val="none"/>
              </w:rPr>
            </w:pPr>
            <w:r>
              <w:rPr>
                <w:rFonts w:hint="eastAsia" w:ascii="宋体" w:hAnsi="宋体" w:cs="宋体"/>
                <w:b/>
                <w:color w:val="auto"/>
                <w:kern w:val="0"/>
                <w:highlight w:val="none"/>
              </w:rPr>
              <w:t>10</w:t>
            </w:r>
          </w:p>
        </w:tc>
        <w:tc>
          <w:tcPr>
            <w:tcW w:w="9370" w:type="dxa"/>
            <w:gridSpan w:val="2"/>
            <w:shd w:val="clear" w:color="auto" w:fill="auto"/>
            <w:vAlign w:val="center"/>
          </w:tcPr>
          <w:p>
            <w:pPr>
              <w:snapToGrid w:val="0"/>
              <w:spacing w:line="440" w:lineRule="exact"/>
              <w:jc w:val="center"/>
              <w:rPr>
                <w:rFonts w:ascii="宋体" w:hAnsi="宋体" w:cs="宋体"/>
                <w:b/>
                <w:color w:val="auto"/>
                <w:kern w:val="0"/>
                <w:highlight w:val="none"/>
              </w:rPr>
            </w:pPr>
            <w:r>
              <w:rPr>
                <w:rFonts w:hint="eastAsia" w:ascii="宋体" w:hAnsi="宋体" w:cs="宋体"/>
                <w:b/>
                <w:color w:val="auto"/>
                <w:kern w:val="0"/>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10.1</w:t>
            </w:r>
          </w:p>
        </w:tc>
        <w:tc>
          <w:tcPr>
            <w:tcW w:w="2083" w:type="dxa"/>
            <w:shd w:val="clear" w:color="auto" w:fill="auto"/>
            <w:vAlign w:val="center"/>
          </w:tcPr>
          <w:p>
            <w:pPr>
              <w:adjustRightInd w:val="0"/>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比选代理服务费</w:t>
            </w:r>
          </w:p>
        </w:tc>
        <w:tc>
          <w:tcPr>
            <w:tcW w:w="7287" w:type="dxa"/>
            <w:shd w:val="clear" w:color="auto" w:fill="auto"/>
            <w:vAlign w:val="center"/>
          </w:tcPr>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由中选人支付。按</w:t>
            </w:r>
            <w:r>
              <w:rPr>
                <w:rFonts w:hint="eastAsia" w:ascii="宋体" w:hAnsi="宋体" w:cs="宋体"/>
                <w:color w:val="auto"/>
                <w:highlight w:val="none"/>
                <w:lang w:val="zh-CN"/>
              </w:rPr>
              <w:t>计价格［2002］1980号文件计取，</w:t>
            </w:r>
            <w:r>
              <w:rPr>
                <w:rFonts w:hint="eastAsia" w:ascii="宋体" w:hAnsi="宋体" w:cs="宋体"/>
                <w:color w:val="auto"/>
                <w:szCs w:val="21"/>
                <w:highlight w:val="none"/>
              </w:rPr>
              <w:t>在领取中选通知书时一次性支付比选代理服务费</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shd w:val="clear" w:color="auto" w:fill="auto"/>
            <w:vAlign w:val="center"/>
          </w:tcPr>
          <w:p>
            <w:pPr>
              <w:adjustRightInd w:val="0"/>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10.2</w:t>
            </w:r>
          </w:p>
        </w:tc>
        <w:tc>
          <w:tcPr>
            <w:tcW w:w="2083" w:type="dxa"/>
            <w:shd w:val="clear" w:color="auto" w:fill="auto"/>
            <w:vAlign w:val="center"/>
          </w:tcPr>
          <w:p>
            <w:pPr>
              <w:adjustRightInd w:val="0"/>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工程款支付</w:t>
            </w:r>
          </w:p>
        </w:tc>
        <w:tc>
          <w:tcPr>
            <w:tcW w:w="7287" w:type="dxa"/>
            <w:shd w:val="clear" w:color="auto" w:fill="auto"/>
            <w:vAlign w:val="center"/>
          </w:tcPr>
          <w:p>
            <w:pPr>
              <w:autoSpaceDE w:val="0"/>
              <w:autoSpaceDN w:val="0"/>
              <w:adjustRightInd w:val="0"/>
              <w:snapToGrid w:val="0"/>
              <w:spacing w:line="44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工程竣工（或交工）验收合格后支付至经审核的已完成合格工程量计价款的90%。本工程按重庆市璧山区政府投资项目管理办法（璧发改【2022】265号）和政府结算审核相关规定（璧财发【2021】2号）办理结算，并移交档案资料且通过档案验收合格后支付至审定金额的97%，余下3%作为质量保证金，待24个月的缺陷责任期满后按规定无息退还。</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2.农民工工资支付：按《建设工程施工合同》附件8农民工工资补充协议执行。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10.3</w:t>
            </w:r>
          </w:p>
        </w:tc>
        <w:tc>
          <w:tcPr>
            <w:tcW w:w="2083" w:type="dxa"/>
            <w:shd w:val="clear" w:color="auto" w:fill="auto"/>
            <w:vAlign w:val="center"/>
          </w:tcPr>
          <w:p>
            <w:pPr>
              <w:adjustRightInd w:val="0"/>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结算原则</w:t>
            </w:r>
          </w:p>
        </w:tc>
        <w:tc>
          <w:tcPr>
            <w:tcW w:w="7287" w:type="dxa"/>
            <w:shd w:val="clear" w:color="auto" w:fill="auto"/>
            <w:vAlign w:val="center"/>
          </w:tcPr>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结算价款=分部分项工程量清单结算价+措施费±分部分项工程量清单新增或变更等引起的增（减）子项结算价+全费用清单结算价（如有）+规费+税金±Σ索赔、罚金及违约金±Σ人工费、材料费价差调整±合同约定的其他费用。</w:t>
            </w:r>
          </w:p>
          <w:p>
            <w:pPr>
              <w:autoSpaceDE w:val="0"/>
              <w:autoSpaceDN w:val="0"/>
              <w:adjustRightInd w:val="0"/>
              <w:snapToGrid w:val="0"/>
              <w:spacing w:line="440" w:lineRule="exact"/>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rPr>
              <w:t>本工程结算金额最终以业主委托的第三方审计机构或财政委托的审计单位（如有二审，以二审结果为准。如有超额支付，承包人按二审结果退回发包人）审定的金额为准。</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各部分的结算原则如下：</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1.分部分项工程量清单结算金额：</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分部分项工程量清单项目按中选单价实行综合单价结算，按照《重庆市住房和城乡建设委员会关于适用增值税新税率调整建设工程计价依据的通知》（渝建[2019]143号）文件规定，本项目材料均按不含税价格计取。工程结算时，以承包人在本项目比选申请文件中分部分项工程量清单综合单价为结算单价依据，按施工图、设计变更、图纸会审纪要及《建设工程工程量清单计价规范》（GB50500-2013）、《重庆市建设工程工程量清单计价规则》（CQJJGZ-2013）、《重庆市建设工程工程量计算规则》（GQJLGZ-2013）计量规则计算并经监理单位及发包人审核的工程量乘以分部分项工程量清单综合单价，作为该子项的结算合价。各分部分项工程量清单子项合价累计相加，即为分部分项工程量清单结算价。</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若项目实施期间发包人发现承包人中选的工程量清单综合单价报价超过招标时给出的工程量清单综合单价最高限价的，在工程结算时发包人将以发出的工程量清单综合单价最高限价为基础，按照承包人的中选总报价与本工程的总价最高限价的下浮比例进行同比例下调。</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2．全费用综合包干单价部分结算原则</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由比选人决定是否采用全费用综合包干单价计价</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结算总价=审定的全费用综合包干单价×实际工程量</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按比选人提供的《全费用综合包干单价表》计价，此单价已包括人工费、材料费、机械费、管理费、利润、措施费（含环境保护、临时设施、夜间施工、二次搬运、冬雨季施工、已完工程及设备保护、点交及场地清理等一切为保障工程施工顺利实施而采用的各种措施而发生的费用）、规费、安全文明施工费、风险费、税金等的所有费用。以及合同明示或暗示的相关责任、义务和风险（不可抗力带来的风险除外）。</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3．措施费计价原则：</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 施工组织措施项目费：审定的施工图预算中的费率计取。</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施工技术措施项目费：技术措施清单中以项计列的项目，无论因设计变更或施工工艺变化等任何因素而引起实际措施费的变化，均按审定的施工图预算中的措施费作为结算价；技术措施清单中以项目编码、项目名称、项目特征、工程内容、工程量及计量单位列项的项目，以审定的施工图预算中的综合单价乘以按《建设工程工程量清单计价规范》（GB50500-2013）约定的计量规则计算的实际合格工程量办理结算。施工技术措施项目费以暂列金额形式计入报价的，根据发包人核定的价格按实结算或按照工程变更或新增项目清单结算原则执行。</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4．设计变更、工程量清单漏项或新增项目价款结算金额： </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 （1）变更（包括签证）、漏项及新增工程与比选报价的工程量清单中有相同的子项，则按投标时的相同子项的综合单价执行；</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 （2）变更（包括签证）、漏项及新增工程与比选报价的工程量清单中有类似子项（类似子项由发包人确定），可在合理范围内参照类似子目的综合单价执行；</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 （3）变更（包括签证）、漏项及新增工程与工程量清单中无相同子项或类似子项的，按照《建设工程工程量清单计价规范》（GB50500-2013）、《市政工程工程量计算规范》（GB50857-2013）、《通用安装工程工程量计算规范》（GB50856-2013）、《重庆市建设工程工程量清单计价规则》（CQJJGZ-2013）、《重庆市建设工程工程量计算规则》（CQJLGZ－2013）、《重庆市建设工程工程量计算规则》（CQJLGZ-2013）、《重庆市市政工程计价定额》（CQSZDE-2018）、《重庆市通用安装工程计价定额》（CQAZDE-2018）、《重庆市绿色建筑工程计价定额》（CQLSJZDE-2018）、《重庆市园林绿化工程计价定额》（CQYLLHDE-2018）、《重庆市构筑物工程计价定额》（CQGZWDE-2018）、《重庆市爆破工程计价定额》（CQBPDE-2018）、《重庆市建设工程费用定额》（CQFYDE-2018）、《重庆市建筑工程混凝土及砂浆配合比表》（CQPHBB-2018）、《重庆建筑工程施工机械台班定额》（CQFYDE-2018）及相应配套定额和文件的规定进行组价，组价原则为采用投标清单报价中的人工、材料、机械、设备单价和有关投标取费的基础上计算，其中材料及人工费比选报价中有的按比选报价计算（若比选报价中同一种人工及材料中有不同价格，以低价计算），比选报价中没有的材料单价执行市场价，由监理单位、发包人认质核价。本工程按以上计价原则组成综合单价后按中选总价与最高限价的同等下浮比例进行下浮。</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5、安全文明施工费用：按渝建发[2014]25号和渝建发[2016]35号文及现行文件的规定标准进行结算。</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6、规费：按比选人提供的工程量清单中的费率结算。</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7、税金：按《重庆市住房和城乡建设委员会关于适用增值税新税率调整建设工程计价依据的通知》（渝建（2019）143号）的要求执行。</w:t>
            </w:r>
          </w:p>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8、其他项目清单结算价：比选人预留金、其他项目清单中所列暂定金额项目根据比选人核定的价格按实结算或按照工程变更或新增项目清单结算原则执行。</w:t>
            </w:r>
          </w:p>
          <w:p>
            <w:pPr>
              <w:spacing w:line="440" w:lineRule="exact"/>
              <w:ind w:firstLine="420" w:firstLineChars="200"/>
              <w:jc w:val="left"/>
              <w:rPr>
                <w:rFonts w:ascii="宋体" w:hAnsi="宋体" w:cs="宋体"/>
                <w:color w:val="auto"/>
                <w:kern w:val="0"/>
                <w:szCs w:val="21"/>
                <w:highlight w:val="none"/>
              </w:rPr>
            </w:pPr>
            <w:r>
              <w:rPr>
                <w:rFonts w:hint="eastAsia" w:ascii="宋体" w:hAnsi="宋体"/>
                <w:color w:val="auto"/>
                <w:kern w:val="0"/>
                <w:szCs w:val="21"/>
                <w:highlight w:val="none"/>
              </w:rPr>
              <w:t>9、本工程所有材料和设备价格均为结算价（为不含税的价格，包括材料原价、采购费、包装费、上下车费、运输及损耗费、仓管费、安装调试费等所有费用）。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82" w:type="dxa"/>
            <w:shd w:val="clear" w:color="auto" w:fill="auto"/>
            <w:vAlign w:val="center"/>
          </w:tcPr>
          <w:p>
            <w:pPr>
              <w:snapToGrid w:val="0"/>
              <w:spacing w:line="440" w:lineRule="exact"/>
              <w:jc w:val="center"/>
              <w:rPr>
                <w:rFonts w:ascii="宋体" w:hAnsi="宋体" w:cs="宋体"/>
                <w:color w:val="auto"/>
                <w:kern w:val="0"/>
                <w:highlight w:val="none"/>
              </w:rPr>
            </w:pPr>
            <w:r>
              <w:rPr>
                <w:rFonts w:hint="eastAsia" w:ascii="宋体" w:hAnsi="宋体" w:cs="宋体"/>
                <w:color w:val="auto"/>
                <w:kern w:val="0"/>
                <w:highlight w:val="none"/>
              </w:rPr>
              <w:t>10.4</w:t>
            </w:r>
          </w:p>
        </w:tc>
        <w:tc>
          <w:tcPr>
            <w:tcW w:w="2083" w:type="dxa"/>
            <w:shd w:val="clear" w:color="auto" w:fill="auto"/>
            <w:vAlign w:val="center"/>
          </w:tcPr>
          <w:p>
            <w:pPr>
              <w:autoSpaceDE w:val="0"/>
              <w:autoSpaceDN w:val="0"/>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质量保证金</w:t>
            </w:r>
          </w:p>
        </w:tc>
        <w:tc>
          <w:tcPr>
            <w:tcW w:w="7287" w:type="dxa"/>
            <w:shd w:val="clear" w:color="auto" w:fill="auto"/>
            <w:vAlign w:val="center"/>
          </w:tcPr>
          <w:p>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质量保证金金额为结算审计审定总金额的3%。比选人按照合同约定的内容核实中标单位是否完成缺陷责任后14日内退还。</w:t>
            </w:r>
          </w:p>
        </w:tc>
      </w:tr>
    </w:tbl>
    <w:p>
      <w:pPr>
        <w:autoSpaceDE w:val="0"/>
        <w:autoSpaceDN w:val="0"/>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注：比选申请人须知前附表与比选申请人须知不一致的以比选申请人须知前附表内容为准。</w:t>
      </w:r>
    </w:p>
    <w:p>
      <w:pPr>
        <w:rPr>
          <w:rFonts w:ascii="宋体" w:hAnsi="宋体" w:cs="宋体"/>
          <w:color w:val="auto"/>
          <w:kern w:val="0"/>
          <w:sz w:val="20"/>
          <w:highlight w:val="none"/>
        </w:rPr>
        <w:sectPr>
          <w:headerReference r:id="rId7" w:type="default"/>
          <w:footerReference r:id="rId8" w:type="default"/>
          <w:pgSz w:w="11907" w:h="16839"/>
          <w:pgMar w:top="993" w:right="1134" w:bottom="709" w:left="1276" w:header="720" w:footer="720" w:gutter="0"/>
          <w:pgNumType w:fmt="numberInDash" w:start="1"/>
          <w:cols w:space="720" w:num="1"/>
          <w:docGrid w:linePitch="286" w:charSpace="0"/>
        </w:sectPr>
      </w:pPr>
    </w:p>
    <w:p>
      <w:pPr>
        <w:pStyle w:val="4"/>
        <w:spacing w:line="440" w:lineRule="exact"/>
        <w:rPr>
          <w:rFonts w:ascii="宋体" w:hAnsi="宋体" w:eastAsia="宋体" w:cs="宋体"/>
          <w:snapToGrid w:val="0"/>
          <w:color w:val="auto"/>
          <w:spacing w:val="0"/>
          <w:w w:val="100"/>
          <w:highlight w:val="none"/>
        </w:rPr>
      </w:pPr>
      <w:bookmarkStart w:id="60" w:name="_Toc30994"/>
      <w:bookmarkStart w:id="61" w:name="_Toc5200"/>
      <w:bookmarkStart w:id="62" w:name="_Toc431287045"/>
      <w:bookmarkStart w:id="63" w:name="_Toc11166815"/>
      <w:bookmarkStart w:id="64" w:name="_Toc200513126"/>
      <w:r>
        <w:rPr>
          <w:rFonts w:hint="eastAsia" w:ascii="宋体" w:hAnsi="宋体" w:eastAsia="宋体" w:cs="宋体"/>
          <w:snapToGrid w:val="0"/>
          <w:color w:val="auto"/>
          <w:spacing w:val="0"/>
          <w:w w:val="100"/>
          <w:highlight w:val="none"/>
        </w:rPr>
        <w:t>1.  总则</w:t>
      </w:r>
      <w:bookmarkEnd w:id="60"/>
      <w:bookmarkEnd w:id="61"/>
      <w:bookmarkEnd w:id="62"/>
      <w:bookmarkEnd w:id="63"/>
      <w:bookmarkEnd w:id="64"/>
    </w:p>
    <w:p>
      <w:pPr>
        <w:pStyle w:val="5"/>
        <w:snapToGrid w:val="0"/>
        <w:spacing w:line="440" w:lineRule="exact"/>
        <w:rPr>
          <w:rFonts w:ascii="宋体" w:hAnsi="宋体" w:eastAsia="宋体" w:cs="宋体"/>
          <w:snapToGrid w:val="0"/>
          <w:color w:val="auto"/>
          <w:highlight w:val="none"/>
        </w:rPr>
      </w:pPr>
      <w:bookmarkStart w:id="65" w:name="_Toc431287046"/>
      <w:bookmarkStart w:id="66" w:name="_Toc11166816"/>
      <w:bookmarkStart w:id="67" w:name="_Toc200513127"/>
      <w:r>
        <w:rPr>
          <w:rFonts w:hint="eastAsia" w:ascii="宋体" w:hAnsi="宋体" w:eastAsia="宋体" w:cs="宋体"/>
          <w:snapToGrid w:val="0"/>
          <w:color w:val="auto"/>
          <w:highlight w:val="none"/>
        </w:rPr>
        <w:t>1.1  项目概况</w:t>
      </w:r>
      <w:bookmarkEnd w:id="65"/>
      <w:bookmarkEnd w:id="66"/>
      <w:bookmarkEnd w:id="67"/>
    </w:p>
    <w:p>
      <w:pPr>
        <w:autoSpaceDE w:val="0"/>
        <w:autoSpaceDN w:val="0"/>
        <w:adjustRightInd w:val="0"/>
        <w:snapToGrid w:val="0"/>
        <w:spacing w:line="440" w:lineRule="exact"/>
        <w:ind w:firstLine="357" w:firstLineChars="170"/>
        <w:jc w:val="left"/>
        <w:rPr>
          <w:rFonts w:ascii="宋体" w:hAnsi="宋体" w:cs="宋体"/>
          <w:snapToGrid w:val="0"/>
          <w:color w:val="auto"/>
          <w:kern w:val="0"/>
          <w:highlight w:val="none"/>
        </w:rPr>
      </w:pPr>
      <w:r>
        <w:rPr>
          <w:rFonts w:hint="eastAsia" w:ascii="宋体" w:hAnsi="宋体" w:cs="宋体"/>
          <w:snapToGrid w:val="0"/>
          <w:color w:val="auto"/>
          <w:kern w:val="0"/>
          <w:highlight w:val="none"/>
        </w:rPr>
        <w:t>1.1.1  根据《中华人民共和国招标投标法》等有关法律、法规和规章的规定，本比选项目已具备比选条件，现对本项目施工进行比选。</w:t>
      </w:r>
    </w:p>
    <w:p>
      <w:pPr>
        <w:autoSpaceDE w:val="0"/>
        <w:autoSpaceDN w:val="0"/>
        <w:adjustRightInd w:val="0"/>
        <w:snapToGrid w:val="0"/>
        <w:spacing w:line="440" w:lineRule="exact"/>
        <w:ind w:firstLine="357" w:firstLineChars="170"/>
        <w:jc w:val="left"/>
        <w:rPr>
          <w:rFonts w:ascii="宋体" w:hAnsi="宋体" w:cs="宋体"/>
          <w:snapToGrid w:val="0"/>
          <w:color w:val="auto"/>
          <w:kern w:val="0"/>
          <w:highlight w:val="none"/>
        </w:rPr>
      </w:pPr>
      <w:r>
        <w:rPr>
          <w:rFonts w:hint="eastAsia" w:ascii="宋体" w:hAnsi="宋体" w:cs="宋体"/>
          <w:snapToGrid w:val="0"/>
          <w:color w:val="auto"/>
          <w:kern w:val="0"/>
          <w:highlight w:val="none"/>
        </w:rPr>
        <w:t>1.1.2  本比选项目比选人：见比选申请人须知前附表。</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1.1.3  本项目比选代理机构：见比选申请人须知前附表。</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1.1.4  本比选项目名称：见比选申请人须知前附表。</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1.1.5  本项目工程地点：见比选申请人须知前附表。</w:t>
      </w:r>
    </w:p>
    <w:p>
      <w:pPr>
        <w:pStyle w:val="5"/>
        <w:snapToGrid w:val="0"/>
        <w:spacing w:line="440" w:lineRule="exact"/>
        <w:rPr>
          <w:rFonts w:ascii="宋体" w:hAnsi="宋体" w:eastAsia="宋体" w:cs="宋体"/>
          <w:snapToGrid w:val="0"/>
          <w:color w:val="auto"/>
          <w:highlight w:val="none"/>
        </w:rPr>
      </w:pPr>
      <w:bookmarkStart w:id="68" w:name="_Toc431287047"/>
      <w:bookmarkStart w:id="69" w:name="_Toc11166817"/>
      <w:bookmarkStart w:id="70" w:name="_Toc200513128"/>
      <w:r>
        <w:rPr>
          <w:rFonts w:hint="eastAsia" w:ascii="宋体" w:hAnsi="宋体" w:eastAsia="宋体" w:cs="宋体"/>
          <w:snapToGrid w:val="0"/>
          <w:color w:val="auto"/>
          <w:highlight w:val="none"/>
        </w:rPr>
        <w:t>1.2  资金来源和落实情况</w:t>
      </w:r>
      <w:bookmarkEnd w:id="68"/>
      <w:bookmarkEnd w:id="69"/>
      <w:bookmarkEnd w:id="70"/>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1.2.1  本比选项目的资金来源：见比选申请人须知前附表。</w:t>
      </w:r>
    </w:p>
    <w:p>
      <w:pPr>
        <w:pStyle w:val="5"/>
        <w:snapToGrid w:val="0"/>
        <w:spacing w:line="440" w:lineRule="exact"/>
        <w:rPr>
          <w:rFonts w:ascii="宋体" w:hAnsi="宋体" w:eastAsia="宋体" w:cs="宋体"/>
          <w:snapToGrid w:val="0"/>
          <w:color w:val="auto"/>
          <w:highlight w:val="none"/>
        </w:rPr>
      </w:pPr>
      <w:bookmarkStart w:id="71" w:name="_Toc200513129"/>
      <w:bookmarkStart w:id="72" w:name="_Toc11166818"/>
      <w:bookmarkStart w:id="73" w:name="_Toc431287048"/>
      <w:r>
        <w:rPr>
          <w:rFonts w:hint="eastAsia" w:ascii="宋体" w:hAnsi="宋体" w:eastAsia="宋体" w:cs="宋体"/>
          <w:snapToGrid w:val="0"/>
          <w:color w:val="auto"/>
          <w:highlight w:val="none"/>
        </w:rPr>
        <w:t>1.3  比选范围、计划工期和质量要求</w:t>
      </w:r>
      <w:bookmarkEnd w:id="71"/>
      <w:bookmarkEnd w:id="72"/>
      <w:bookmarkEnd w:id="73"/>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1.3.1  本项目的比选范围：见比选申请人须知前附表。</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1.3.2  本项目的计划工期：见比选申请人须知前附表。</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1.3.3  本项目的质量要求：见比选申请人须知前附表。</w:t>
      </w:r>
    </w:p>
    <w:p>
      <w:pPr>
        <w:pStyle w:val="5"/>
        <w:snapToGrid w:val="0"/>
        <w:spacing w:line="440" w:lineRule="exact"/>
        <w:rPr>
          <w:rFonts w:ascii="宋体" w:hAnsi="宋体" w:eastAsia="宋体" w:cs="宋体"/>
          <w:snapToGrid w:val="0"/>
          <w:color w:val="auto"/>
          <w:highlight w:val="none"/>
        </w:rPr>
      </w:pPr>
      <w:bookmarkStart w:id="74" w:name="_Toc11166819"/>
      <w:bookmarkStart w:id="75" w:name="_Toc200513131"/>
      <w:bookmarkStart w:id="76" w:name="_Toc431287049"/>
      <w:r>
        <w:rPr>
          <w:rFonts w:hint="eastAsia" w:ascii="宋体" w:hAnsi="宋体" w:eastAsia="宋体" w:cs="宋体"/>
          <w:snapToGrid w:val="0"/>
          <w:color w:val="auto"/>
          <w:highlight w:val="none"/>
        </w:rPr>
        <w:t>1.4  比选申请人资格要求</w:t>
      </w:r>
      <w:bookmarkEnd w:id="74"/>
      <w:bookmarkEnd w:id="75"/>
      <w:bookmarkEnd w:id="76"/>
    </w:p>
    <w:p>
      <w:pPr>
        <w:pStyle w:val="23"/>
        <w:autoSpaceDE w:val="0"/>
        <w:autoSpaceDN w:val="0"/>
        <w:spacing w:before="3" w:line="440" w:lineRule="exact"/>
        <w:ind w:firstLine="210" w:firstLineChars="100"/>
        <w:rPr>
          <w:rFonts w:ascii="宋体" w:hAnsi="宋体" w:cs="宋体"/>
          <w:snapToGrid w:val="0"/>
          <w:color w:val="auto"/>
          <w:sz w:val="21"/>
          <w:highlight w:val="none"/>
        </w:rPr>
      </w:pPr>
      <w:r>
        <w:rPr>
          <w:rFonts w:hint="eastAsia" w:ascii="宋体" w:hAnsi="宋体" w:cs="宋体"/>
          <w:snapToGrid w:val="0"/>
          <w:color w:val="auto"/>
          <w:sz w:val="21"/>
          <w:highlight w:val="none"/>
        </w:rPr>
        <w:t>详见比选申请人须知前附表第1.4.1款规定，需要提交的相关证明材料见本章第 3.5 款的规定。</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1.4.1 比选申请人应具备承担本项目的资质条件、能力和信誉。</w:t>
      </w:r>
    </w:p>
    <w:p>
      <w:pPr>
        <w:autoSpaceDE w:val="0"/>
        <w:autoSpaceDN w:val="0"/>
        <w:adjustRightInd w:val="0"/>
        <w:snapToGrid w:val="0"/>
        <w:spacing w:line="440" w:lineRule="exact"/>
        <w:ind w:firstLine="415" w:firstLineChars="198"/>
        <w:jc w:val="left"/>
        <w:rPr>
          <w:rFonts w:ascii="宋体" w:hAnsi="宋体" w:cs="宋体"/>
          <w:color w:val="auto"/>
          <w:highlight w:val="none"/>
        </w:rPr>
      </w:pPr>
      <w:r>
        <w:rPr>
          <w:rFonts w:hint="eastAsia" w:ascii="宋体" w:hAnsi="宋体" w:cs="宋体"/>
          <w:color w:val="auto"/>
          <w:highlight w:val="none"/>
        </w:rPr>
        <w:t>（1）资质条件、营业执照及安全生产条件：见比选申请人须知前附表1.4.1款；</w:t>
      </w:r>
    </w:p>
    <w:p>
      <w:pPr>
        <w:autoSpaceDE w:val="0"/>
        <w:autoSpaceDN w:val="0"/>
        <w:adjustRightInd w:val="0"/>
        <w:snapToGrid w:val="0"/>
        <w:spacing w:line="440" w:lineRule="exact"/>
        <w:ind w:firstLine="415" w:firstLineChars="198"/>
        <w:jc w:val="left"/>
        <w:rPr>
          <w:rFonts w:ascii="宋体" w:hAnsi="宋体" w:cs="宋体"/>
          <w:color w:val="auto"/>
          <w:highlight w:val="none"/>
        </w:rPr>
      </w:pPr>
      <w:r>
        <w:rPr>
          <w:rFonts w:hint="eastAsia" w:ascii="宋体" w:hAnsi="宋体" w:cs="宋体"/>
          <w:color w:val="auto"/>
          <w:highlight w:val="none"/>
        </w:rPr>
        <w:t>（2）财务要求：见比选申请人须知前附表1.4.1款；</w:t>
      </w:r>
    </w:p>
    <w:p>
      <w:pPr>
        <w:autoSpaceDE w:val="0"/>
        <w:autoSpaceDN w:val="0"/>
        <w:adjustRightInd w:val="0"/>
        <w:snapToGrid w:val="0"/>
        <w:spacing w:line="440" w:lineRule="exact"/>
        <w:ind w:firstLine="415" w:firstLineChars="198"/>
        <w:jc w:val="left"/>
        <w:rPr>
          <w:rFonts w:ascii="宋体" w:hAnsi="宋体" w:cs="宋体"/>
          <w:color w:val="auto"/>
          <w:highlight w:val="none"/>
        </w:rPr>
      </w:pPr>
      <w:r>
        <w:rPr>
          <w:rFonts w:hint="eastAsia" w:ascii="宋体" w:hAnsi="宋体" w:cs="宋体"/>
          <w:color w:val="auto"/>
          <w:highlight w:val="none"/>
        </w:rPr>
        <w:t>（3）业绩要求：见比选申请人须知前附表1.4.1款；</w:t>
      </w:r>
    </w:p>
    <w:p>
      <w:pPr>
        <w:autoSpaceDE w:val="0"/>
        <w:autoSpaceDN w:val="0"/>
        <w:adjustRightInd w:val="0"/>
        <w:snapToGrid w:val="0"/>
        <w:spacing w:line="440" w:lineRule="exact"/>
        <w:ind w:firstLine="415" w:firstLineChars="198"/>
        <w:jc w:val="left"/>
        <w:rPr>
          <w:rFonts w:ascii="宋体" w:hAnsi="宋体" w:cs="宋体"/>
          <w:color w:val="auto"/>
          <w:highlight w:val="none"/>
        </w:rPr>
      </w:pPr>
      <w:r>
        <w:rPr>
          <w:rFonts w:hint="eastAsia" w:ascii="宋体" w:hAnsi="宋体" w:cs="宋体"/>
          <w:color w:val="auto"/>
          <w:highlight w:val="none"/>
        </w:rPr>
        <w:t>（4）比选截止日比选资格情况：见比选申请人须知前附表1.4.1款；</w:t>
      </w:r>
    </w:p>
    <w:p>
      <w:pPr>
        <w:autoSpaceDE w:val="0"/>
        <w:autoSpaceDN w:val="0"/>
        <w:adjustRightInd w:val="0"/>
        <w:snapToGrid w:val="0"/>
        <w:spacing w:line="440" w:lineRule="exact"/>
        <w:ind w:firstLine="415" w:firstLineChars="198"/>
        <w:jc w:val="left"/>
        <w:rPr>
          <w:rFonts w:ascii="宋体" w:hAnsi="宋体" w:cs="宋体"/>
          <w:color w:val="auto"/>
          <w:highlight w:val="none"/>
        </w:rPr>
      </w:pPr>
      <w:r>
        <w:rPr>
          <w:rFonts w:hint="eastAsia" w:ascii="宋体" w:hAnsi="宋体" w:cs="宋体"/>
          <w:color w:val="auto"/>
          <w:highlight w:val="none"/>
        </w:rPr>
        <w:t>（5）项目经理资格要求：见比选申请人须知前附表1.4.1款</w:t>
      </w:r>
    </w:p>
    <w:p>
      <w:pPr>
        <w:autoSpaceDE w:val="0"/>
        <w:autoSpaceDN w:val="0"/>
        <w:adjustRightInd w:val="0"/>
        <w:snapToGrid w:val="0"/>
        <w:spacing w:line="440" w:lineRule="exact"/>
        <w:ind w:firstLine="415" w:firstLineChars="198"/>
        <w:jc w:val="left"/>
        <w:rPr>
          <w:rFonts w:ascii="宋体" w:hAnsi="宋体" w:cs="宋体"/>
          <w:color w:val="auto"/>
          <w:highlight w:val="none"/>
        </w:rPr>
      </w:pPr>
      <w:r>
        <w:rPr>
          <w:rFonts w:hint="eastAsia" w:ascii="宋体" w:hAnsi="宋体" w:cs="宋体"/>
          <w:color w:val="auto"/>
          <w:highlight w:val="none"/>
        </w:rPr>
        <w:t>（6）其他要求：见比选申请人须知前附表1.4.1款</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1.4.2 本项目不接受联合体参选。</w:t>
      </w:r>
    </w:p>
    <w:p>
      <w:pPr>
        <w:autoSpaceDE w:val="0"/>
        <w:autoSpaceDN w:val="0"/>
        <w:adjustRightInd w:val="0"/>
        <w:snapToGrid w:val="0"/>
        <w:spacing w:line="44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比选申请人不得存在下列情形之一：</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（1）为比选人不具有独立法人资格的附属机构（单位）；</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（2）与比选人存在利害关系且可能影响比选公正性；</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（3）与本比选项目的其他比选申请人为同一个单位负责人；</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（4）与本比选项目的其他比选申请人存在控股、管理关系；</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（5）为本比选项目的代建人；</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（6）为本比选项目的比选代理机构；</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（7）与本比选项目的代建人或比选代理机构同为一个法定代表人；</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（8）与本比选项目的代建人或比选代理机构存在控股或参股关系；</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（9）被依法暂停或者取消投标资格；</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（10）被责令停产停业、暂扣或者吊销许可证、暂扣或者吊销执照；</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（11）进入清算程序，或被宣告破产，或其他丧失履约能力的情形；</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（12）在最近三年内发生重大设计质量问题（以相关行业主管部门的行政处罚决定或司法机关出具的有关法律文书为准）；</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（13）被工商行政管理机关在全国企业信用信息公示系统中列入严重违法失信企业名单；</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（14）被最高人民法院在“信用中国”网站（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4"/>
          <w:rFonts w:hint="eastAsia" w:ascii="宋体" w:hAnsi="宋体" w:cs="宋体"/>
          <w:snapToGrid w:val="0"/>
          <w:color w:val="auto"/>
          <w:kern w:val="0"/>
          <w:highlight w:val="none"/>
        </w:rPr>
        <w:t>www.creditchina.gov.cn</w:t>
      </w:r>
      <w:r>
        <w:rPr>
          <w:rStyle w:val="74"/>
          <w:rFonts w:hint="eastAsia" w:ascii="宋体" w:hAnsi="宋体" w:cs="宋体"/>
          <w:snapToGrid w:val="0"/>
          <w:color w:val="auto"/>
          <w:kern w:val="0"/>
          <w:highlight w:val="none"/>
        </w:rPr>
        <w:fldChar w:fldCharType="end"/>
      </w:r>
      <w:r>
        <w:rPr>
          <w:rFonts w:hint="eastAsia" w:ascii="宋体" w:hAnsi="宋体" w:cs="宋体"/>
          <w:snapToGrid w:val="0"/>
          <w:color w:val="auto"/>
          <w:kern w:val="0"/>
          <w:highlight w:val="none"/>
        </w:rPr>
        <w:t>）或各级信用信息共享平台中列入失信被执行人名单；</w:t>
      </w:r>
    </w:p>
    <w:p>
      <w:pPr>
        <w:autoSpaceDE w:val="0"/>
        <w:autoSpaceDN w:val="0"/>
        <w:adjustRightInd w:val="0"/>
        <w:snapToGrid w:val="0"/>
        <w:spacing w:line="440" w:lineRule="exact"/>
        <w:ind w:firstLine="359" w:firstLine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（15）法律法规或比选申请人须知前附表规定的其他情形。</w:t>
      </w:r>
    </w:p>
    <w:p>
      <w:pPr>
        <w:pStyle w:val="5"/>
        <w:snapToGrid w:val="0"/>
        <w:spacing w:line="440" w:lineRule="exact"/>
        <w:rPr>
          <w:rFonts w:ascii="宋体" w:hAnsi="宋体" w:eastAsia="宋体" w:cs="宋体"/>
          <w:snapToGrid w:val="0"/>
          <w:color w:val="auto"/>
          <w:highlight w:val="none"/>
        </w:rPr>
      </w:pPr>
      <w:bookmarkStart w:id="77" w:name="_Toc431287050"/>
      <w:bookmarkStart w:id="78" w:name="_Toc11166820"/>
      <w:bookmarkStart w:id="79" w:name="_Toc200513132"/>
      <w:r>
        <w:rPr>
          <w:rFonts w:hint="eastAsia" w:ascii="宋体" w:hAnsi="宋体" w:eastAsia="宋体" w:cs="宋体"/>
          <w:snapToGrid w:val="0"/>
          <w:color w:val="auto"/>
          <w:highlight w:val="none"/>
        </w:rPr>
        <w:t>1.5  费用承担</w:t>
      </w:r>
      <w:bookmarkEnd w:id="77"/>
      <w:bookmarkEnd w:id="78"/>
      <w:bookmarkEnd w:id="79"/>
    </w:p>
    <w:p>
      <w:pPr>
        <w:autoSpaceDE w:val="0"/>
        <w:autoSpaceDN w:val="0"/>
        <w:adjustRightInd w:val="0"/>
        <w:snapToGrid w:val="0"/>
        <w:spacing w:line="440" w:lineRule="exact"/>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比选申请人准备和参加比选活动发生的费用自理。</w:t>
      </w:r>
    </w:p>
    <w:p>
      <w:pPr>
        <w:pStyle w:val="5"/>
        <w:snapToGrid w:val="0"/>
        <w:spacing w:line="440" w:lineRule="exact"/>
        <w:rPr>
          <w:rFonts w:ascii="宋体" w:hAnsi="宋体" w:eastAsia="宋体" w:cs="宋体"/>
          <w:snapToGrid w:val="0"/>
          <w:color w:val="auto"/>
          <w:highlight w:val="none"/>
        </w:rPr>
      </w:pPr>
      <w:bookmarkStart w:id="80" w:name="_Toc431287051"/>
      <w:bookmarkStart w:id="81" w:name="_Toc200513133"/>
      <w:bookmarkStart w:id="82" w:name="_Toc11166821"/>
      <w:r>
        <w:rPr>
          <w:rFonts w:hint="eastAsia" w:ascii="宋体" w:hAnsi="宋体" w:eastAsia="宋体" w:cs="宋体"/>
          <w:snapToGrid w:val="0"/>
          <w:color w:val="auto"/>
          <w:highlight w:val="none"/>
        </w:rPr>
        <w:t>1.6  保密</w:t>
      </w:r>
      <w:bookmarkEnd w:id="80"/>
      <w:bookmarkEnd w:id="81"/>
      <w:bookmarkEnd w:id="82"/>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参与比选活动的各方应对比选文件和比选申请文件中的商业和技术等秘密保密，违者应对由此造成的后果承担法律责任。</w:t>
      </w:r>
    </w:p>
    <w:p>
      <w:pPr>
        <w:pStyle w:val="5"/>
        <w:snapToGrid w:val="0"/>
        <w:spacing w:line="440" w:lineRule="exact"/>
        <w:rPr>
          <w:rFonts w:ascii="宋体" w:hAnsi="宋体" w:eastAsia="宋体" w:cs="宋体"/>
          <w:snapToGrid w:val="0"/>
          <w:color w:val="auto"/>
          <w:highlight w:val="none"/>
        </w:rPr>
      </w:pPr>
      <w:bookmarkStart w:id="83" w:name="_Toc200513134"/>
      <w:bookmarkStart w:id="84" w:name="_Toc431287052"/>
      <w:bookmarkStart w:id="85" w:name="_Toc11166822"/>
      <w:r>
        <w:rPr>
          <w:rFonts w:hint="eastAsia" w:ascii="宋体" w:hAnsi="宋体" w:eastAsia="宋体" w:cs="宋体"/>
          <w:snapToGrid w:val="0"/>
          <w:color w:val="auto"/>
          <w:highlight w:val="none"/>
        </w:rPr>
        <w:t>1.7  语言文字</w:t>
      </w:r>
      <w:bookmarkEnd w:id="83"/>
      <w:bookmarkEnd w:id="84"/>
      <w:bookmarkEnd w:id="85"/>
    </w:p>
    <w:p>
      <w:pPr>
        <w:autoSpaceDE w:val="0"/>
        <w:autoSpaceDN w:val="0"/>
        <w:adjustRightInd w:val="0"/>
        <w:snapToGrid w:val="0"/>
        <w:spacing w:line="440" w:lineRule="exact"/>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除专用术语外，与比选活动有关的语言均使用中文。必要时专用术语应附有中文注释。</w:t>
      </w:r>
    </w:p>
    <w:p>
      <w:pPr>
        <w:pStyle w:val="5"/>
        <w:snapToGrid w:val="0"/>
        <w:spacing w:line="440" w:lineRule="exact"/>
        <w:rPr>
          <w:rFonts w:ascii="宋体" w:hAnsi="宋体" w:eastAsia="宋体" w:cs="宋体"/>
          <w:snapToGrid w:val="0"/>
          <w:color w:val="auto"/>
          <w:highlight w:val="none"/>
        </w:rPr>
      </w:pPr>
      <w:bookmarkStart w:id="86" w:name="_Toc200513135"/>
      <w:bookmarkStart w:id="87" w:name="_Toc431287053"/>
      <w:bookmarkStart w:id="88" w:name="_Toc11166823"/>
      <w:r>
        <w:rPr>
          <w:rFonts w:hint="eastAsia" w:ascii="宋体" w:hAnsi="宋体" w:eastAsia="宋体" w:cs="宋体"/>
          <w:snapToGrid w:val="0"/>
          <w:color w:val="auto"/>
          <w:highlight w:val="none"/>
        </w:rPr>
        <w:t>1.8  计量单位</w:t>
      </w:r>
      <w:bookmarkEnd w:id="86"/>
      <w:r>
        <w:rPr>
          <w:rFonts w:hint="eastAsia" w:ascii="宋体" w:hAnsi="宋体" w:eastAsia="宋体" w:cs="宋体"/>
          <w:snapToGrid w:val="0"/>
          <w:color w:val="auto"/>
          <w:highlight w:val="none"/>
        </w:rPr>
        <w:t>及比选币种</w:t>
      </w:r>
      <w:bookmarkEnd w:id="87"/>
      <w:bookmarkEnd w:id="88"/>
    </w:p>
    <w:p>
      <w:pPr>
        <w:autoSpaceDE w:val="0"/>
        <w:autoSpaceDN w:val="0"/>
        <w:adjustRightInd w:val="0"/>
        <w:snapToGrid w:val="0"/>
        <w:spacing w:line="440" w:lineRule="exact"/>
        <w:ind w:firstLine="424" w:firstLineChars="202"/>
        <w:jc w:val="left"/>
        <w:rPr>
          <w:rFonts w:ascii="宋体" w:hAnsi="宋体" w:cs="宋体"/>
          <w:snapToGrid w:val="0"/>
          <w:color w:val="auto"/>
          <w:kern w:val="0"/>
          <w:highlight w:val="none"/>
        </w:rPr>
      </w:pPr>
      <w:r>
        <w:rPr>
          <w:rFonts w:hint="eastAsia" w:ascii="宋体" w:hAnsi="宋体" w:cs="宋体"/>
          <w:snapToGrid w:val="0"/>
          <w:color w:val="auto"/>
          <w:kern w:val="0"/>
          <w:highlight w:val="none"/>
        </w:rPr>
        <w:t>1.8.1 所有计量均采用中华人民共和国法定计量单位。</w:t>
      </w:r>
    </w:p>
    <w:p>
      <w:pPr>
        <w:autoSpaceDE w:val="0"/>
        <w:autoSpaceDN w:val="0"/>
        <w:adjustRightInd w:val="0"/>
        <w:snapToGrid w:val="0"/>
        <w:spacing w:line="440" w:lineRule="exact"/>
        <w:ind w:firstLine="424" w:firstLineChars="202"/>
        <w:jc w:val="left"/>
        <w:rPr>
          <w:rFonts w:ascii="宋体" w:hAnsi="宋体" w:cs="宋体"/>
          <w:snapToGrid w:val="0"/>
          <w:color w:val="auto"/>
          <w:kern w:val="0"/>
          <w:highlight w:val="none"/>
        </w:rPr>
      </w:pPr>
      <w:r>
        <w:rPr>
          <w:rFonts w:hint="eastAsia" w:ascii="宋体" w:hAnsi="宋体" w:cs="宋体"/>
          <w:snapToGrid w:val="0"/>
          <w:color w:val="auto"/>
          <w:kern w:val="0"/>
          <w:highlight w:val="none"/>
        </w:rPr>
        <w:t>1.8.2 本项目一律采用人民币进行报价。</w:t>
      </w:r>
    </w:p>
    <w:p>
      <w:pPr>
        <w:pStyle w:val="5"/>
        <w:snapToGrid w:val="0"/>
        <w:spacing w:line="440" w:lineRule="exact"/>
        <w:rPr>
          <w:rFonts w:ascii="宋体" w:hAnsi="宋体" w:eastAsia="宋体" w:cs="宋体"/>
          <w:snapToGrid w:val="0"/>
          <w:color w:val="auto"/>
          <w:highlight w:val="none"/>
        </w:rPr>
      </w:pPr>
      <w:bookmarkStart w:id="89" w:name="_Toc431287054"/>
      <w:bookmarkStart w:id="90" w:name="_Toc200513136"/>
      <w:bookmarkStart w:id="91" w:name="_Toc11166824"/>
      <w:r>
        <w:rPr>
          <w:rFonts w:hint="eastAsia" w:ascii="宋体" w:hAnsi="宋体" w:eastAsia="宋体" w:cs="宋体"/>
          <w:snapToGrid w:val="0"/>
          <w:color w:val="auto"/>
          <w:highlight w:val="none"/>
        </w:rPr>
        <w:t>1.9 踏勘现场</w:t>
      </w:r>
      <w:bookmarkEnd w:id="89"/>
      <w:bookmarkEnd w:id="90"/>
      <w:bookmarkEnd w:id="91"/>
    </w:p>
    <w:p>
      <w:pPr>
        <w:autoSpaceDE w:val="0"/>
        <w:autoSpaceDN w:val="0"/>
        <w:adjustRightInd w:val="0"/>
        <w:snapToGrid w:val="0"/>
        <w:spacing w:line="440" w:lineRule="exact"/>
        <w:ind w:firstLine="424" w:firstLineChars="202"/>
        <w:jc w:val="left"/>
        <w:rPr>
          <w:rFonts w:ascii="宋体" w:hAnsi="宋体" w:cs="宋体"/>
          <w:snapToGrid w:val="0"/>
          <w:color w:val="auto"/>
          <w:kern w:val="0"/>
          <w:highlight w:val="none"/>
        </w:rPr>
      </w:pPr>
      <w:bookmarkStart w:id="92" w:name="_Toc200513137"/>
      <w:bookmarkStart w:id="93" w:name="_Toc431287055"/>
      <w:bookmarkStart w:id="94" w:name="_Toc11166825"/>
      <w:r>
        <w:rPr>
          <w:rFonts w:hint="eastAsia" w:ascii="宋体" w:hAnsi="宋体" w:cs="宋体"/>
          <w:snapToGrid w:val="0"/>
          <w:color w:val="auto"/>
          <w:kern w:val="0"/>
          <w:highlight w:val="none"/>
        </w:rPr>
        <w:t>1.9.1  比选申请人须知前附表规定组织踏勘现场的，比选人按比选申请人须知前附表规定的时间、 地点组织比选申请人踏勘项目现场。</w:t>
      </w:r>
    </w:p>
    <w:p>
      <w:pPr>
        <w:autoSpaceDE w:val="0"/>
        <w:autoSpaceDN w:val="0"/>
        <w:adjustRightInd w:val="0"/>
        <w:snapToGrid w:val="0"/>
        <w:spacing w:line="440" w:lineRule="exact"/>
        <w:ind w:firstLine="424" w:firstLineChars="202"/>
        <w:jc w:val="left"/>
        <w:rPr>
          <w:rFonts w:ascii="宋体" w:hAnsi="宋体" w:cs="宋体"/>
          <w:snapToGrid w:val="0"/>
          <w:color w:val="auto"/>
          <w:kern w:val="0"/>
          <w:highlight w:val="none"/>
        </w:rPr>
      </w:pPr>
      <w:r>
        <w:rPr>
          <w:rFonts w:hint="eastAsia" w:ascii="宋体" w:hAnsi="宋体" w:cs="宋体"/>
          <w:snapToGrid w:val="0"/>
          <w:color w:val="auto"/>
          <w:kern w:val="0"/>
          <w:highlight w:val="none"/>
        </w:rPr>
        <w:t>1.9.2  比选申请人踏勘现场发生的费用自理。</w:t>
      </w:r>
    </w:p>
    <w:p>
      <w:pPr>
        <w:autoSpaceDE w:val="0"/>
        <w:autoSpaceDN w:val="0"/>
        <w:adjustRightInd w:val="0"/>
        <w:snapToGrid w:val="0"/>
        <w:spacing w:line="440" w:lineRule="exact"/>
        <w:ind w:firstLine="424" w:firstLineChars="202"/>
        <w:jc w:val="left"/>
        <w:rPr>
          <w:rFonts w:ascii="宋体" w:hAnsi="宋体" w:cs="宋体"/>
          <w:snapToGrid w:val="0"/>
          <w:color w:val="auto"/>
          <w:kern w:val="0"/>
          <w:highlight w:val="none"/>
        </w:rPr>
      </w:pPr>
      <w:r>
        <w:rPr>
          <w:rFonts w:hint="eastAsia" w:ascii="宋体" w:hAnsi="宋体" w:cs="宋体"/>
          <w:snapToGrid w:val="0"/>
          <w:color w:val="auto"/>
          <w:kern w:val="0"/>
          <w:highlight w:val="none"/>
        </w:rPr>
        <w:t>1.9.3  除比选人的原因外，比选申请人自行负责在踏勘现场中所发生的人员伤亡和财产损失。</w:t>
      </w:r>
    </w:p>
    <w:p>
      <w:pPr>
        <w:autoSpaceDE w:val="0"/>
        <w:autoSpaceDN w:val="0"/>
        <w:adjustRightInd w:val="0"/>
        <w:snapToGrid w:val="0"/>
        <w:spacing w:line="440" w:lineRule="exact"/>
        <w:ind w:firstLine="424" w:firstLineChars="202"/>
        <w:jc w:val="left"/>
        <w:rPr>
          <w:rFonts w:ascii="宋体" w:hAnsi="宋体" w:cs="宋体"/>
          <w:snapToGrid w:val="0"/>
          <w:color w:val="auto"/>
          <w:kern w:val="0"/>
          <w:highlight w:val="none"/>
        </w:rPr>
      </w:pPr>
      <w:r>
        <w:rPr>
          <w:rFonts w:hint="eastAsia" w:ascii="宋体" w:hAnsi="宋体" w:cs="宋体"/>
          <w:snapToGrid w:val="0"/>
          <w:color w:val="auto"/>
          <w:kern w:val="0"/>
          <w:highlight w:val="none"/>
        </w:rPr>
        <w:t>1.9.4  比选人在踏勘现场中介绍的工程场地和相关的周边环境情况，供比选申请人在编制投标文件时参考，比选人不对比选申请人据此做出的判断和决策负责。</w:t>
      </w:r>
    </w:p>
    <w:p>
      <w:pPr>
        <w:pStyle w:val="5"/>
        <w:snapToGrid w:val="0"/>
        <w:spacing w:line="440" w:lineRule="exact"/>
        <w:rPr>
          <w:rFonts w:ascii="宋体" w:hAnsi="宋体" w:eastAsia="宋体" w:cs="宋体"/>
          <w:snapToGrid w:val="0"/>
          <w:color w:val="auto"/>
          <w:highlight w:val="none"/>
        </w:rPr>
      </w:pPr>
      <w:r>
        <w:rPr>
          <w:rFonts w:hint="eastAsia" w:ascii="宋体" w:hAnsi="宋体" w:eastAsia="宋体" w:cs="宋体"/>
          <w:snapToGrid w:val="0"/>
          <w:color w:val="auto"/>
          <w:highlight w:val="none"/>
        </w:rPr>
        <w:t xml:space="preserve">1.10 </w:t>
      </w:r>
      <w:bookmarkEnd w:id="92"/>
      <w:bookmarkEnd w:id="93"/>
      <w:bookmarkEnd w:id="94"/>
      <w:r>
        <w:rPr>
          <w:rFonts w:hint="eastAsia" w:ascii="宋体" w:hAnsi="宋体" w:eastAsia="宋体" w:cs="宋体"/>
          <w:snapToGrid w:val="0"/>
          <w:color w:val="auto"/>
          <w:highlight w:val="none"/>
        </w:rPr>
        <w:t>比选预备会</w:t>
      </w:r>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bookmarkStart w:id="95" w:name="_Toc200513138"/>
      <w:r>
        <w:rPr>
          <w:rFonts w:hint="eastAsia" w:ascii="宋体" w:hAnsi="宋体" w:cs="宋体"/>
          <w:snapToGrid w:val="0"/>
          <w:color w:val="auto"/>
          <w:kern w:val="0"/>
          <w:highlight w:val="none"/>
        </w:rPr>
        <w:t>1.10.1  本工程不召开比选预备会。</w:t>
      </w:r>
    </w:p>
    <w:p>
      <w:pPr>
        <w:pStyle w:val="5"/>
        <w:snapToGrid w:val="0"/>
        <w:spacing w:line="440" w:lineRule="exact"/>
        <w:rPr>
          <w:rFonts w:ascii="宋体" w:hAnsi="宋体" w:eastAsia="宋体" w:cs="宋体"/>
          <w:snapToGrid w:val="0"/>
          <w:color w:val="auto"/>
          <w:highlight w:val="none"/>
        </w:rPr>
      </w:pPr>
      <w:bookmarkStart w:id="96" w:name="_Toc431287056"/>
      <w:bookmarkStart w:id="97" w:name="_Toc11166826"/>
      <w:r>
        <w:rPr>
          <w:rFonts w:hint="eastAsia" w:ascii="宋体" w:hAnsi="宋体" w:eastAsia="宋体" w:cs="宋体"/>
          <w:snapToGrid w:val="0"/>
          <w:color w:val="auto"/>
          <w:highlight w:val="none"/>
        </w:rPr>
        <w:t>1.11 分包</w:t>
      </w:r>
      <w:bookmarkEnd w:id="95"/>
      <w:bookmarkEnd w:id="96"/>
      <w:bookmarkEnd w:id="97"/>
    </w:p>
    <w:p>
      <w:pPr>
        <w:autoSpaceDE w:val="0"/>
        <w:autoSpaceDN w:val="0"/>
        <w:adjustRightInd w:val="0"/>
        <w:snapToGrid w:val="0"/>
        <w:spacing w:line="440" w:lineRule="exact"/>
        <w:ind w:firstLine="424" w:firstLineChars="202"/>
        <w:jc w:val="left"/>
        <w:rPr>
          <w:rFonts w:ascii="宋体" w:hAnsi="宋体" w:cs="宋体"/>
          <w:snapToGrid w:val="0"/>
          <w:color w:val="auto"/>
          <w:kern w:val="0"/>
          <w:highlight w:val="none"/>
        </w:rPr>
      </w:pPr>
      <w:bookmarkStart w:id="98" w:name="_Toc200513139"/>
      <w:bookmarkStart w:id="99" w:name="_Toc431287058"/>
      <w:bookmarkStart w:id="100" w:name="_Toc11166828"/>
      <w:r>
        <w:rPr>
          <w:rFonts w:hint="eastAsia" w:ascii="宋体" w:hAnsi="宋体" w:cs="宋体"/>
          <w:snapToGrid w:val="0"/>
          <w:color w:val="auto"/>
          <w:kern w:val="0"/>
          <w:highlight w:val="none"/>
        </w:rPr>
        <w:t>1.11.1 本项目不允许分包。</w:t>
      </w:r>
    </w:p>
    <w:p>
      <w:pPr>
        <w:autoSpaceDE w:val="0"/>
        <w:autoSpaceDN w:val="0"/>
        <w:adjustRightInd w:val="0"/>
        <w:snapToGrid w:val="0"/>
        <w:spacing w:line="440" w:lineRule="exact"/>
        <w:ind w:firstLine="424" w:firstLineChars="202"/>
        <w:jc w:val="left"/>
        <w:rPr>
          <w:rFonts w:ascii="宋体" w:hAnsi="宋体" w:cs="宋体"/>
          <w:snapToGrid w:val="0"/>
          <w:color w:val="auto"/>
          <w:kern w:val="0"/>
          <w:highlight w:val="none"/>
        </w:rPr>
      </w:pPr>
      <w:r>
        <w:rPr>
          <w:rFonts w:hint="eastAsia" w:ascii="宋体" w:hAnsi="宋体" w:cs="宋体"/>
          <w:snapToGrid w:val="0"/>
          <w:color w:val="auto"/>
          <w:kern w:val="0"/>
          <w:highlight w:val="none"/>
        </w:rPr>
        <w:t>1.11.2 中选人不得向他人转让中选项目。</w:t>
      </w:r>
    </w:p>
    <w:p>
      <w:pPr>
        <w:pStyle w:val="5"/>
        <w:snapToGrid w:val="0"/>
        <w:spacing w:line="440" w:lineRule="exact"/>
        <w:rPr>
          <w:rFonts w:ascii="宋体" w:hAnsi="宋体" w:eastAsia="宋体" w:cs="宋体"/>
          <w:snapToGrid w:val="0"/>
          <w:color w:val="auto"/>
          <w:highlight w:val="none"/>
        </w:rPr>
      </w:pPr>
      <w:r>
        <w:rPr>
          <w:rFonts w:hint="eastAsia" w:ascii="宋体" w:hAnsi="宋体" w:eastAsia="宋体" w:cs="宋体"/>
          <w:snapToGrid w:val="0"/>
          <w:color w:val="auto"/>
          <w:highlight w:val="none"/>
        </w:rPr>
        <w:t>1.12 偏离</w:t>
      </w:r>
      <w:bookmarkEnd w:id="98"/>
      <w:bookmarkEnd w:id="99"/>
      <w:bookmarkEnd w:id="100"/>
    </w:p>
    <w:p>
      <w:pPr>
        <w:autoSpaceDE w:val="0"/>
        <w:autoSpaceDN w:val="0"/>
        <w:adjustRightInd w:val="0"/>
        <w:snapToGrid w:val="0"/>
        <w:spacing w:line="440" w:lineRule="exact"/>
        <w:ind w:firstLine="426"/>
        <w:jc w:val="left"/>
        <w:rPr>
          <w:rFonts w:ascii="宋体" w:hAnsi="宋体" w:cs="宋体"/>
          <w:snapToGrid w:val="0"/>
          <w:color w:val="auto"/>
          <w:kern w:val="0"/>
          <w:highlight w:val="none"/>
        </w:rPr>
      </w:pPr>
      <w:bookmarkStart w:id="101" w:name="_Toc200513140"/>
      <w:r>
        <w:rPr>
          <w:rFonts w:hint="eastAsia" w:ascii="宋体" w:hAnsi="宋体" w:cs="宋体"/>
          <w:snapToGrid w:val="0"/>
          <w:color w:val="auto"/>
          <w:kern w:val="0"/>
          <w:highlight w:val="none"/>
        </w:rPr>
        <w:t>不允许偏离。</w:t>
      </w:r>
    </w:p>
    <w:p>
      <w:pPr>
        <w:pStyle w:val="4"/>
        <w:numPr>
          <w:ilvl w:val="0"/>
          <w:numId w:val="14"/>
        </w:numPr>
        <w:spacing w:line="440" w:lineRule="exact"/>
        <w:rPr>
          <w:rFonts w:ascii="宋体" w:hAnsi="宋体" w:eastAsia="宋体" w:cs="宋体"/>
          <w:snapToGrid w:val="0"/>
          <w:color w:val="auto"/>
          <w:spacing w:val="0"/>
          <w:w w:val="100"/>
          <w:highlight w:val="none"/>
        </w:rPr>
      </w:pPr>
      <w:bookmarkStart w:id="102" w:name="_Toc11166829"/>
      <w:bookmarkStart w:id="103" w:name="_Toc3486"/>
      <w:bookmarkStart w:id="104" w:name="_Toc431287059"/>
      <w:bookmarkStart w:id="105" w:name="_Toc26795"/>
      <w:r>
        <w:rPr>
          <w:rFonts w:hint="eastAsia" w:ascii="宋体" w:hAnsi="宋体" w:eastAsia="宋体" w:cs="宋体"/>
          <w:snapToGrid w:val="0"/>
          <w:color w:val="auto"/>
          <w:spacing w:val="0"/>
          <w:w w:val="100"/>
          <w:highlight w:val="none"/>
        </w:rPr>
        <w:t>比选文件</w:t>
      </w:r>
      <w:bookmarkEnd w:id="101"/>
      <w:bookmarkEnd w:id="102"/>
      <w:bookmarkEnd w:id="103"/>
      <w:bookmarkEnd w:id="104"/>
      <w:bookmarkEnd w:id="105"/>
    </w:p>
    <w:p>
      <w:pPr>
        <w:pStyle w:val="5"/>
        <w:snapToGrid w:val="0"/>
        <w:spacing w:line="440" w:lineRule="exact"/>
        <w:rPr>
          <w:rFonts w:ascii="宋体" w:hAnsi="宋体" w:eastAsia="宋体" w:cs="宋体"/>
          <w:snapToGrid w:val="0"/>
          <w:color w:val="auto"/>
          <w:highlight w:val="none"/>
        </w:rPr>
      </w:pPr>
      <w:bookmarkStart w:id="106" w:name="_Toc200513141"/>
      <w:bookmarkStart w:id="107" w:name="_Toc431287060"/>
      <w:bookmarkStart w:id="108" w:name="_Toc11166830"/>
      <w:r>
        <w:rPr>
          <w:rFonts w:hint="eastAsia" w:ascii="宋体" w:hAnsi="宋体" w:eastAsia="宋体" w:cs="宋体"/>
          <w:snapToGrid w:val="0"/>
          <w:color w:val="auto"/>
          <w:highlight w:val="none"/>
        </w:rPr>
        <w:t>2.1 比选文件的组成</w:t>
      </w:r>
      <w:bookmarkEnd w:id="106"/>
      <w:bookmarkEnd w:id="107"/>
      <w:bookmarkEnd w:id="108"/>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本比选文件包括：</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（1）比选公告；</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（2）比选申请人须知；</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（3）评审办法；</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（4）合同条款及格式；</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（5）技术标准和要求；</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（6）比选申请文件格式。</w:t>
      </w:r>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根据本章第1.10款、第2.2款对比选文件所作的澄清、修改，构成比选文件的组成部分。</w:t>
      </w:r>
    </w:p>
    <w:p>
      <w:pPr>
        <w:pStyle w:val="5"/>
        <w:snapToGrid w:val="0"/>
        <w:spacing w:line="440" w:lineRule="exact"/>
        <w:rPr>
          <w:rFonts w:ascii="宋体" w:hAnsi="宋体" w:eastAsia="宋体" w:cs="宋体"/>
          <w:snapToGrid w:val="0"/>
          <w:color w:val="auto"/>
          <w:highlight w:val="none"/>
        </w:rPr>
      </w:pPr>
      <w:bookmarkStart w:id="109" w:name="_Toc200513142"/>
      <w:bookmarkStart w:id="110" w:name="_Toc431287061"/>
      <w:bookmarkStart w:id="111" w:name="_Toc11166831"/>
      <w:r>
        <w:rPr>
          <w:rFonts w:hint="eastAsia" w:ascii="宋体" w:hAnsi="宋体" w:eastAsia="宋体" w:cs="宋体"/>
          <w:snapToGrid w:val="0"/>
          <w:color w:val="auto"/>
          <w:highlight w:val="none"/>
        </w:rPr>
        <w:t>2.2  比选文件的澄清</w:t>
      </w:r>
      <w:bookmarkEnd w:id="109"/>
      <w:bookmarkEnd w:id="110"/>
      <w:bookmarkEnd w:id="111"/>
    </w:p>
    <w:p>
      <w:pPr>
        <w:autoSpaceDE w:val="0"/>
        <w:autoSpaceDN w:val="0"/>
        <w:adjustRightInd w:val="0"/>
        <w:snapToGrid w:val="0"/>
        <w:spacing w:line="440" w:lineRule="exact"/>
        <w:ind w:firstLine="420"/>
        <w:rPr>
          <w:rFonts w:ascii="宋体" w:hAnsi="宋体" w:cs="宋体"/>
          <w:snapToGrid w:val="0"/>
          <w:color w:val="auto"/>
          <w:kern w:val="0"/>
          <w:szCs w:val="21"/>
          <w:highlight w:val="none"/>
        </w:rPr>
      </w:pPr>
      <w:bookmarkStart w:id="112" w:name="_Toc200513143"/>
      <w:r>
        <w:rPr>
          <w:rFonts w:hint="eastAsia" w:ascii="宋体" w:hAnsi="宋体" w:cs="宋体"/>
          <w:snapToGrid w:val="0"/>
          <w:color w:val="auto"/>
          <w:kern w:val="0"/>
          <w:szCs w:val="21"/>
          <w:highlight w:val="none"/>
        </w:rPr>
        <w:t xml:space="preserve">2.2.1 </w:t>
      </w:r>
      <w:r>
        <w:rPr>
          <w:color w:val="auto"/>
          <w:highlight w:val="none"/>
        </w:rPr>
        <w:fldChar w:fldCharType="begin"/>
      </w:r>
      <w:r>
        <w:rPr>
          <w:color w:val="auto"/>
          <w:highlight w:val="none"/>
        </w:rPr>
        <w:instrText xml:space="preserve"> HYPERLINK "mailto:比选申请人应仔细阅读和检查比选文件的全部内容。如发现缺页或附件不全，应及时向比选人提出，以便补齐。如有疑问，应在比选申请人须知前附表规定的时间前以以书面形式向比选人或比选代理机构提出或将质疑书扫描件提交至招标代理机构邮箱839749462@qq.com。" </w:instrText>
      </w:r>
      <w:r>
        <w:rPr>
          <w:color w:val="auto"/>
          <w:highlight w:val="none"/>
        </w:rPr>
        <w:fldChar w:fldCharType="separate"/>
      </w:r>
      <w:r>
        <w:rPr>
          <w:rFonts w:hint="eastAsia" w:ascii="宋体" w:hAnsi="宋体" w:cs="宋体"/>
          <w:snapToGrid w:val="0"/>
          <w:color w:val="auto"/>
          <w:kern w:val="0"/>
          <w:szCs w:val="21"/>
          <w:highlight w:val="none"/>
        </w:rPr>
        <w:t>比选申请人应仔细阅读和检查比选文件的全部内容。如发现缺页或附件不全，应及时向比选人提出，以便补齐。如有疑问，应在比选申请人须知前附表规定的时间前以以书面形式向比选人或比选代理机构提出或将质疑书扫描件提交至比选代理机构邮箱2286392747@qq.com。</w:t>
      </w:r>
      <w:r>
        <w:rPr>
          <w:rFonts w:hint="eastAsia" w:ascii="宋体" w:hAnsi="宋体" w:cs="宋体"/>
          <w:snapToGrid w:val="0"/>
          <w:color w:val="auto"/>
          <w:kern w:val="0"/>
          <w:szCs w:val="21"/>
          <w:highlight w:val="none"/>
        </w:rPr>
        <w:fldChar w:fldCharType="end"/>
      </w:r>
    </w:p>
    <w:p>
      <w:pPr>
        <w:autoSpaceDE w:val="0"/>
        <w:autoSpaceDN w:val="0"/>
        <w:adjustRightInd w:val="0"/>
        <w:snapToGrid w:val="0"/>
        <w:spacing w:line="44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2.2.2 比选文件的澄清将在比选申请人须知前附表规定的澄清截止时间前将答疑澄清发到比选申请人邮箱，但不指明澄清问题的来源。</w:t>
      </w:r>
    </w:p>
    <w:bookmarkEnd w:id="112"/>
    <w:p>
      <w:pPr>
        <w:pStyle w:val="4"/>
        <w:spacing w:line="440" w:lineRule="exact"/>
        <w:rPr>
          <w:rFonts w:ascii="宋体" w:hAnsi="宋体" w:eastAsia="宋体" w:cs="宋体"/>
          <w:snapToGrid w:val="0"/>
          <w:color w:val="auto"/>
          <w:spacing w:val="0"/>
          <w:w w:val="100"/>
          <w:highlight w:val="none"/>
        </w:rPr>
      </w:pPr>
      <w:bookmarkStart w:id="113" w:name="_Toc14853"/>
      <w:bookmarkStart w:id="114" w:name="_Toc431287063"/>
      <w:bookmarkStart w:id="115" w:name="_Toc11166832"/>
      <w:bookmarkStart w:id="116" w:name="_Toc200513144"/>
      <w:bookmarkStart w:id="117" w:name="_Toc26718"/>
      <w:r>
        <w:rPr>
          <w:rFonts w:hint="eastAsia" w:ascii="宋体" w:hAnsi="宋体" w:eastAsia="宋体" w:cs="宋体"/>
          <w:snapToGrid w:val="0"/>
          <w:color w:val="auto"/>
          <w:spacing w:val="0"/>
          <w:w w:val="100"/>
          <w:highlight w:val="none"/>
        </w:rPr>
        <w:t>3.  比选申请文件</w:t>
      </w:r>
      <w:bookmarkEnd w:id="113"/>
      <w:bookmarkEnd w:id="114"/>
      <w:bookmarkEnd w:id="115"/>
      <w:bookmarkEnd w:id="116"/>
      <w:bookmarkEnd w:id="117"/>
    </w:p>
    <w:p>
      <w:pPr>
        <w:pStyle w:val="5"/>
        <w:snapToGrid w:val="0"/>
        <w:spacing w:line="440" w:lineRule="exact"/>
        <w:rPr>
          <w:rFonts w:ascii="宋体" w:hAnsi="宋体" w:eastAsia="宋体" w:cs="宋体"/>
          <w:snapToGrid w:val="0"/>
          <w:color w:val="auto"/>
          <w:highlight w:val="none"/>
        </w:rPr>
      </w:pPr>
      <w:bookmarkStart w:id="118" w:name="_Toc431287064"/>
      <w:bookmarkStart w:id="119" w:name="_Toc200513145"/>
      <w:bookmarkStart w:id="120" w:name="_Toc11166833"/>
      <w:r>
        <w:rPr>
          <w:rFonts w:hint="eastAsia" w:ascii="宋体" w:hAnsi="宋体" w:eastAsia="宋体" w:cs="宋体"/>
          <w:snapToGrid w:val="0"/>
          <w:color w:val="auto"/>
          <w:highlight w:val="none"/>
        </w:rPr>
        <w:t>3.1  比选申请文件的组成</w:t>
      </w:r>
      <w:bookmarkEnd w:id="118"/>
      <w:bookmarkEnd w:id="119"/>
      <w:bookmarkEnd w:id="120"/>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bookmarkStart w:id="121" w:name="_Toc11166834"/>
      <w:bookmarkStart w:id="122" w:name="_Toc200513146"/>
      <w:bookmarkStart w:id="123" w:name="_Toc431287065"/>
      <w:r>
        <w:rPr>
          <w:rFonts w:hint="eastAsia" w:ascii="宋体" w:hAnsi="宋体" w:cs="宋体"/>
          <w:snapToGrid w:val="0"/>
          <w:color w:val="auto"/>
          <w:kern w:val="0"/>
          <w:highlight w:val="none"/>
        </w:rPr>
        <w:t>3.1.1 比选申请文件应包括下列内容：</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3.1.1.1 比选函部分</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（1）比选函</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（2）比选函附录</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（2）法定代表人身份证明或附有法定代表人身份证明的授权委托书</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3.1.1.2 经济部分</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3.1.1.3  技术部分</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3.1.1.4 资格审查部分</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（1）法定代表人身份证明或附有法定代表人身份证明的授权委托书</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（2）比选申请人基本情况表</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（3）项目管理机构</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（4）承诺</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（5）其他资料</w:t>
      </w:r>
    </w:p>
    <w:p>
      <w:pPr>
        <w:autoSpaceDE w:val="0"/>
        <w:autoSpaceDN w:val="0"/>
        <w:adjustRightInd w:val="0"/>
        <w:snapToGrid w:val="0"/>
        <w:spacing w:line="44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比选申请人在评审过程中作出的符合法律法规和比选文件规定的澄清确认，构成比选申请文件的组成部分。</w:t>
      </w:r>
    </w:p>
    <w:p>
      <w:pPr>
        <w:pStyle w:val="5"/>
        <w:snapToGrid w:val="0"/>
        <w:spacing w:line="440" w:lineRule="exact"/>
        <w:rPr>
          <w:rFonts w:ascii="宋体" w:hAnsi="宋体" w:eastAsia="宋体" w:cs="宋体"/>
          <w:snapToGrid w:val="0"/>
          <w:color w:val="auto"/>
          <w:highlight w:val="none"/>
        </w:rPr>
      </w:pPr>
      <w:r>
        <w:rPr>
          <w:rFonts w:hint="eastAsia" w:ascii="宋体" w:hAnsi="宋体" w:eastAsia="宋体" w:cs="宋体"/>
          <w:snapToGrid w:val="0"/>
          <w:color w:val="auto"/>
          <w:highlight w:val="none"/>
        </w:rPr>
        <w:t>3.2  比选报价</w:t>
      </w:r>
      <w:bookmarkEnd w:id="121"/>
      <w:bookmarkEnd w:id="122"/>
      <w:bookmarkEnd w:id="123"/>
    </w:p>
    <w:p>
      <w:pPr>
        <w:autoSpaceDE w:val="0"/>
        <w:autoSpaceDN w:val="0"/>
        <w:adjustRightInd w:val="0"/>
        <w:snapToGrid w:val="0"/>
        <w:spacing w:line="440" w:lineRule="exact"/>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3.2.1比选申请人应按第八章“比选申请文件格式”规定的格式填写。</w:t>
      </w:r>
    </w:p>
    <w:p>
      <w:pPr>
        <w:pStyle w:val="5"/>
        <w:snapToGrid w:val="0"/>
        <w:spacing w:line="440" w:lineRule="exact"/>
        <w:rPr>
          <w:rFonts w:ascii="宋体" w:hAnsi="宋体" w:eastAsia="宋体" w:cs="宋体"/>
          <w:snapToGrid w:val="0"/>
          <w:color w:val="auto"/>
          <w:highlight w:val="none"/>
        </w:rPr>
      </w:pPr>
      <w:bookmarkStart w:id="124" w:name="_Toc431287066"/>
      <w:bookmarkStart w:id="125" w:name="_Toc11166835"/>
      <w:bookmarkStart w:id="126" w:name="_Toc200513147"/>
      <w:r>
        <w:rPr>
          <w:rFonts w:hint="eastAsia" w:ascii="宋体" w:hAnsi="宋体" w:eastAsia="宋体" w:cs="宋体"/>
          <w:snapToGrid w:val="0"/>
          <w:color w:val="auto"/>
          <w:highlight w:val="none"/>
        </w:rPr>
        <w:t>3.3  比选有效期</w:t>
      </w:r>
      <w:bookmarkEnd w:id="124"/>
      <w:bookmarkEnd w:id="125"/>
      <w:bookmarkEnd w:id="126"/>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3.3.1 在比选申请人须知前附表规定的比选有效期内，比选申请人不得要求撤销或修改其比选申请文件。</w:t>
      </w:r>
    </w:p>
    <w:p>
      <w:pPr>
        <w:autoSpaceDE w:val="0"/>
        <w:autoSpaceDN w:val="0"/>
        <w:adjustRightInd w:val="0"/>
        <w:snapToGrid w:val="0"/>
        <w:spacing w:line="440" w:lineRule="exact"/>
        <w:ind w:firstLine="420"/>
        <w:rPr>
          <w:rFonts w:ascii="宋体" w:hAnsi="宋体" w:cs="宋体"/>
          <w:snapToGrid w:val="0"/>
          <w:color w:val="auto"/>
          <w:kern w:val="0"/>
          <w:highlight w:val="none"/>
        </w:rPr>
      </w:pPr>
      <w:r>
        <w:rPr>
          <w:rFonts w:hint="eastAsia" w:ascii="宋体" w:hAnsi="宋体" w:cs="宋体"/>
          <w:snapToGrid w:val="0"/>
          <w:color w:val="auto"/>
          <w:kern w:val="0"/>
          <w:highlight w:val="none"/>
        </w:rPr>
        <w:t>3.3.2 出现特殊情况需要延长比选有效期的，比选人以书面形式通知所有比选申请人延长比选有效期。比选申请人同意延长的，应相应延长其比选保证金的有效期，但不得要求或被允许修改或撤销其比选申请文件；比选申请人拒绝延长的，其比选失效，但比选申请人有权收回其比选保证金。</w:t>
      </w:r>
    </w:p>
    <w:p>
      <w:pPr>
        <w:pStyle w:val="5"/>
        <w:snapToGrid w:val="0"/>
        <w:spacing w:line="440" w:lineRule="exact"/>
        <w:rPr>
          <w:rFonts w:ascii="宋体" w:hAnsi="宋体" w:eastAsia="宋体" w:cs="宋体"/>
          <w:snapToGrid w:val="0"/>
          <w:color w:val="auto"/>
          <w:highlight w:val="none"/>
        </w:rPr>
      </w:pPr>
      <w:bookmarkStart w:id="127" w:name="_Toc431287067"/>
      <w:bookmarkStart w:id="128" w:name="_Toc11166836"/>
      <w:bookmarkStart w:id="129" w:name="_Toc200513148"/>
      <w:r>
        <w:rPr>
          <w:rFonts w:hint="eastAsia" w:ascii="宋体" w:hAnsi="宋体" w:eastAsia="宋体" w:cs="宋体"/>
          <w:snapToGrid w:val="0"/>
          <w:color w:val="auto"/>
          <w:highlight w:val="none"/>
        </w:rPr>
        <w:t xml:space="preserve">3.4  </w:t>
      </w:r>
      <w:bookmarkEnd w:id="127"/>
      <w:bookmarkEnd w:id="128"/>
      <w:bookmarkEnd w:id="129"/>
      <w:r>
        <w:rPr>
          <w:rFonts w:hint="eastAsia" w:ascii="宋体" w:hAnsi="宋体" w:eastAsia="宋体" w:cs="宋体"/>
          <w:snapToGrid w:val="0"/>
          <w:color w:val="auto"/>
          <w:highlight w:val="none"/>
        </w:rPr>
        <w:t>比选保证金</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bookmarkStart w:id="130" w:name="_Toc200513150"/>
      <w:r>
        <w:rPr>
          <w:rFonts w:hint="eastAsia" w:ascii="宋体" w:hAnsi="宋体" w:cs="宋体"/>
          <w:snapToGrid w:val="0"/>
          <w:color w:val="auto"/>
          <w:kern w:val="0"/>
          <w:position w:val="-2"/>
          <w:szCs w:val="21"/>
          <w:highlight w:val="none"/>
        </w:rPr>
        <w:t>3.4.1 比选申请人在递交比选申请文件的同时，应按比选申请人须知前附表规定的金额、担保形式递交比选保证金，并作为其比选申请文件的组成部分。</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3.4.2 比选申请人不按本章第 3.4.1 项要求提交比选保证金的，其比选申请文件作否决比选处理。</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3.4.3 比选保证金退还：见比选申请人须知前附表。</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3.4.4 有下列情形之一的，比选保证金将不予退还：</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（1）比选申请人在规定的比选有效期内撤销或修改其比选申请文件；</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（2）中选人在收到中选通知书后，无正当理由拒签合同协议书或未按比选文件规定提交履约担保。</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（3）法律法规和比选文件规定的其他情形。</w:t>
      </w:r>
    </w:p>
    <w:p>
      <w:pPr>
        <w:pStyle w:val="5"/>
        <w:snapToGrid w:val="0"/>
        <w:spacing w:line="440" w:lineRule="exact"/>
        <w:rPr>
          <w:rFonts w:ascii="宋体" w:hAnsi="宋体" w:eastAsia="宋体" w:cs="宋体"/>
          <w:snapToGrid w:val="0"/>
          <w:color w:val="auto"/>
          <w:highlight w:val="none"/>
        </w:rPr>
      </w:pPr>
      <w:bookmarkStart w:id="131" w:name="_Toc11166837"/>
      <w:bookmarkStart w:id="132" w:name="_Toc431287068"/>
      <w:r>
        <w:rPr>
          <w:rFonts w:hint="eastAsia" w:ascii="宋体" w:hAnsi="宋体" w:eastAsia="宋体" w:cs="宋体"/>
          <w:snapToGrid w:val="0"/>
          <w:color w:val="auto"/>
          <w:highlight w:val="none"/>
        </w:rPr>
        <w:t>3.5  资格审查资料</w:t>
      </w:r>
      <w:bookmarkEnd w:id="130"/>
      <w:bookmarkEnd w:id="131"/>
      <w:bookmarkEnd w:id="132"/>
    </w:p>
    <w:p>
      <w:pPr>
        <w:autoSpaceDE w:val="0"/>
        <w:autoSpaceDN w:val="0"/>
        <w:adjustRightInd w:val="0"/>
        <w:snapToGrid w:val="0"/>
        <w:spacing w:line="440" w:lineRule="exact"/>
        <w:ind w:firstLine="420" w:firstLineChars="200"/>
        <w:jc w:val="left"/>
        <w:rPr>
          <w:rFonts w:ascii="宋体" w:hAnsi="宋体" w:cs="宋体"/>
          <w:snapToGrid w:val="0"/>
          <w:color w:val="auto"/>
          <w:kern w:val="0"/>
          <w:szCs w:val="21"/>
          <w:highlight w:val="none"/>
        </w:rPr>
      </w:pPr>
      <w:bookmarkStart w:id="133" w:name="_Toc200513151"/>
      <w:r>
        <w:rPr>
          <w:rFonts w:hint="eastAsia" w:ascii="宋体" w:hAnsi="宋体" w:cs="宋体"/>
          <w:snapToGrid w:val="0"/>
          <w:color w:val="auto"/>
          <w:kern w:val="0"/>
          <w:szCs w:val="21"/>
          <w:highlight w:val="none"/>
        </w:rPr>
        <w:t xml:space="preserve"> 具体详见比选申请人须知前附表1.4.1条的规定。</w:t>
      </w:r>
    </w:p>
    <w:p>
      <w:pPr>
        <w:pStyle w:val="5"/>
        <w:snapToGrid w:val="0"/>
        <w:spacing w:line="440" w:lineRule="exact"/>
        <w:rPr>
          <w:rFonts w:ascii="宋体" w:hAnsi="宋体" w:eastAsia="宋体" w:cs="宋体"/>
          <w:snapToGrid w:val="0"/>
          <w:color w:val="auto"/>
          <w:highlight w:val="none"/>
        </w:rPr>
      </w:pPr>
      <w:bookmarkStart w:id="134" w:name="_Toc11166838"/>
      <w:bookmarkStart w:id="135" w:name="_Toc431287069"/>
      <w:r>
        <w:rPr>
          <w:rFonts w:hint="eastAsia" w:ascii="宋体" w:hAnsi="宋体" w:eastAsia="宋体" w:cs="宋体"/>
          <w:snapToGrid w:val="0"/>
          <w:color w:val="auto"/>
          <w:highlight w:val="none"/>
        </w:rPr>
        <w:t>3.6  备选比选申请方案</w:t>
      </w:r>
      <w:bookmarkEnd w:id="133"/>
      <w:bookmarkEnd w:id="134"/>
      <w:bookmarkEnd w:id="135"/>
    </w:p>
    <w:p>
      <w:pPr>
        <w:autoSpaceDE w:val="0"/>
        <w:autoSpaceDN w:val="0"/>
        <w:adjustRightInd w:val="0"/>
        <w:snapToGrid w:val="0"/>
        <w:spacing w:line="440" w:lineRule="exact"/>
        <w:ind w:firstLine="420"/>
        <w:rPr>
          <w:rFonts w:ascii="宋体" w:hAnsi="宋体" w:cs="宋体"/>
          <w:snapToGrid w:val="0"/>
          <w:color w:val="auto"/>
          <w:kern w:val="0"/>
          <w:highlight w:val="none"/>
        </w:rPr>
      </w:pPr>
      <w:r>
        <w:rPr>
          <w:rFonts w:hint="eastAsia" w:ascii="宋体" w:hAnsi="宋体" w:cs="宋体"/>
          <w:snapToGrid w:val="0"/>
          <w:color w:val="auto"/>
          <w:kern w:val="0"/>
          <w:highlight w:val="none"/>
        </w:rPr>
        <w:t>比选申请人不得递交备选比选申请方案。</w:t>
      </w:r>
    </w:p>
    <w:p>
      <w:pPr>
        <w:pStyle w:val="5"/>
        <w:snapToGrid w:val="0"/>
        <w:spacing w:line="440" w:lineRule="exact"/>
        <w:rPr>
          <w:rFonts w:ascii="宋体" w:hAnsi="宋体" w:eastAsia="宋体" w:cs="宋体"/>
          <w:snapToGrid w:val="0"/>
          <w:color w:val="auto"/>
          <w:highlight w:val="none"/>
        </w:rPr>
      </w:pPr>
      <w:bookmarkStart w:id="136" w:name="_Toc431287070"/>
      <w:bookmarkStart w:id="137" w:name="_Toc11166839"/>
      <w:r>
        <w:rPr>
          <w:rFonts w:hint="eastAsia" w:ascii="宋体" w:hAnsi="宋体" w:eastAsia="宋体" w:cs="宋体"/>
          <w:snapToGrid w:val="0"/>
          <w:color w:val="auto"/>
          <w:highlight w:val="none"/>
        </w:rPr>
        <w:t>3.7  比选申请文件的编制</w:t>
      </w:r>
      <w:bookmarkEnd w:id="136"/>
      <w:bookmarkEnd w:id="137"/>
    </w:p>
    <w:p>
      <w:pPr>
        <w:autoSpaceDE w:val="0"/>
        <w:autoSpaceDN w:val="0"/>
        <w:adjustRightInd w:val="0"/>
        <w:snapToGrid w:val="0"/>
        <w:spacing w:line="440" w:lineRule="exact"/>
        <w:ind w:firstLine="420"/>
        <w:rPr>
          <w:rFonts w:ascii="宋体" w:hAnsi="宋体" w:cs="宋体"/>
          <w:snapToGrid w:val="0"/>
          <w:color w:val="auto"/>
          <w:kern w:val="0"/>
          <w:szCs w:val="21"/>
          <w:highlight w:val="none"/>
        </w:rPr>
      </w:pPr>
      <w:bookmarkStart w:id="138" w:name="_Toc200513153"/>
      <w:r>
        <w:rPr>
          <w:rFonts w:hint="eastAsia" w:ascii="宋体" w:hAnsi="宋体" w:cs="宋体"/>
          <w:snapToGrid w:val="0"/>
          <w:color w:val="auto"/>
          <w:kern w:val="0"/>
          <w:szCs w:val="21"/>
          <w:highlight w:val="none"/>
        </w:rPr>
        <w:t>3.7.1  比选申请文件应按第八章“比选申请文件格式”进行编写，如有必要，可以增加附页，作为吧比选申请文件的组成部分。其中，比选函附录在满足比选文件实质性要求的基础上，可以提出比比选文件要求更有利于比选人的承诺。</w:t>
      </w:r>
    </w:p>
    <w:p>
      <w:pPr>
        <w:autoSpaceDE w:val="0"/>
        <w:autoSpaceDN w:val="0"/>
        <w:adjustRightInd w:val="0"/>
        <w:snapToGrid w:val="0"/>
        <w:spacing w:line="44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比选申请文件应当对比选文件有关计划工期、比选有效期、质量要求、技术标准和要求、 比选范围等实质性内容做出响应。</w:t>
      </w:r>
    </w:p>
    <w:p>
      <w:pPr>
        <w:autoSpaceDE w:val="0"/>
        <w:autoSpaceDN w:val="0"/>
        <w:adjustRightInd w:val="0"/>
        <w:snapToGrid w:val="0"/>
        <w:spacing w:line="440" w:lineRule="exact"/>
        <w:ind w:firstLine="424" w:firstLineChars="202"/>
        <w:jc w:val="left"/>
        <w:rPr>
          <w:rFonts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3.7.3  比选申请文件应用不褪色的材料书写或打印，并由比选申请人的法定代表人或其委托代理</w:t>
      </w:r>
      <w:r>
        <w:rPr>
          <w:rFonts w:hint="eastAsia" w:ascii="宋体" w:hAnsi="宋体" w:cs="宋体"/>
          <w:snapToGrid w:val="0"/>
          <w:color w:val="auto"/>
          <w:kern w:val="0"/>
          <w:szCs w:val="21"/>
          <w:highlight w:val="none"/>
        </w:rPr>
        <w:t>人签字、盖单位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p>
      <w:pPr>
        <w:autoSpaceDE w:val="0"/>
        <w:autoSpaceDN w:val="0"/>
        <w:adjustRightInd w:val="0"/>
        <w:snapToGrid w:val="0"/>
        <w:spacing w:before="1" w:line="440" w:lineRule="exact"/>
        <w:ind w:right="-164" w:firstLine="426"/>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3.7.4  比选申请文件正本一份，副本份数见比选申请人须知前附表。正本和副本的封面上应清楚地标记“正本”或“副本”的字样，正本和副本封面均须加盖单位公章（鲜章）。当副本和正本不一致时，以正本为准。</w:t>
      </w:r>
    </w:p>
    <w:p>
      <w:pPr>
        <w:autoSpaceDE w:val="0"/>
        <w:autoSpaceDN w:val="0"/>
        <w:adjustRightInd w:val="0"/>
        <w:snapToGrid w:val="0"/>
        <w:spacing w:before="10" w:line="440" w:lineRule="exact"/>
        <w:ind w:right="-109" w:firstLine="426"/>
        <w:jc w:val="left"/>
        <w:rPr>
          <w:rFonts w:ascii="宋体" w:hAnsi="宋体" w:cs="宋体"/>
          <w:snapToGrid w:val="0"/>
          <w:color w:val="auto"/>
          <w:kern w:val="0"/>
          <w:sz w:val="24"/>
          <w:highlight w:val="none"/>
        </w:rPr>
      </w:pPr>
      <w:r>
        <w:rPr>
          <w:rFonts w:hint="eastAsia" w:ascii="宋体" w:hAnsi="宋体" w:cs="宋体"/>
          <w:snapToGrid w:val="0"/>
          <w:color w:val="auto"/>
          <w:kern w:val="0"/>
          <w:szCs w:val="21"/>
          <w:highlight w:val="none"/>
        </w:rPr>
        <w:t>3.7.5  比选申请文件的正本与副本应分别装订成册，并编制目录，具体装订要求见比选申请人须知前附表规定。</w:t>
      </w:r>
    </w:p>
    <w:p>
      <w:pPr>
        <w:pStyle w:val="4"/>
        <w:spacing w:line="440" w:lineRule="exact"/>
        <w:rPr>
          <w:rFonts w:ascii="宋体" w:hAnsi="宋体" w:eastAsia="宋体" w:cs="宋体"/>
          <w:snapToGrid w:val="0"/>
          <w:color w:val="auto"/>
          <w:spacing w:val="0"/>
          <w:w w:val="100"/>
          <w:highlight w:val="none"/>
        </w:rPr>
      </w:pPr>
      <w:bookmarkStart w:id="139" w:name="_Toc431287071"/>
      <w:bookmarkStart w:id="140" w:name="_Toc3382"/>
      <w:bookmarkStart w:id="141" w:name="_Toc9941"/>
      <w:bookmarkStart w:id="142" w:name="_Toc11166840"/>
      <w:r>
        <w:rPr>
          <w:rFonts w:hint="eastAsia" w:ascii="宋体" w:hAnsi="宋体" w:eastAsia="宋体" w:cs="宋体"/>
          <w:snapToGrid w:val="0"/>
          <w:color w:val="auto"/>
          <w:spacing w:val="0"/>
          <w:w w:val="100"/>
          <w:highlight w:val="none"/>
        </w:rPr>
        <w:t xml:space="preserve">4.  </w:t>
      </w:r>
      <w:bookmarkEnd w:id="138"/>
      <w:bookmarkEnd w:id="139"/>
      <w:bookmarkEnd w:id="140"/>
      <w:bookmarkEnd w:id="141"/>
      <w:bookmarkEnd w:id="142"/>
      <w:r>
        <w:rPr>
          <w:rFonts w:hint="eastAsia" w:ascii="宋体" w:hAnsi="宋体" w:eastAsia="宋体" w:cs="宋体"/>
          <w:snapToGrid w:val="0"/>
          <w:color w:val="auto"/>
          <w:spacing w:val="0"/>
          <w:w w:val="100"/>
          <w:highlight w:val="none"/>
        </w:rPr>
        <w:t>比选</w:t>
      </w:r>
    </w:p>
    <w:p>
      <w:pPr>
        <w:pStyle w:val="5"/>
        <w:snapToGrid w:val="0"/>
        <w:spacing w:line="440" w:lineRule="exact"/>
        <w:rPr>
          <w:rFonts w:ascii="宋体" w:hAnsi="宋体" w:eastAsia="宋体" w:cs="宋体"/>
          <w:snapToGrid w:val="0"/>
          <w:color w:val="auto"/>
          <w:highlight w:val="none"/>
        </w:rPr>
      </w:pPr>
      <w:bookmarkStart w:id="143" w:name="_Toc200513154"/>
      <w:bookmarkStart w:id="144" w:name="_Toc431287072"/>
      <w:bookmarkStart w:id="145" w:name="_Toc11166841"/>
      <w:r>
        <w:rPr>
          <w:rFonts w:hint="eastAsia" w:ascii="宋体" w:hAnsi="宋体" w:eastAsia="宋体" w:cs="宋体"/>
          <w:snapToGrid w:val="0"/>
          <w:color w:val="auto"/>
          <w:highlight w:val="none"/>
        </w:rPr>
        <w:t>4.1  比选申请文件的密封和标记</w:t>
      </w:r>
      <w:bookmarkEnd w:id="143"/>
      <w:bookmarkEnd w:id="144"/>
      <w:bookmarkEnd w:id="145"/>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bookmarkStart w:id="146" w:name="_Toc200513155"/>
      <w:r>
        <w:rPr>
          <w:rFonts w:hint="eastAsia" w:ascii="宋体" w:hAnsi="宋体" w:cs="宋体"/>
          <w:snapToGrid w:val="0"/>
          <w:color w:val="auto"/>
          <w:kern w:val="0"/>
          <w:position w:val="-2"/>
          <w:szCs w:val="21"/>
          <w:highlight w:val="none"/>
        </w:rPr>
        <w:t>4.1.1  比选申请文件的正本与副本密封见比选申请人须知前附表。</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4.1.2  比选申请文件的封套上应写明的内容见比选申请人须知前附表。</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4.1.3  未按本章第 4.1.1 项和4.1.2项要求密封和加写标记的比选申请文件，比选人不予受理。</w:t>
      </w:r>
    </w:p>
    <w:p>
      <w:pPr>
        <w:pStyle w:val="5"/>
        <w:snapToGrid w:val="0"/>
        <w:spacing w:line="440" w:lineRule="exact"/>
        <w:rPr>
          <w:rFonts w:ascii="宋体" w:hAnsi="宋体" w:eastAsia="宋体" w:cs="宋体"/>
          <w:snapToGrid w:val="0"/>
          <w:color w:val="auto"/>
          <w:highlight w:val="none"/>
        </w:rPr>
      </w:pPr>
      <w:bookmarkStart w:id="147" w:name="_Toc431287073"/>
      <w:bookmarkStart w:id="148" w:name="_Toc11166842"/>
      <w:r>
        <w:rPr>
          <w:rFonts w:hint="eastAsia" w:ascii="宋体" w:hAnsi="宋体" w:eastAsia="宋体" w:cs="宋体"/>
          <w:snapToGrid w:val="0"/>
          <w:color w:val="auto"/>
          <w:highlight w:val="none"/>
        </w:rPr>
        <w:t>4.2  比选申请文件的递交</w:t>
      </w:r>
      <w:bookmarkEnd w:id="146"/>
      <w:bookmarkEnd w:id="147"/>
      <w:bookmarkEnd w:id="148"/>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bookmarkStart w:id="149" w:name="_Toc431287074"/>
      <w:bookmarkStart w:id="150" w:name="_Toc200513156"/>
      <w:bookmarkStart w:id="151" w:name="_Toc11166843"/>
      <w:r>
        <w:rPr>
          <w:rFonts w:hint="eastAsia" w:ascii="宋体" w:hAnsi="宋体" w:cs="宋体"/>
          <w:snapToGrid w:val="0"/>
          <w:color w:val="auto"/>
          <w:kern w:val="0"/>
          <w:position w:val="-2"/>
          <w:szCs w:val="21"/>
          <w:highlight w:val="none"/>
        </w:rPr>
        <w:t>4.2.1  比选申请人应在本章第 2.2.2 项规定的比选截止时间前递交比选申请文件。</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4.2.2  比选申请人递交比选申请文件的地点：见比选申请人须知前附表。</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4.2.3  除比选申请人须知前附表另有规定外，比选申请人所递交的比选申请文件不予退还。</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4.2.4  比选人收到比选申请文件后，向比选申请人出具签收凭证。</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4.2.5  逾期送达的或者未送达指定地点的比选申请文件，比选人不予受理</w:t>
      </w:r>
    </w:p>
    <w:p>
      <w:pPr>
        <w:pStyle w:val="5"/>
        <w:snapToGrid w:val="0"/>
        <w:spacing w:line="440" w:lineRule="exact"/>
        <w:rPr>
          <w:rFonts w:ascii="宋体" w:hAnsi="宋体" w:eastAsia="宋体" w:cs="宋体"/>
          <w:snapToGrid w:val="0"/>
          <w:color w:val="auto"/>
          <w:highlight w:val="none"/>
        </w:rPr>
      </w:pPr>
      <w:r>
        <w:rPr>
          <w:rFonts w:hint="eastAsia" w:ascii="宋体" w:hAnsi="宋体" w:eastAsia="宋体" w:cs="宋体"/>
          <w:snapToGrid w:val="0"/>
          <w:color w:val="auto"/>
          <w:highlight w:val="none"/>
        </w:rPr>
        <w:t>4.3  比选申请文件的修改与撤回</w:t>
      </w:r>
      <w:bookmarkEnd w:id="149"/>
      <w:bookmarkEnd w:id="150"/>
      <w:bookmarkEnd w:id="151"/>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4.3.1  在本章第2.2.2项规定的比选截止时间前，比选申请人可以修改或撤回已递交的比选申请文件，但应以书面形式通知比选人。</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4.3.2  比选申请人修改或撤回已递交比选申请文件的书面通知应按照本章第3.7.3项的要求签字或盖章。比选人收到书面通知后，向比选申请人出具签收凭证。</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r>
        <w:rPr>
          <w:rFonts w:hint="eastAsia" w:ascii="宋体" w:hAnsi="宋体" w:cs="宋体"/>
          <w:snapToGrid w:val="0"/>
          <w:color w:val="auto"/>
          <w:kern w:val="0"/>
          <w:position w:val="-2"/>
          <w:szCs w:val="21"/>
          <w:highlight w:val="none"/>
        </w:rPr>
        <w:t>4.3.3  修改的内容为比选申请文件的组成部分。修改的比选申请文件应按照本章第3条、第4条规定进行编制、密封、标记和递交，并标明“修改”字样。</w:t>
      </w:r>
    </w:p>
    <w:p>
      <w:pPr>
        <w:pStyle w:val="4"/>
        <w:spacing w:line="440" w:lineRule="exact"/>
        <w:rPr>
          <w:rFonts w:ascii="宋体" w:hAnsi="宋体" w:eastAsia="宋体" w:cs="宋体"/>
          <w:snapToGrid w:val="0"/>
          <w:color w:val="auto"/>
          <w:spacing w:val="0"/>
          <w:w w:val="100"/>
          <w:highlight w:val="none"/>
        </w:rPr>
      </w:pPr>
      <w:bookmarkStart w:id="152" w:name="_Toc22335"/>
      <w:bookmarkStart w:id="153" w:name="_Toc431287075"/>
      <w:bookmarkStart w:id="154" w:name="_Toc200513157"/>
      <w:bookmarkStart w:id="155" w:name="_Toc1753"/>
      <w:bookmarkStart w:id="156" w:name="_Toc11166844"/>
      <w:r>
        <w:rPr>
          <w:rFonts w:hint="eastAsia" w:ascii="宋体" w:hAnsi="宋体" w:eastAsia="宋体" w:cs="宋体"/>
          <w:snapToGrid w:val="0"/>
          <w:color w:val="auto"/>
          <w:spacing w:val="0"/>
          <w:w w:val="100"/>
          <w:highlight w:val="none"/>
        </w:rPr>
        <w:t>5.  开标</w:t>
      </w:r>
      <w:bookmarkEnd w:id="152"/>
      <w:bookmarkEnd w:id="153"/>
      <w:bookmarkEnd w:id="154"/>
      <w:bookmarkEnd w:id="155"/>
      <w:bookmarkEnd w:id="156"/>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bookmarkStart w:id="157" w:name="_Toc200513160"/>
      <w:r>
        <w:rPr>
          <w:rFonts w:hint="eastAsia" w:ascii="宋体" w:hAnsi="宋体" w:cs="宋体"/>
          <w:snapToGrid w:val="0"/>
          <w:color w:val="auto"/>
          <w:kern w:val="0"/>
          <w:position w:val="-2"/>
          <w:szCs w:val="21"/>
          <w:highlight w:val="none"/>
        </w:rPr>
        <w:t>5.1 开标时间和地点:详见第二章比选申请人须知前附表；</w:t>
      </w:r>
    </w:p>
    <w:p>
      <w:pPr>
        <w:autoSpaceDE w:val="0"/>
        <w:autoSpaceDN w:val="0"/>
        <w:adjustRightInd w:val="0"/>
        <w:snapToGrid w:val="0"/>
        <w:spacing w:line="440" w:lineRule="exact"/>
        <w:ind w:firstLine="424" w:firstLineChars="202"/>
        <w:jc w:val="left"/>
        <w:rPr>
          <w:rFonts w:ascii="宋体" w:hAnsi="宋体" w:cs="宋体"/>
          <w:snapToGrid w:val="0"/>
          <w:color w:val="auto"/>
          <w:kern w:val="0"/>
          <w:position w:val="-2"/>
          <w:szCs w:val="21"/>
          <w:highlight w:val="none"/>
        </w:rPr>
      </w:pPr>
      <w:bookmarkStart w:id="158" w:name="_bookmark56"/>
      <w:bookmarkEnd w:id="158"/>
      <w:r>
        <w:rPr>
          <w:rFonts w:hint="eastAsia" w:ascii="宋体" w:hAnsi="宋体" w:cs="宋体"/>
          <w:snapToGrid w:val="0"/>
          <w:color w:val="auto"/>
          <w:kern w:val="0"/>
          <w:position w:val="-2"/>
          <w:szCs w:val="21"/>
          <w:highlight w:val="none"/>
        </w:rPr>
        <w:t>5.2 开标程序:详见第二章比选申请人须知前附表。</w:t>
      </w:r>
    </w:p>
    <w:p>
      <w:pPr>
        <w:pStyle w:val="4"/>
        <w:spacing w:line="440" w:lineRule="exact"/>
        <w:textAlignment w:val="baseline"/>
        <w:rPr>
          <w:rFonts w:ascii="宋体" w:hAnsi="宋体" w:eastAsia="宋体" w:cs="宋体"/>
          <w:snapToGrid w:val="0"/>
          <w:color w:val="auto"/>
          <w:spacing w:val="0"/>
          <w:w w:val="100"/>
          <w:highlight w:val="none"/>
        </w:rPr>
      </w:pPr>
      <w:bookmarkStart w:id="159" w:name="_Toc431287078"/>
      <w:bookmarkStart w:id="160" w:name="_Toc15039"/>
      <w:bookmarkStart w:id="161" w:name="_Toc11166845"/>
      <w:bookmarkStart w:id="162" w:name="_Toc9593"/>
      <w:r>
        <w:rPr>
          <w:rFonts w:hint="eastAsia" w:ascii="宋体" w:hAnsi="宋体" w:eastAsia="宋体" w:cs="宋体"/>
          <w:snapToGrid w:val="0"/>
          <w:color w:val="auto"/>
          <w:spacing w:val="0"/>
          <w:w w:val="100"/>
          <w:highlight w:val="none"/>
        </w:rPr>
        <w:t>6.  评</w:t>
      </w:r>
      <w:bookmarkEnd w:id="157"/>
      <w:bookmarkEnd w:id="159"/>
      <w:bookmarkEnd w:id="160"/>
      <w:bookmarkEnd w:id="161"/>
      <w:r>
        <w:rPr>
          <w:rFonts w:hint="eastAsia" w:ascii="宋体" w:hAnsi="宋体" w:eastAsia="宋体" w:cs="宋体"/>
          <w:snapToGrid w:val="0"/>
          <w:color w:val="auto"/>
          <w:spacing w:val="0"/>
          <w:w w:val="100"/>
          <w:highlight w:val="none"/>
        </w:rPr>
        <w:t>审</w:t>
      </w:r>
      <w:bookmarkEnd w:id="162"/>
    </w:p>
    <w:p>
      <w:pPr>
        <w:pStyle w:val="5"/>
        <w:snapToGrid w:val="0"/>
        <w:spacing w:line="440" w:lineRule="exact"/>
        <w:rPr>
          <w:rFonts w:ascii="宋体" w:hAnsi="宋体" w:eastAsia="宋体" w:cs="宋体"/>
          <w:snapToGrid w:val="0"/>
          <w:color w:val="auto"/>
          <w:highlight w:val="none"/>
        </w:rPr>
      </w:pPr>
      <w:bookmarkStart w:id="163" w:name="_Toc431287079"/>
      <w:bookmarkStart w:id="164" w:name="_Toc200513161"/>
      <w:bookmarkStart w:id="165" w:name="_Toc11166846"/>
      <w:r>
        <w:rPr>
          <w:rFonts w:hint="eastAsia" w:ascii="宋体" w:hAnsi="宋体" w:eastAsia="宋体" w:cs="宋体"/>
          <w:snapToGrid w:val="0"/>
          <w:color w:val="auto"/>
          <w:highlight w:val="none"/>
        </w:rPr>
        <w:t xml:space="preserve">6.1  </w:t>
      </w:r>
      <w:bookmarkEnd w:id="163"/>
      <w:bookmarkEnd w:id="164"/>
      <w:bookmarkEnd w:id="165"/>
      <w:r>
        <w:rPr>
          <w:rFonts w:hint="eastAsia" w:ascii="宋体" w:hAnsi="宋体" w:eastAsia="宋体" w:cs="宋体"/>
          <w:snapToGrid w:val="0"/>
          <w:color w:val="auto"/>
          <w:highlight w:val="none"/>
        </w:rPr>
        <w:t>评审小组</w:t>
      </w:r>
    </w:p>
    <w:p>
      <w:pPr>
        <w:autoSpaceDE w:val="0"/>
        <w:autoSpaceDN w:val="0"/>
        <w:adjustRightInd w:val="0"/>
        <w:snapToGrid w:val="0"/>
        <w:spacing w:line="440" w:lineRule="exact"/>
        <w:ind w:firstLine="420"/>
        <w:rPr>
          <w:rFonts w:ascii="宋体" w:hAnsi="宋体" w:cs="宋体"/>
          <w:snapToGrid w:val="0"/>
          <w:color w:val="auto"/>
          <w:kern w:val="0"/>
          <w:szCs w:val="21"/>
          <w:highlight w:val="none"/>
        </w:rPr>
      </w:pPr>
      <w:bookmarkStart w:id="166" w:name="_Toc200513162"/>
      <w:r>
        <w:rPr>
          <w:rFonts w:hint="eastAsia" w:ascii="宋体" w:hAnsi="宋体" w:cs="宋体"/>
          <w:snapToGrid w:val="0"/>
          <w:color w:val="auto"/>
          <w:kern w:val="0"/>
          <w:szCs w:val="21"/>
          <w:highlight w:val="none"/>
        </w:rPr>
        <w:t>6.1.1 评审由比选人依法组建的评审小组负责。评审小组由比选人或其委托的比选代理机构熟悉相关业务的代表，以及有关技术、经济等方面的专家组成。评审小组成员人数以及技术、经济等方面专家的确定方式见比选申请人须知前附表。</w:t>
      </w:r>
    </w:p>
    <w:p>
      <w:pPr>
        <w:autoSpaceDE w:val="0"/>
        <w:autoSpaceDN w:val="0"/>
        <w:adjustRightInd w:val="0"/>
        <w:snapToGrid w:val="0"/>
        <w:spacing w:line="44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6.1.2  评审小组成员有下列情形之一的，应当回避：</w:t>
      </w:r>
    </w:p>
    <w:p>
      <w:pPr>
        <w:autoSpaceDE w:val="0"/>
        <w:autoSpaceDN w:val="0"/>
        <w:adjustRightInd w:val="0"/>
        <w:snapToGrid w:val="0"/>
        <w:spacing w:line="44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（1）比选人或比选申请人的主要负责人的近亲属；</w:t>
      </w:r>
    </w:p>
    <w:p>
      <w:pPr>
        <w:autoSpaceDE w:val="0"/>
        <w:autoSpaceDN w:val="0"/>
        <w:adjustRightInd w:val="0"/>
        <w:snapToGrid w:val="0"/>
        <w:spacing w:line="44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（2）项目主管部门或者行政监督部门的人员；</w:t>
      </w:r>
    </w:p>
    <w:p>
      <w:pPr>
        <w:autoSpaceDE w:val="0"/>
        <w:autoSpaceDN w:val="0"/>
        <w:adjustRightInd w:val="0"/>
        <w:snapToGrid w:val="0"/>
        <w:spacing w:line="44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（3）与比选申请人有利害关系，可能影响对比选公正评审的；</w:t>
      </w:r>
    </w:p>
    <w:p>
      <w:pPr>
        <w:autoSpaceDE w:val="0"/>
        <w:autoSpaceDN w:val="0"/>
        <w:adjustRightInd w:val="0"/>
        <w:snapToGrid w:val="0"/>
        <w:spacing w:line="44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（4）曾因在比选、评审以及其他与招标投标有关活动中从事违法行为而受过行政处罚或刑事处罚的。</w:t>
      </w:r>
    </w:p>
    <w:p>
      <w:pPr>
        <w:autoSpaceDE w:val="0"/>
        <w:autoSpaceDN w:val="0"/>
        <w:adjustRightInd w:val="0"/>
        <w:snapToGrid w:val="0"/>
        <w:spacing w:line="44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（5）与比选申请人有其他利害关系。</w:t>
      </w:r>
    </w:p>
    <w:p>
      <w:pPr>
        <w:autoSpaceDE w:val="0"/>
        <w:autoSpaceDN w:val="0"/>
        <w:adjustRightInd w:val="0"/>
        <w:snapToGrid w:val="0"/>
        <w:spacing w:line="44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6.1.3 评审过程中，评审小组成员有回避事由、擅离职守或者因健康等原因不能继续评审的，比选人有权更换。被更换的评审小组成员作出的评审结论无效，由更换后的评审小组成员重新进行评审。</w:t>
      </w:r>
    </w:p>
    <w:p>
      <w:pPr>
        <w:pStyle w:val="5"/>
        <w:snapToGrid w:val="0"/>
        <w:spacing w:line="440" w:lineRule="exact"/>
        <w:rPr>
          <w:rFonts w:ascii="宋体" w:hAnsi="宋体" w:eastAsia="宋体" w:cs="宋体"/>
          <w:snapToGrid w:val="0"/>
          <w:color w:val="auto"/>
          <w:highlight w:val="none"/>
        </w:rPr>
      </w:pPr>
      <w:bookmarkStart w:id="167" w:name="_Toc11166847"/>
      <w:bookmarkStart w:id="168" w:name="_Toc431287080"/>
      <w:r>
        <w:rPr>
          <w:rFonts w:hint="eastAsia" w:ascii="宋体" w:hAnsi="宋体" w:eastAsia="宋体" w:cs="宋体"/>
          <w:snapToGrid w:val="0"/>
          <w:color w:val="auto"/>
          <w:highlight w:val="none"/>
        </w:rPr>
        <w:t>6.2  评审原则</w:t>
      </w:r>
      <w:bookmarkEnd w:id="166"/>
      <w:bookmarkEnd w:id="167"/>
      <w:bookmarkEnd w:id="168"/>
    </w:p>
    <w:p>
      <w:pPr>
        <w:autoSpaceDE w:val="0"/>
        <w:autoSpaceDN w:val="0"/>
        <w:adjustRightInd w:val="0"/>
        <w:snapToGrid w:val="0"/>
        <w:spacing w:line="440" w:lineRule="exact"/>
        <w:jc w:val="left"/>
        <w:rPr>
          <w:rFonts w:ascii="宋体" w:hAnsi="宋体" w:cs="宋体"/>
          <w:snapToGrid w:val="0"/>
          <w:color w:val="auto"/>
          <w:kern w:val="0"/>
          <w:highlight w:val="none"/>
        </w:rPr>
      </w:pPr>
      <w:r>
        <w:rPr>
          <w:rFonts w:hint="eastAsia" w:ascii="宋体" w:hAnsi="宋体" w:cs="宋体"/>
          <w:snapToGrid w:val="0"/>
          <w:color w:val="auto"/>
          <w:kern w:val="0"/>
          <w:highlight w:val="none"/>
        </w:rPr>
        <w:t xml:space="preserve">    评审活动遵循公平、公正、科学和择优的原则。</w:t>
      </w:r>
    </w:p>
    <w:p>
      <w:pPr>
        <w:pStyle w:val="5"/>
        <w:snapToGrid w:val="0"/>
        <w:spacing w:line="440" w:lineRule="exact"/>
        <w:rPr>
          <w:rFonts w:ascii="宋体" w:hAnsi="宋体" w:eastAsia="宋体" w:cs="宋体"/>
          <w:snapToGrid w:val="0"/>
          <w:color w:val="auto"/>
          <w:highlight w:val="none"/>
        </w:rPr>
      </w:pPr>
      <w:bookmarkStart w:id="169" w:name="_Toc200513163"/>
      <w:bookmarkStart w:id="170" w:name="_Toc11166848"/>
      <w:bookmarkStart w:id="171" w:name="_Toc431287081"/>
      <w:r>
        <w:rPr>
          <w:rFonts w:hint="eastAsia" w:ascii="宋体" w:hAnsi="宋体" w:eastAsia="宋体" w:cs="宋体"/>
          <w:snapToGrid w:val="0"/>
          <w:color w:val="auto"/>
          <w:highlight w:val="none"/>
        </w:rPr>
        <w:t xml:space="preserve">6.3  </w:t>
      </w:r>
      <w:bookmarkEnd w:id="169"/>
      <w:bookmarkEnd w:id="170"/>
      <w:bookmarkEnd w:id="171"/>
      <w:r>
        <w:rPr>
          <w:rFonts w:hint="eastAsia" w:ascii="宋体" w:hAnsi="宋体" w:eastAsia="宋体" w:cs="宋体"/>
          <w:snapToGrid w:val="0"/>
          <w:color w:val="auto"/>
          <w:highlight w:val="none"/>
        </w:rPr>
        <w:t>评审</w:t>
      </w:r>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评审小组按照第三章“评审办法”规定的方法、评审因素、标准和程序对比选申请文件进行评审。第三章“评审办法”没有规定的方法、评审因素和标准，不作为评审依据。</w:t>
      </w:r>
    </w:p>
    <w:p>
      <w:pPr>
        <w:pStyle w:val="4"/>
        <w:spacing w:line="440" w:lineRule="exact"/>
        <w:rPr>
          <w:rFonts w:ascii="宋体" w:hAnsi="宋体" w:eastAsia="宋体" w:cs="宋体"/>
          <w:snapToGrid w:val="0"/>
          <w:color w:val="auto"/>
          <w:spacing w:val="0"/>
          <w:w w:val="100"/>
          <w:highlight w:val="none"/>
        </w:rPr>
      </w:pPr>
      <w:bookmarkStart w:id="172" w:name="_Toc18803"/>
      <w:bookmarkStart w:id="173" w:name="_Toc11166849"/>
      <w:bookmarkStart w:id="174" w:name="_Toc14190"/>
      <w:bookmarkStart w:id="175" w:name="_Toc200513164"/>
      <w:bookmarkStart w:id="176" w:name="_Toc431287082"/>
      <w:r>
        <w:rPr>
          <w:rFonts w:hint="eastAsia" w:ascii="宋体" w:hAnsi="宋体" w:eastAsia="宋体" w:cs="宋体"/>
          <w:snapToGrid w:val="0"/>
          <w:color w:val="auto"/>
          <w:spacing w:val="0"/>
          <w:w w:val="100"/>
          <w:highlight w:val="none"/>
        </w:rPr>
        <w:t>7.  合同授予</w:t>
      </w:r>
      <w:bookmarkEnd w:id="172"/>
      <w:bookmarkEnd w:id="173"/>
      <w:bookmarkEnd w:id="174"/>
      <w:bookmarkEnd w:id="175"/>
      <w:bookmarkEnd w:id="176"/>
    </w:p>
    <w:p>
      <w:pPr>
        <w:pStyle w:val="5"/>
        <w:snapToGrid w:val="0"/>
        <w:spacing w:line="440" w:lineRule="exact"/>
        <w:rPr>
          <w:rFonts w:ascii="宋体" w:hAnsi="宋体" w:eastAsia="宋体" w:cs="宋体"/>
          <w:snapToGrid w:val="0"/>
          <w:color w:val="auto"/>
          <w:highlight w:val="none"/>
        </w:rPr>
      </w:pPr>
      <w:bookmarkStart w:id="177" w:name="_Toc11166850"/>
      <w:bookmarkStart w:id="178" w:name="_Toc431287083"/>
      <w:bookmarkStart w:id="179" w:name="_Toc200513165"/>
      <w:r>
        <w:rPr>
          <w:rFonts w:hint="eastAsia" w:ascii="宋体" w:hAnsi="宋体" w:eastAsia="宋体" w:cs="宋体"/>
          <w:snapToGrid w:val="0"/>
          <w:color w:val="auto"/>
          <w:highlight w:val="none"/>
        </w:rPr>
        <w:t>7.1  定选方式</w:t>
      </w:r>
      <w:bookmarkEnd w:id="177"/>
      <w:bookmarkEnd w:id="178"/>
      <w:bookmarkEnd w:id="179"/>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bookmarkStart w:id="180" w:name="_Toc200513166"/>
      <w:r>
        <w:rPr>
          <w:rFonts w:hint="eastAsia" w:ascii="宋体" w:hAnsi="宋体" w:cs="宋体"/>
          <w:snapToGrid w:val="0"/>
          <w:color w:val="auto"/>
          <w:kern w:val="0"/>
          <w:highlight w:val="none"/>
        </w:rPr>
        <w:t>除比选申请人须知前附表规定评审小组直接确定中选人外，比选人依据评审小组推荐的中选候选人确定中选人，评审小组推荐中选候选人的人数见比选申请人须知前附表。</w:t>
      </w:r>
    </w:p>
    <w:p>
      <w:pPr>
        <w:autoSpaceDE w:val="0"/>
        <w:autoSpaceDN w:val="0"/>
        <w:adjustRightInd w:val="0"/>
        <w:spacing w:before="64" w:line="440" w:lineRule="exact"/>
        <w:ind w:left="120" w:right="-10"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7.1.1 排名第一的中选候选人在中选公示后无异议的即为中选人。比选人不得在中选候选人之外确定中选人。评审小组推荐中选候选人的人数见比选申请人须知前附表。</w:t>
      </w:r>
    </w:p>
    <w:p>
      <w:pPr>
        <w:autoSpaceDE w:val="0"/>
        <w:autoSpaceDN w:val="0"/>
        <w:adjustRightInd w:val="0"/>
        <w:spacing w:before="64" w:line="440" w:lineRule="exact"/>
        <w:ind w:left="120" w:right="-10"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7.1.2 排名第一的中选候选人放弃中选、因不可抗力提出不能履行合同，或者比选文件规定应当提交履约担保金而在规定的期限内未能提交的或者在比选文件规定时间内中选人不与比选人</w:t>
      </w:r>
      <w:r>
        <w:rPr>
          <w:rFonts w:hint="eastAsia" w:ascii="宋体" w:hAnsi="宋体" w:cs="宋体"/>
          <w:snapToGrid w:val="0"/>
          <w:color w:val="auto"/>
          <w:kern w:val="0"/>
          <w:highlight w:val="none"/>
          <w:lang w:eastAsia="zh-CN"/>
        </w:rPr>
        <w:t>签订</w:t>
      </w:r>
      <w:bookmarkStart w:id="1371" w:name="_GoBack"/>
      <w:bookmarkEnd w:id="1371"/>
      <w:r>
        <w:rPr>
          <w:rFonts w:hint="eastAsia" w:ascii="宋体" w:hAnsi="宋体" w:cs="宋体"/>
          <w:snapToGrid w:val="0"/>
          <w:color w:val="auto"/>
          <w:kern w:val="0"/>
          <w:highlight w:val="none"/>
        </w:rPr>
        <w:t>合同的，比选人可以确定在中选公示后无异议的排名第二的中选候选人为中选人。</w:t>
      </w:r>
    </w:p>
    <w:p>
      <w:pPr>
        <w:autoSpaceDE w:val="0"/>
        <w:autoSpaceDN w:val="0"/>
        <w:adjustRightInd w:val="0"/>
        <w:spacing w:before="64" w:line="440" w:lineRule="exact"/>
        <w:ind w:left="120" w:right="-10"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7.1.3 排名第二的中选候选人因前款规定的同样原因不能签订合同的，比选人可以确定在中选公示后无异议的排名第三的中选候选人为中选人。排名第三的中选候选人因前款规定的同样原因不能签订合同的，比选人应当依法重新组织比选。</w:t>
      </w:r>
    </w:p>
    <w:p>
      <w:pPr>
        <w:autoSpaceDE w:val="0"/>
        <w:autoSpaceDN w:val="0"/>
        <w:adjustRightInd w:val="0"/>
        <w:spacing w:before="64" w:line="440" w:lineRule="exact"/>
        <w:ind w:left="120" w:right="-10"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7.1.4 除不可抗力外，中选人放弃中选项目的，取消其一至二年的比选人项目的参与比选资格并没收比选保证金；因比选人重新比选或另行选择中选人导致中选价的增加，其增加部分由中选人依法承担赔偿责任。</w:t>
      </w:r>
    </w:p>
    <w:p>
      <w:pPr>
        <w:pStyle w:val="5"/>
        <w:snapToGrid w:val="0"/>
        <w:spacing w:line="440" w:lineRule="exact"/>
        <w:rPr>
          <w:rFonts w:ascii="宋体" w:hAnsi="宋体" w:eastAsia="宋体" w:cs="宋体"/>
          <w:snapToGrid w:val="0"/>
          <w:color w:val="auto"/>
          <w:highlight w:val="none"/>
        </w:rPr>
      </w:pPr>
      <w:bookmarkStart w:id="181" w:name="_Toc431287084"/>
      <w:bookmarkStart w:id="182" w:name="_Toc11166851"/>
      <w:r>
        <w:rPr>
          <w:rFonts w:hint="eastAsia" w:ascii="宋体" w:hAnsi="宋体" w:eastAsia="宋体" w:cs="宋体"/>
          <w:snapToGrid w:val="0"/>
          <w:color w:val="auto"/>
          <w:highlight w:val="none"/>
        </w:rPr>
        <w:t>7.2  中选公示及中选通知</w:t>
      </w:r>
      <w:bookmarkEnd w:id="180"/>
      <w:bookmarkEnd w:id="181"/>
      <w:bookmarkEnd w:id="182"/>
    </w:p>
    <w:p>
      <w:pPr>
        <w:pStyle w:val="23"/>
        <w:autoSpaceDE w:val="0"/>
        <w:autoSpaceDN w:val="0"/>
        <w:spacing w:line="440" w:lineRule="exact"/>
        <w:ind w:firstLine="453" w:firstLineChars="216"/>
        <w:rPr>
          <w:rFonts w:ascii="宋体" w:hAnsi="宋体" w:cs="宋体"/>
          <w:snapToGrid w:val="0"/>
          <w:color w:val="auto"/>
          <w:sz w:val="21"/>
          <w:highlight w:val="none"/>
        </w:rPr>
      </w:pPr>
      <w:bookmarkStart w:id="183" w:name="_Toc235966566"/>
      <w:bookmarkStart w:id="184" w:name="_Toc431287085"/>
      <w:bookmarkStart w:id="185" w:name="_Toc11166852"/>
      <w:bookmarkStart w:id="186" w:name="_Toc200513168"/>
      <w:r>
        <w:rPr>
          <w:rFonts w:hint="eastAsia" w:ascii="宋体" w:hAnsi="宋体" w:cs="宋体"/>
          <w:snapToGrid w:val="0"/>
          <w:color w:val="auto"/>
          <w:sz w:val="21"/>
          <w:highlight w:val="none"/>
        </w:rPr>
        <w:t>比选人在收到评审报告之日起3日内公示中选候选人，公示期 1 日。</w:t>
      </w:r>
    </w:p>
    <w:p>
      <w:pPr>
        <w:pStyle w:val="23"/>
        <w:autoSpaceDE w:val="0"/>
        <w:autoSpaceDN w:val="0"/>
        <w:spacing w:line="440" w:lineRule="exact"/>
        <w:ind w:firstLine="453" w:firstLineChars="216"/>
        <w:rPr>
          <w:rFonts w:ascii="宋体" w:hAnsi="宋体" w:cs="宋体"/>
          <w:snapToGrid w:val="0"/>
          <w:color w:val="auto"/>
          <w:sz w:val="21"/>
          <w:highlight w:val="none"/>
        </w:rPr>
      </w:pPr>
      <w:r>
        <w:rPr>
          <w:rFonts w:hint="eastAsia" w:ascii="宋体" w:hAnsi="宋体" w:cs="宋体"/>
          <w:snapToGrid w:val="0"/>
          <w:color w:val="auto"/>
          <w:sz w:val="21"/>
          <w:highlight w:val="none"/>
        </w:rPr>
        <w:t>在本章第 3.3 款规定的比选有效期内，且未有比选申请人的异议与投诉，比选人以书面形式向中选人发出中选通知书。</w:t>
      </w:r>
    </w:p>
    <w:p>
      <w:pPr>
        <w:pStyle w:val="5"/>
        <w:snapToGrid w:val="0"/>
        <w:spacing w:line="440" w:lineRule="exact"/>
        <w:rPr>
          <w:rFonts w:ascii="宋体" w:hAnsi="宋体" w:eastAsia="宋体" w:cs="宋体"/>
          <w:snapToGrid w:val="0"/>
          <w:color w:val="auto"/>
          <w:highlight w:val="none"/>
        </w:rPr>
      </w:pPr>
      <w:r>
        <w:rPr>
          <w:rFonts w:hint="eastAsia" w:ascii="宋体" w:hAnsi="宋体" w:eastAsia="宋体" w:cs="宋体"/>
          <w:snapToGrid w:val="0"/>
          <w:color w:val="auto"/>
          <w:highlight w:val="none"/>
        </w:rPr>
        <w:t xml:space="preserve">7.3  </w:t>
      </w:r>
      <w:bookmarkEnd w:id="183"/>
      <w:r>
        <w:rPr>
          <w:rFonts w:hint="eastAsia" w:ascii="宋体" w:hAnsi="宋体" w:eastAsia="宋体" w:cs="宋体"/>
          <w:snapToGrid w:val="0"/>
          <w:color w:val="auto"/>
          <w:highlight w:val="none"/>
        </w:rPr>
        <w:t>履约担保</w:t>
      </w:r>
      <w:bookmarkEnd w:id="184"/>
      <w:bookmarkEnd w:id="185"/>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7.3.1 在签订合同前，中选人应按比选申请人须知前附表规定的金额、担保形式和比选文件第四章“合同条款及格式”规定的履约担保格式向比选人提交履约担保。并应符合比选申请人须知前附表规定的金额、担保形式和比选文件第四章“合同条款及格式”规定的履约担保格式要求。</w:t>
      </w:r>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7.3.2 中选人不能按本章第 7.3.1 项要求提交履约担保的，视为放弃中选，其比选保证金不予退还，给比选人造成的损失超过比选保证金数额的，中选人还应当对超过部分予以赔偿。</w:t>
      </w:r>
    </w:p>
    <w:p>
      <w:pPr>
        <w:pStyle w:val="5"/>
        <w:snapToGrid w:val="0"/>
        <w:spacing w:line="440" w:lineRule="exact"/>
        <w:rPr>
          <w:rFonts w:ascii="宋体" w:hAnsi="宋体" w:eastAsia="宋体" w:cs="宋体"/>
          <w:snapToGrid w:val="0"/>
          <w:color w:val="auto"/>
          <w:highlight w:val="none"/>
        </w:rPr>
      </w:pPr>
      <w:bookmarkStart w:id="187" w:name="_Toc431287086"/>
      <w:bookmarkStart w:id="188" w:name="_Toc11166853"/>
      <w:r>
        <w:rPr>
          <w:rFonts w:hint="eastAsia" w:ascii="宋体" w:hAnsi="宋体" w:eastAsia="宋体" w:cs="宋体"/>
          <w:snapToGrid w:val="0"/>
          <w:color w:val="auto"/>
          <w:highlight w:val="none"/>
        </w:rPr>
        <w:t>7.4  签订合同</w:t>
      </w:r>
      <w:bookmarkEnd w:id="186"/>
      <w:bookmarkEnd w:id="187"/>
      <w:bookmarkEnd w:id="188"/>
    </w:p>
    <w:p>
      <w:pPr>
        <w:autoSpaceDE w:val="0"/>
        <w:autoSpaceDN w:val="0"/>
        <w:adjustRightInd w:val="0"/>
        <w:snapToGrid w:val="0"/>
        <w:spacing w:line="440" w:lineRule="exact"/>
        <w:ind w:firstLine="315" w:firstLineChars="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7.4.1 中选人应当在领取中选通知书5天内，根据比选文件要求和中选人的比选申请文件与比选人订立书面合同。中选人无正当理由拒签合同的，比选人取消其中选资格，其比选保证金不予退还；给比选人造成的损失超过比选保证金数额的，中选人还应当对超过部分予以赔偿。</w:t>
      </w:r>
    </w:p>
    <w:p>
      <w:pPr>
        <w:autoSpaceDE w:val="0"/>
        <w:autoSpaceDN w:val="0"/>
        <w:adjustRightInd w:val="0"/>
        <w:snapToGrid w:val="0"/>
        <w:spacing w:line="440" w:lineRule="exact"/>
        <w:ind w:firstLine="315" w:firstLineChars="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7.4.2 发出中选通知书后，比选人无正当理由拒签合同的，比选人向中选人退还比选保证金；给中选人造成损失的，还应当赔偿损失。</w:t>
      </w:r>
    </w:p>
    <w:p>
      <w:pPr>
        <w:pStyle w:val="4"/>
        <w:spacing w:line="440" w:lineRule="exact"/>
        <w:rPr>
          <w:rFonts w:ascii="宋体" w:hAnsi="宋体" w:eastAsia="宋体" w:cs="宋体"/>
          <w:snapToGrid w:val="0"/>
          <w:color w:val="auto"/>
          <w:spacing w:val="0"/>
          <w:w w:val="100"/>
          <w:highlight w:val="none"/>
        </w:rPr>
      </w:pPr>
      <w:bookmarkStart w:id="189" w:name="_Toc11166854"/>
      <w:bookmarkStart w:id="190" w:name="_Toc18115"/>
      <w:bookmarkStart w:id="191" w:name="_Toc27502"/>
      <w:bookmarkStart w:id="192" w:name="_Toc200513169"/>
      <w:bookmarkStart w:id="193" w:name="_Toc431287087"/>
      <w:r>
        <w:rPr>
          <w:rFonts w:hint="eastAsia" w:ascii="宋体" w:hAnsi="宋体" w:eastAsia="宋体" w:cs="宋体"/>
          <w:snapToGrid w:val="0"/>
          <w:color w:val="auto"/>
          <w:spacing w:val="0"/>
          <w:w w:val="100"/>
          <w:highlight w:val="none"/>
        </w:rPr>
        <w:t>8.  重新比选和不再</w:t>
      </w:r>
      <w:bookmarkEnd w:id="189"/>
      <w:bookmarkEnd w:id="190"/>
      <w:bookmarkEnd w:id="191"/>
      <w:bookmarkEnd w:id="192"/>
      <w:bookmarkEnd w:id="193"/>
      <w:r>
        <w:rPr>
          <w:rFonts w:hint="eastAsia" w:ascii="宋体" w:hAnsi="宋体" w:eastAsia="宋体" w:cs="宋体"/>
          <w:snapToGrid w:val="0"/>
          <w:color w:val="auto"/>
          <w:spacing w:val="0"/>
          <w:w w:val="100"/>
          <w:highlight w:val="none"/>
        </w:rPr>
        <w:t>比选</w:t>
      </w:r>
    </w:p>
    <w:p>
      <w:pPr>
        <w:pStyle w:val="5"/>
        <w:snapToGrid w:val="0"/>
        <w:spacing w:line="440" w:lineRule="exact"/>
        <w:rPr>
          <w:rFonts w:ascii="宋体" w:hAnsi="宋体" w:eastAsia="宋体" w:cs="宋体"/>
          <w:snapToGrid w:val="0"/>
          <w:color w:val="auto"/>
          <w:highlight w:val="none"/>
        </w:rPr>
      </w:pPr>
      <w:bookmarkStart w:id="194" w:name="_Toc11166855"/>
      <w:bookmarkStart w:id="195" w:name="_Toc431287088"/>
      <w:bookmarkStart w:id="196" w:name="_Toc200513170"/>
      <w:r>
        <w:rPr>
          <w:rFonts w:hint="eastAsia" w:ascii="宋体" w:hAnsi="宋体" w:eastAsia="宋体" w:cs="宋体"/>
          <w:snapToGrid w:val="0"/>
          <w:color w:val="auto"/>
          <w:highlight w:val="none"/>
        </w:rPr>
        <w:t xml:space="preserve">8.1  </w:t>
      </w:r>
      <w:bookmarkEnd w:id="194"/>
      <w:bookmarkEnd w:id="195"/>
      <w:bookmarkEnd w:id="196"/>
      <w:r>
        <w:rPr>
          <w:rFonts w:hint="eastAsia" w:ascii="宋体" w:hAnsi="宋体" w:eastAsia="宋体" w:cs="宋体"/>
          <w:snapToGrid w:val="0"/>
          <w:color w:val="auto"/>
          <w:highlight w:val="none"/>
        </w:rPr>
        <w:t>重新比选</w:t>
      </w:r>
    </w:p>
    <w:p>
      <w:pPr>
        <w:autoSpaceDE w:val="0"/>
        <w:autoSpaceDN w:val="0"/>
        <w:adjustRightInd w:val="0"/>
        <w:snapToGrid w:val="0"/>
        <w:spacing w:line="440" w:lineRule="exact"/>
        <w:ind w:firstLine="315" w:firstLineChars="150"/>
        <w:rPr>
          <w:rFonts w:ascii="宋体" w:hAnsi="宋体" w:cs="宋体"/>
          <w:snapToGrid w:val="0"/>
          <w:color w:val="auto"/>
          <w:kern w:val="0"/>
          <w:szCs w:val="21"/>
          <w:highlight w:val="none"/>
        </w:rPr>
      </w:pPr>
      <w:bookmarkStart w:id="197" w:name="_Toc11166856"/>
      <w:bookmarkStart w:id="198" w:name="_Toc200513171"/>
      <w:bookmarkStart w:id="199" w:name="_Toc431287089"/>
      <w:r>
        <w:rPr>
          <w:rFonts w:hint="eastAsia" w:ascii="宋体" w:hAnsi="宋体" w:cs="宋体"/>
          <w:snapToGrid w:val="0"/>
          <w:color w:val="auto"/>
          <w:kern w:val="0"/>
          <w:szCs w:val="21"/>
          <w:highlight w:val="none"/>
        </w:rPr>
        <w:t xml:space="preserve"> 有下列情形之一的，比选人将重新比选：</w:t>
      </w:r>
    </w:p>
    <w:p>
      <w:pPr>
        <w:autoSpaceDE w:val="0"/>
        <w:autoSpaceDN w:val="0"/>
        <w:adjustRightInd w:val="0"/>
        <w:snapToGrid w:val="0"/>
        <w:spacing w:line="440" w:lineRule="exact"/>
        <w:ind w:firstLine="315" w:firstLineChars="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（1）比选截止时间止，比选申请人少于 3 个的；</w:t>
      </w:r>
    </w:p>
    <w:p>
      <w:pPr>
        <w:autoSpaceDE w:val="0"/>
        <w:autoSpaceDN w:val="0"/>
        <w:adjustRightInd w:val="0"/>
        <w:snapToGrid w:val="0"/>
        <w:spacing w:line="440" w:lineRule="exact"/>
        <w:ind w:firstLine="315" w:firstLineChars="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（2）经评审小组评审后否决所有比选申请人的；</w:t>
      </w:r>
    </w:p>
    <w:p>
      <w:pPr>
        <w:autoSpaceDE w:val="0"/>
        <w:autoSpaceDN w:val="0"/>
        <w:adjustRightInd w:val="0"/>
        <w:snapToGrid w:val="0"/>
        <w:spacing w:line="440" w:lineRule="exact"/>
        <w:ind w:firstLine="315" w:firstLineChars="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经评审小组评审后部分比选申请人被否决，导致有效比选申请人不足三个的，评审小组应当否决所有比选。但是有效比选申请人的经济、技术等指标仍然具有市场竞争力，能够满足比选文件要求的，评审小组可以继续评审并确定中选候选人；</w:t>
      </w:r>
    </w:p>
    <w:p>
      <w:pPr>
        <w:autoSpaceDE w:val="0"/>
        <w:autoSpaceDN w:val="0"/>
        <w:adjustRightInd w:val="0"/>
        <w:snapToGrid w:val="0"/>
        <w:spacing w:line="440" w:lineRule="exact"/>
        <w:ind w:firstLine="315" w:firstLineChars="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（4）法律法规规定的其他情形。</w:t>
      </w:r>
    </w:p>
    <w:p>
      <w:pPr>
        <w:pStyle w:val="5"/>
        <w:snapToGrid w:val="0"/>
        <w:spacing w:line="440" w:lineRule="exact"/>
        <w:rPr>
          <w:rFonts w:ascii="宋体" w:hAnsi="宋体" w:eastAsia="宋体" w:cs="宋体"/>
          <w:snapToGrid w:val="0"/>
          <w:color w:val="auto"/>
          <w:highlight w:val="none"/>
        </w:rPr>
      </w:pPr>
      <w:r>
        <w:rPr>
          <w:rFonts w:hint="eastAsia" w:ascii="宋体" w:hAnsi="宋体" w:eastAsia="宋体" w:cs="宋体"/>
          <w:snapToGrid w:val="0"/>
          <w:color w:val="auto"/>
          <w:highlight w:val="none"/>
        </w:rPr>
        <w:t>8.2  二次比选和不再</w:t>
      </w:r>
      <w:bookmarkEnd w:id="197"/>
      <w:bookmarkEnd w:id="198"/>
      <w:bookmarkEnd w:id="199"/>
      <w:r>
        <w:rPr>
          <w:rFonts w:hint="eastAsia" w:ascii="宋体" w:hAnsi="宋体" w:eastAsia="宋体" w:cs="宋体"/>
          <w:snapToGrid w:val="0"/>
          <w:color w:val="auto"/>
          <w:highlight w:val="none"/>
        </w:rPr>
        <w:t>比选</w:t>
      </w:r>
    </w:p>
    <w:p>
      <w:pPr>
        <w:snapToGrid w:val="0"/>
        <w:spacing w:line="440" w:lineRule="exact"/>
        <w:ind w:firstLine="365" w:firstLineChars="174"/>
        <w:rPr>
          <w:rFonts w:ascii="宋体" w:hAnsi="宋体" w:cs="宋体"/>
          <w:color w:val="auto"/>
          <w:kern w:val="0"/>
          <w:szCs w:val="21"/>
          <w:highlight w:val="none"/>
        </w:rPr>
      </w:pPr>
      <w:bookmarkStart w:id="200" w:name="_Toc200513172"/>
      <w:r>
        <w:rPr>
          <w:rFonts w:hint="eastAsia" w:ascii="宋体" w:hAnsi="宋体" w:cs="宋体"/>
          <w:color w:val="auto"/>
          <w:kern w:val="0"/>
          <w:szCs w:val="21"/>
          <w:highlight w:val="none"/>
        </w:rPr>
        <w:t>重新比选后比选申请人仍少于3个，按法定程序开标和评审，确定中选人。经评审无合格比选申请人，属于必须审批或核准的工程建设项目，经原审批或核准部门批准后不再进行比选。</w:t>
      </w:r>
    </w:p>
    <w:p>
      <w:pPr>
        <w:pStyle w:val="4"/>
        <w:spacing w:line="440" w:lineRule="exact"/>
        <w:rPr>
          <w:rFonts w:ascii="宋体" w:hAnsi="宋体" w:eastAsia="宋体" w:cs="宋体"/>
          <w:snapToGrid w:val="0"/>
          <w:color w:val="auto"/>
          <w:spacing w:val="0"/>
          <w:w w:val="100"/>
          <w:highlight w:val="none"/>
        </w:rPr>
      </w:pPr>
      <w:bookmarkStart w:id="201" w:name="_Toc431287090"/>
      <w:bookmarkStart w:id="202" w:name="_Toc11166857"/>
      <w:bookmarkStart w:id="203" w:name="_Toc23830"/>
      <w:bookmarkStart w:id="204" w:name="_Toc28197"/>
      <w:r>
        <w:rPr>
          <w:rFonts w:hint="eastAsia" w:ascii="宋体" w:hAnsi="宋体" w:eastAsia="宋体" w:cs="宋体"/>
          <w:snapToGrid w:val="0"/>
          <w:color w:val="auto"/>
          <w:spacing w:val="0"/>
          <w:w w:val="100"/>
          <w:highlight w:val="none"/>
        </w:rPr>
        <w:t>9.  纪律和监督</w:t>
      </w:r>
      <w:bookmarkEnd w:id="200"/>
      <w:bookmarkEnd w:id="201"/>
      <w:bookmarkEnd w:id="202"/>
      <w:bookmarkEnd w:id="203"/>
      <w:bookmarkEnd w:id="204"/>
    </w:p>
    <w:p>
      <w:pPr>
        <w:pStyle w:val="5"/>
        <w:snapToGrid w:val="0"/>
        <w:spacing w:line="440" w:lineRule="exact"/>
        <w:rPr>
          <w:rFonts w:ascii="宋体" w:hAnsi="宋体" w:eastAsia="宋体" w:cs="宋体"/>
          <w:snapToGrid w:val="0"/>
          <w:color w:val="auto"/>
          <w:highlight w:val="none"/>
        </w:rPr>
      </w:pPr>
      <w:bookmarkStart w:id="205" w:name="_Toc11166858"/>
      <w:bookmarkStart w:id="206" w:name="_Toc200513173"/>
      <w:bookmarkStart w:id="207" w:name="_Toc431287091"/>
      <w:r>
        <w:rPr>
          <w:rFonts w:hint="eastAsia" w:ascii="宋体" w:hAnsi="宋体" w:eastAsia="宋体" w:cs="宋体"/>
          <w:snapToGrid w:val="0"/>
          <w:color w:val="auto"/>
          <w:highlight w:val="none"/>
        </w:rPr>
        <w:t>9.1  对比选人的纪律要求</w:t>
      </w:r>
      <w:bookmarkEnd w:id="205"/>
      <w:bookmarkEnd w:id="206"/>
      <w:bookmarkEnd w:id="207"/>
    </w:p>
    <w:p>
      <w:pPr>
        <w:snapToGrid w:val="0"/>
        <w:spacing w:line="440" w:lineRule="exact"/>
        <w:ind w:firstLine="365" w:firstLineChars="174"/>
        <w:rPr>
          <w:rFonts w:ascii="宋体" w:hAnsi="宋体" w:cs="宋体"/>
          <w:color w:val="auto"/>
          <w:kern w:val="0"/>
          <w:szCs w:val="21"/>
          <w:highlight w:val="none"/>
        </w:rPr>
      </w:pPr>
      <w:bookmarkStart w:id="208" w:name="_Toc200513174"/>
      <w:r>
        <w:rPr>
          <w:rFonts w:hint="eastAsia" w:ascii="宋体" w:hAnsi="宋体" w:cs="宋体"/>
          <w:color w:val="auto"/>
          <w:kern w:val="0"/>
          <w:szCs w:val="21"/>
          <w:highlight w:val="none"/>
        </w:rPr>
        <w:t>比选人不得泄漏招标投标活动中应当保密的情况和资料，不得与比选申请人串通损害国家利益、社会公共利益或者他人合法权益，禁止比选人与比选申请人串通参与比选。</w:t>
      </w:r>
    </w:p>
    <w:p>
      <w:pPr>
        <w:snapToGrid w:val="0"/>
        <w:spacing w:line="440" w:lineRule="exact"/>
        <w:ind w:firstLine="365" w:firstLineChars="174"/>
        <w:rPr>
          <w:rFonts w:ascii="宋体" w:hAnsi="宋体" w:cs="宋体"/>
          <w:color w:val="auto"/>
          <w:kern w:val="0"/>
          <w:szCs w:val="21"/>
          <w:highlight w:val="none"/>
        </w:rPr>
      </w:pPr>
      <w:r>
        <w:rPr>
          <w:rFonts w:hint="eastAsia" w:ascii="宋体" w:hAnsi="宋体" w:cs="宋体"/>
          <w:color w:val="auto"/>
          <w:kern w:val="0"/>
          <w:szCs w:val="21"/>
          <w:highlight w:val="none"/>
        </w:rPr>
        <w:t>     有下列情形之一的，属于比选人与比选申请人串通参与比选：</w:t>
      </w:r>
    </w:p>
    <w:p>
      <w:pPr>
        <w:snapToGrid w:val="0"/>
        <w:spacing w:line="440" w:lineRule="exact"/>
        <w:ind w:firstLine="365" w:firstLineChars="174"/>
        <w:rPr>
          <w:rFonts w:ascii="宋体" w:hAnsi="宋体" w:cs="宋体"/>
          <w:color w:val="auto"/>
          <w:kern w:val="0"/>
          <w:szCs w:val="21"/>
          <w:highlight w:val="none"/>
        </w:rPr>
      </w:pPr>
      <w:r>
        <w:rPr>
          <w:rFonts w:hint="eastAsia" w:ascii="宋体" w:hAnsi="宋体" w:cs="宋体"/>
          <w:color w:val="auto"/>
          <w:kern w:val="0"/>
          <w:szCs w:val="21"/>
          <w:highlight w:val="none"/>
        </w:rPr>
        <w:t>    （1）比选人在开标前开启比选申请文件并将有关信息泄露给其他比选申请人;</w:t>
      </w:r>
    </w:p>
    <w:p>
      <w:pPr>
        <w:snapToGrid w:val="0"/>
        <w:spacing w:line="440" w:lineRule="exact"/>
        <w:ind w:firstLine="365" w:firstLineChars="174"/>
        <w:rPr>
          <w:rFonts w:ascii="宋体" w:hAnsi="宋体" w:cs="宋体"/>
          <w:color w:val="auto"/>
          <w:kern w:val="0"/>
          <w:szCs w:val="21"/>
          <w:highlight w:val="none"/>
        </w:rPr>
      </w:pPr>
      <w:r>
        <w:rPr>
          <w:rFonts w:hint="eastAsia" w:ascii="宋体" w:hAnsi="宋体" w:cs="宋体"/>
          <w:color w:val="auto"/>
          <w:kern w:val="0"/>
          <w:szCs w:val="21"/>
          <w:highlight w:val="none"/>
        </w:rPr>
        <w:t>    （2）比选人直接或者间接向比选申请人泄露标底、评审小组成员等信息；</w:t>
      </w:r>
    </w:p>
    <w:p>
      <w:pPr>
        <w:snapToGrid w:val="0"/>
        <w:spacing w:line="440" w:lineRule="exact"/>
        <w:ind w:firstLine="365" w:firstLineChars="174"/>
        <w:rPr>
          <w:rFonts w:ascii="宋体" w:hAnsi="宋体" w:cs="宋体"/>
          <w:color w:val="auto"/>
          <w:kern w:val="0"/>
          <w:szCs w:val="21"/>
          <w:highlight w:val="none"/>
        </w:rPr>
      </w:pPr>
      <w:r>
        <w:rPr>
          <w:rFonts w:hint="eastAsia" w:ascii="宋体" w:hAnsi="宋体" w:cs="宋体"/>
          <w:color w:val="auto"/>
          <w:kern w:val="0"/>
          <w:szCs w:val="21"/>
          <w:highlight w:val="none"/>
        </w:rPr>
        <w:t>    （3）比选人明示或者暗示比选申请人压低或者抬高比选报价；</w:t>
      </w:r>
    </w:p>
    <w:p>
      <w:pPr>
        <w:snapToGrid w:val="0"/>
        <w:spacing w:line="440" w:lineRule="exact"/>
        <w:ind w:firstLine="365" w:firstLineChars="174"/>
        <w:rPr>
          <w:rFonts w:ascii="宋体" w:hAnsi="宋体" w:cs="宋体"/>
          <w:color w:val="auto"/>
          <w:kern w:val="0"/>
          <w:szCs w:val="21"/>
          <w:highlight w:val="none"/>
        </w:rPr>
      </w:pPr>
      <w:r>
        <w:rPr>
          <w:rFonts w:hint="eastAsia" w:ascii="宋体" w:hAnsi="宋体" w:cs="宋体"/>
          <w:color w:val="auto"/>
          <w:kern w:val="0"/>
          <w:szCs w:val="21"/>
          <w:highlight w:val="none"/>
        </w:rPr>
        <w:t>    （4）比选人授意比选申请人撤换、修改比选申请文件；</w:t>
      </w:r>
    </w:p>
    <w:p>
      <w:pPr>
        <w:snapToGrid w:val="0"/>
        <w:spacing w:line="440" w:lineRule="exact"/>
        <w:ind w:firstLine="365" w:firstLineChars="174"/>
        <w:rPr>
          <w:rFonts w:ascii="宋体" w:hAnsi="宋体" w:cs="宋体"/>
          <w:color w:val="auto"/>
          <w:kern w:val="0"/>
          <w:szCs w:val="21"/>
          <w:highlight w:val="none"/>
        </w:rPr>
      </w:pPr>
      <w:r>
        <w:rPr>
          <w:rFonts w:hint="eastAsia" w:ascii="宋体" w:hAnsi="宋体" w:cs="宋体"/>
          <w:color w:val="auto"/>
          <w:kern w:val="0"/>
          <w:szCs w:val="21"/>
          <w:highlight w:val="none"/>
        </w:rPr>
        <w:t>    （5）比选人明示或者暗示比选申请人为特定比选申请人中选提供方便；</w:t>
      </w:r>
    </w:p>
    <w:p>
      <w:pPr>
        <w:snapToGrid w:val="0"/>
        <w:spacing w:line="440" w:lineRule="exact"/>
        <w:ind w:firstLine="365" w:firstLineChars="174"/>
        <w:rPr>
          <w:rFonts w:ascii="宋体" w:hAnsi="宋体" w:cs="宋体"/>
          <w:color w:val="auto"/>
          <w:kern w:val="0"/>
          <w:szCs w:val="21"/>
          <w:highlight w:val="none"/>
        </w:rPr>
      </w:pPr>
      <w:r>
        <w:rPr>
          <w:rFonts w:hint="eastAsia" w:ascii="宋体" w:hAnsi="宋体" w:cs="宋体"/>
          <w:color w:val="auto"/>
          <w:kern w:val="0"/>
          <w:szCs w:val="21"/>
          <w:highlight w:val="none"/>
        </w:rPr>
        <w:t>    （6）比选人与比选申请人为谋求特定比选申请人中选而采取的其他串通行为。</w:t>
      </w:r>
    </w:p>
    <w:p>
      <w:pPr>
        <w:pStyle w:val="5"/>
        <w:snapToGrid w:val="0"/>
        <w:spacing w:line="440" w:lineRule="exact"/>
        <w:rPr>
          <w:rFonts w:ascii="宋体" w:hAnsi="宋体" w:eastAsia="宋体" w:cs="宋体"/>
          <w:snapToGrid w:val="0"/>
          <w:color w:val="auto"/>
          <w:highlight w:val="none"/>
        </w:rPr>
      </w:pPr>
      <w:bookmarkStart w:id="209" w:name="_Toc11166859"/>
      <w:bookmarkStart w:id="210" w:name="_Toc431287092"/>
      <w:r>
        <w:rPr>
          <w:rFonts w:hint="eastAsia" w:ascii="宋体" w:hAnsi="宋体" w:eastAsia="宋体" w:cs="宋体"/>
          <w:snapToGrid w:val="0"/>
          <w:color w:val="auto"/>
          <w:highlight w:val="none"/>
        </w:rPr>
        <w:t>9.2  对比选申请人的纪律要求</w:t>
      </w:r>
      <w:bookmarkEnd w:id="208"/>
      <w:bookmarkEnd w:id="209"/>
      <w:bookmarkEnd w:id="210"/>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bookmarkStart w:id="211" w:name="_Toc200513175"/>
      <w:r>
        <w:rPr>
          <w:rFonts w:hint="eastAsia" w:ascii="宋体" w:hAnsi="宋体" w:cs="宋体"/>
          <w:color w:val="auto"/>
          <w:kern w:val="0"/>
          <w:szCs w:val="21"/>
          <w:highlight w:val="none"/>
        </w:rPr>
        <w:t>比选申请人不得相互串通参与比选或者与比选人串通参与比选，不得向比选人或者评审小组成员行贿谋取中选，不得以他人名义参与比选或者以其他方式弄虚作假骗取中选；比选申请人不得以任何方式干扰、影响评审工作。</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9.2.1 有下列情形之一的，属于比选申请人相互串通参与比选：</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（1）比选申请人之间协商比选报价等比选申请文件的实质性内容；</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（2）比选申请人之间约定中选人；</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（3）比选申请人之间约定部分比选申请人放弃参与比选或者中选；</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（4）属于同一集团、协会、商会等组织成员的比选申请人按照该组织要求协同参与比选；</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（5）比选申请人之间为谋取中选或者排斥特定比选申请人而采取的其他联合行动。</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9.2.2 有下列情形之一的，视为比选申请人相互串通参与比选：</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（1）不同比选申请人的比选申请文件由同一单位或者个人编制；</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（2）不同比选申请人委托同一单位或者个人办理投标事宜；</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（3）不同比选申请人的比选申请文件载明的项目管理成员为同一人；</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（4）不同比选申请人的比选申请文件异常一致或者比选报价呈规律性差异；</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（5）不同比选申请人的比选申请文件相互混装；</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（6）不同比选申请人的比选保证金从同一单位或者个人的账户转出。</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9.2.3使用通过受让或者租借等方式获取的资格、资质证书投标的，属于以他人名义投标。</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9.2.4比选申请人有下列情形之一的，属于以其他方式弄虚作假的行为：</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（一）使用伪造、变造的许可证件；</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（二）提供虚假的财务状况或者业绩；</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（三）提供虚假的项目负责人或者主要技术人员简历、劳动关系证明；</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（四）提供虚假的信用状况；</w:t>
      </w:r>
    </w:p>
    <w:p>
      <w:pPr>
        <w:autoSpaceDE w:val="0"/>
        <w:autoSpaceDN w:val="0"/>
        <w:adjustRightInd w:val="0"/>
        <w:snapToGrid w:val="0"/>
        <w:spacing w:line="44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（五）其他弄虚作假的行为。</w:t>
      </w:r>
    </w:p>
    <w:p>
      <w:pPr>
        <w:pStyle w:val="5"/>
        <w:snapToGrid w:val="0"/>
        <w:spacing w:line="440" w:lineRule="exact"/>
        <w:rPr>
          <w:rFonts w:ascii="宋体" w:hAnsi="宋体" w:eastAsia="宋体" w:cs="宋体"/>
          <w:snapToGrid w:val="0"/>
          <w:color w:val="auto"/>
          <w:highlight w:val="none"/>
        </w:rPr>
      </w:pPr>
      <w:bookmarkStart w:id="212" w:name="_Toc11166860"/>
      <w:bookmarkStart w:id="213" w:name="_Toc431287093"/>
      <w:r>
        <w:rPr>
          <w:rFonts w:hint="eastAsia" w:ascii="宋体" w:hAnsi="宋体" w:eastAsia="宋体" w:cs="宋体"/>
          <w:snapToGrid w:val="0"/>
          <w:color w:val="auto"/>
          <w:highlight w:val="none"/>
        </w:rPr>
        <w:t>9.3  对评审小组成员的纪律要求</w:t>
      </w:r>
      <w:bookmarkEnd w:id="211"/>
      <w:bookmarkEnd w:id="212"/>
      <w:bookmarkEnd w:id="213"/>
    </w:p>
    <w:p>
      <w:pPr>
        <w:autoSpaceDE w:val="0"/>
        <w:autoSpaceDN w:val="0"/>
        <w:adjustRightInd w:val="0"/>
        <w:snapToGrid w:val="0"/>
        <w:spacing w:line="440" w:lineRule="exact"/>
        <w:ind w:firstLine="420"/>
        <w:rPr>
          <w:rFonts w:ascii="宋体" w:hAnsi="宋体" w:cs="宋体"/>
          <w:snapToGrid w:val="0"/>
          <w:color w:val="auto"/>
          <w:kern w:val="0"/>
          <w:highlight w:val="none"/>
        </w:rPr>
      </w:pPr>
      <w:r>
        <w:rPr>
          <w:rFonts w:hint="eastAsia" w:ascii="宋体" w:hAnsi="宋体" w:cs="宋体"/>
          <w:snapToGrid w:val="0"/>
          <w:color w:val="auto"/>
          <w:kern w:val="0"/>
          <w:highlight w:val="none"/>
        </w:rPr>
        <w:t>评审小组成员不得收受他人的财物或者其他好处，不得向他人透漏对比选申请文件的评审和比较、中选候选人的推荐情况以及评审有关的其他情况。在评审活动中，评审小组成员不得擅离职守，影响评审程序正常进行，不得使用第三章“评审办法”没有规定的评审因素和标准进行评审。</w:t>
      </w:r>
    </w:p>
    <w:p>
      <w:pPr>
        <w:pStyle w:val="5"/>
        <w:snapToGrid w:val="0"/>
        <w:spacing w:line="440" w:lineRule="exact"/>
        <w:rPr>
          <w:rFonts w:ascii="宋体" w:hAnsi="宋体" w:eastAsia="宋体" w:cs="宋体"/>
          <w:snapToGrid w:val="0"/>
          <w:color w:val="auto"/>
          <w:highlight w:val="none"/>
        </w:rPr>
      </w:pPr>
      <w:bookmarkStart w:id="214" w:name="_Toc200513176"/>
      <w:bookmarkStart w:id="215" w:name="_Toc431287094"/>
      <w:bookmarkStart w:id="216" w:name="_Toc11166861"/>
      <w:r>
        <w:rPr>
          <w:rFonts w:hint="eastAsia" w:ascii="宋体" w:hAnsi="宋体" w:eastAsia="宋体" w:cs="宋体"/>
          <w:snapToGrid w:val="0"/>
          <w:color w:val="auto"/>
          <w:highlight w:val="none"/>
        </w:rPr>
        <w:t>9.4  对与评审活动有关的工作人员的纪律要求</w:t>
      </w:r>
      <w:bookmarkEnd w:id="214"/>
      <w:bookmarkEnd w:id="215"/>
      <w:bookmarkEnd w:id="216"/>
    </w:p>
    <w:p>
      <w:pPr>
        <w:autoSpaceDE w:val="0"/>
        <w:autoSpaceDN w:val="0"/>
        <w:adjustRightInd w:val="0"/>
        <w:snapToGrid w:val="0"/>
        <w:spacing w:line="440" w:lineRule="exact"/>
        <w:ind w:firstLine="420"/>
        <w:rPr>
          <w:rFonts w:ascii="宋体" w:hAnsi="宋体" w:cs="宋体"/>
          <w:snapToGrid w:val="0"/>
          <w:color w:val="auto"/>
          <w:kern w:val="0"/>
          <w:highlight w:val="none"/>
        </w:rPr>
      </w:pPr>
      <w:r>
        <w:rPr>
          <w:rFonts w:hint="eastAsia" w:ascii="宋体" w:hAnsi="宋体" w:cs="宋体"/>
          <w:snapToGrid w:val="0"/>
          <w:color w:val="auto"/>
          <w:kern w:val="0"/>
          <w:highlight w:val="none"/>
        </w:rPr>
        <w:t>与评审活动有关的工作人员不得收受他人的财物或者其他好处，不得向他人透漏对比选申请文件的评审和比较、中选候选人的推荐情况以及评审有关的其他情况。在评审活动中，与评审活动有关的工作人员不得擅离职守，影响评审程序正常进行。</w:t>
      </w:r>
    </w:p>
    <w:p>
      <w:pPr>
        <w:pStyle w:val="5"/>
        <w:snapToGrid w:val="0"/>
        <w:spacing w:line="440" w:lineRule="exact"/>
        <w:rPr>
          <w:rFonts w:ascii="宋体" w:hAnsi="宋体" w:eastAsia="宋体" w:cs="宋体"/>
          <w:snapToGrid w:val="0"/>
          <w:color w:val="auto"/>
          <w:highlight w:val="none"/>
        </w:rPr>
      </w:pPr>
      <w:bookmarkStart w:id="217" w:name="_Toc200513177"/>
      <w:bookmarkStart w:id="218" w:name="_Toc11166862"/>
      <w:bookmarkStart w:id="219" w:name="_Toc431287095"/>
      <w:r>
        <w:rPr>
          <w:rFonts w:hint="eastAsia" w:ascii="宋体" w:hAnsi="宋体" w:eastAsia="宋体" w:cs="宋体"/>
          <w:snapToGrid w:val="0"/>
          <w:color w:val="auto"/>
          <w:highlight w:val="none"/>
        </w:rPr>
        <w:t>9.5  投诉</w:t>
      </w:r>
      <w:bookmarkEnd w:id="217"/>
      <w:bookmarkEnd w:id="218"/>
      <w:bookmarkEnd w:id="219"/>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比选申请人和其他利害关系人认为本次比选活动违反法律、法规和规章规定的，有权向有关行政监督部门投诉。</w:t>
      </w:r>
    </w:p>
    <w:p>
      <w:pPr>
        <w:pStyle w:val="5"/>
        <w:snapToGrid w:val="0"/>
        <w:spacing w:line="440" w:lineRule="exact"/>
        <w:rPr>
          <w:rFonts w:ascii="宋体" w:hAnsi="宋体" w:eastAsia="宋体" w:cs="宋体"/>
          <w:snapToGrid w:val="0"/>
          <w:color w:val="auto"/>
          <w:highlight w:val="none"/>
        </w:rPr>
      </w:pPr>
      <w:bookmarkStart w:id="220" w:name="_Toc200513178"/>
      <w:bookmarkStart w:id="221" w:name="_Toc431287096"/>
      <w:bookmarkStart w:id="222" w:name="_Toc11166863"/>
      <w:r>
        <w:rPr>
          <w:rFonts w:hint="eastAsia" w:ascii="宋体" w:hAnsi="宋体" w:eastAsia="宋体" w:cs="宋体"/>
          <w:snapToGrid w:val="0"/>
          <w:color w:val="auto"/>
          <w:highlight w:val="none"/>
        </w:rPr>
        <w:t>10. 需要补充的其他内容</w:t>
      </w:r>
      <w:bookmarkEnd w:id="220"/>
      <w:bookmarkEnd w:id="221"/>
      <w:bookmarkEnd w:id="222"/>
    </w:p>
    <w:p>
      <w:pPr>
        <w:autoSpaceDE w:val="0"/>
        <w:autoSpaceDN w:val="0"/>
        <w:adjustRightInd w:val="0"/>
        <w:snapToGrid w:val="0"/>
        <w:spacing w:line="44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需要补充的其他内容：见比选申请人须知前附表。</w:t>
      </w:r>
    </w:p>
    <w:p>
      <w:pPr>
        <w:autoSpaceDE w:val="0"/>
        <w:autoSpaceDN w:val="0"/>
        <w:adjustRightInd w:val="0"/>
        <w:snapToGrid w:val="0"/>
        <w:spacing w:line="360" w:lineRule="auto"/>
        <w:jc w:val="left"/>
        <w:rPr>
          <w:rFonts w:ascii="宋体" w:hAnsi="宋体" w:cs="宋体"/>
          <w:b/>
          <w:snapToGrid w:val="0"/>
          <w:color w:val="auto"/>
          <w:kern w:val="0"/>
          <w:sz w:val="24"/>
          <w:highlight w:val="none"/>
        </w:rPr>
      </w:pPr>
      <w:r>
        <w:rPr>
          <w:rFonts w:hint="eastAsia" w:ascii="宋体" w:hAnsi="宋体" w:cs="宋体"/>
          <w:b/>
          <w:color w:val="auto"/>
          <w:kern w:val="0"/>
          <w:highlight w:val="none"/>
        </w:rPr>
        <w:br w:type="page"/>
      </w:r>
    </w:p>
    <w:p>
      <w:pPr>
        <w:pStyle w:val="3"/>
        <w:ind w:left="0" w:firstLine="0"/>
        <w:rPr>
          <w:rFonts w:ascii="宋体" w:hAnsi="宋体" w:eastAsia="宋体" w:cs="宋体"/>
          <w:b/>
          <w:color w:val="auto"/>
          <w:highlight w:val="none"/>
        </w:rPr>
      </w:pPr>
      <w:bookmarkStart w:id="223" w:name="_Toc425755089"/>
      <w:bookmarkStart w:id="224" w:name="_Toc11166864"/>
      <w:bookmarkStart w:id="225" w:name="_Toc20820"/>
      <w:bookmarkStart w:id="226" w:name="_Toc14164"/>
      <w:r>
        <w:rPr>
          <w:rFonts w:hint="eastAsia" w:ascii="宋体" w:hAnsi="宋体" w:eastAsia="宋体" w:cs="宋体"/>
          <w:b/>
          <w:color w:val="auto"/>
          <w:highlight w:val="none"/>
        </w:rPr>
        <w:t>第三章  评审办法</w:t>
      </w:r>
      <w:bookmarkEnd w:id="223"/>
      <w:r>
        <w:rPr>
          <w:rFonts w:hint="eastAsia" w:ascii="宋体" w:hAnsi="宋体" w:eastAsia="宋体" w:cs="宋体"/>
          <w:b/>
          <w:color w:val="auto"/>
          <w:highlight w:val="none"/>
        </w:rPr>
        <w:t>（综合评估法）</w:t>
      </w:r>
      <w:bookmarkEnd w:id="224"/>
      <w:bookmarkEnd w:id="225"/>
      <w:bookmarkEnd w:id="226"/>
    </w:p>
    <w:p>
      <w:pPr>
        <w:pStyle w:val="4"/>
        <w:rPr>
          <w:rFonts w:ascii="宋体" w:hAnsi="宋体" w:eastAsia="宋体" w:cs="宋体"/>
          <w:color w:val="auto"/>
          <w:w w:val="100"/>
          <w:highlight w:val="none"/>
        </w:rPr>
      </w:pPr>
      <w:bookmarkStart w:id="227" w:name="_Toc425755090"/>
      <w:bookmarkStart w:id="228" w:name="_Toc9927"/>
      <w:bookmarkStart w:id="229" w:name="_Toc616"/>
      <w:bookmarkStart w:id="230" w:name="_Toc431287098"/>
      <w:bookmarkStart w:id="231" w:name="_Toc11166865"/>
      <w:r>
        <w:rPr>
          <w:rFonts w:hint="eastAsia" w:ascii="宋体" w:hAnsi="宋体" w:eastAsia="宋体" w:cs="宋体"/>
          <w:color w:val="auto"/>
          <w:w w:val="100"/>
          <w:highlight w:val="none"/>
        </w:rPr>
        <w:t>评审办法前附表</w:t>
      </w:r>
      <w:bookmarkEnd w:id="227"/>
      <w:bookmarkEnd w:id="228"/>
      <w:bookmarkEnd w:id="229"/>
      <w:bookmarkEnd w:id="230"/>
      <w:bookmarkEnd w:id="231"/>
    </w:p>
    <w:tbl>
      <w:tblPr>
        <w:tblStyle w:val="64"/>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078"/>
        <w:gridCol w:w="714"/>
        <w:gridCol w:w="1440"/>
        <w:gridCol w:w="241"/>
        <w:gridCol w:w="1477"/>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72" w:type="dxa"/>
            <w:gridSpan w:val="2"/>
            <w:vAlign w:val="center"/>
          </w:tcPr>
          <w:p>
            <w:pPr>
              <w:spacing w:line="400" w:lineRule="exact"/>
              <w:jc w:val="center"/>
              <w:rPr>
                <w:rFonts w:ascii="宋体" w:hAnsi="宋体" w:cs="宋体"/>
                <w:b/>
                <w:color w:val="auto"/>
                <w:kern w:val="0"/>
                <w:highlight w:val="none"/>
              </w:rPr>
            </w:pPr>
            <w:bookmarkStart w:id="232" w:name="_Toc287620751"/>
            <w:bookmarkStart w:id="233" w:name="_Toc224103384"/>
            <w:bookmarkStart w:id="234" w:name="_Toc287607812"/>
            <w:bookmarkStart w:id="235" w:name="_Toc277082618"/>
            <w:bookmarkStart w:id="236" w:name="_Toc200513198"/>
            <w:bookmarkStart w:id="237" w:name="_Toc330569205"/>
            <w:r>
              <w:rPr>
                <w:rFonts w:hint="eastAsia" w:ascii="宋体" w:hAnsi="宋体" w:cs="宋体"/>
                <w:b/>
                <w:color w:val="auto"/>
                <w:kern w:val="0"/>
                <w:highlight w:val="none"/>
              </w:rPr>
              <w:t>条款号</w:t>
            </w:r>
          </w:p>
        </w:tc>
        <w:tc>
          <w:tcPr>
            <w:tcW w:w="2395" w:type="dxa"/>
            <w:gridSpan w:val="3"/>
            <w:vAlign w:val="center"/>
          </w:tcPr>
          <w:p>
            <w:pPr>
              <w:spacing w:line="400" w:lineRule="exact"/>
              <w:jc w:val="center"/>
              <w:rPr>
                <w:rFonts w:ascii="宋体" w:hAnsi="宋体" w:cs="宋体"/>
                <w:b/>
                <w:color w:val="auto"/>
                <w:kern w:val="0"/>
                <w:highlight w:val="none"/>
              </w:rPr>
            </w:pPr>
            <w:r>
              <w:rPr>
                <w:rFonts w:hint="eastAsia" w:ascii="宋体" w:hAnsi="宋体" w:cs="宋体"/>
                <w:b/>
                <w:color w:val="auto"/>
                <w:kern w:val="0"/>
                <w:highlight w:val="none"/>
              </w:rPr>
              <w:t>评审因素</w:t>
            </w:r>
          </w:p>
        </w:tc>
        <w:tc>
          <w:tcPr>
            <w:tcW w:w="5088" w:type="dxa"/>
            <w:gridSpan w:val="2"/>
            <w:vAlign w:val="center"/>
          </w:tcPr>
          <w:p>
            <w:pPr>
              <w:spacing w:line="400" w:lineRule="exact"/>
              <w:jc w:val="center"/>
              <w:rPr>
                <w:rFonts w:ascii="宋体" w:hAnsi="宋体" w:cs="宋体"/>
                <w:b/>
                <w:color w:val="auto"/>
                <w:kern w:val="0"/>
                <w:highlight w:val="none"/>
              </w:rPr>
            </w:pPr>
            <w:r>
              <w:rPr>
                <w:rFonts w:hint="eastAsia" w:ascii="宋体" w:hAnsi="宋体" w:cs="宋体"/>
                <w:b/>
                <w:color w:val="auto"/>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94" w:type="dxa"/>
            <w:vMerge w:val="restart"/>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2.1.1</w:t>
            </w:r>
          </w:p>
        </w:tc>
        <w:tc>
          <w:tcPr>
            <w:tcW w:w="1078" w:type="dxa"/>
            <w:vMerge w:val="restart"/>
            <w:textDirection w:val="tbRlV"/>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形式评审标准</w:t>
            </w: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比选申请人名称</w:t>
            </w:r>
          </w:p>
        </w:tc>
        <w:tc>
          <w:tcPr>
            <w:tcW w:w="5088" w:type="dxa"/>
            <w:gridSpan w:val="2"/>
            <w:vAlign w:val="center"/>
          </w:tcPr>
          <w:p>
            <w:pPr>
              <w:snapToGrid w:val="0"/>
              <w:spacing w:line="400" w:lineRule="exact"/>
              <w:rPr>
                <w:rFonts w:ascii="宋体" w:hAnsi="宋体" w:cs="宋体"/>
                <w:color w:val="auto"/>
                <w:kern w:val="0"/>
                <w:highlight w:val="none"/>
              </w:rPr>
            </w:pPr>
            <w:r>
              <w:rPr>
                <w:rFonts w:hint="eastAsia" w:ascii="宋体" w:hAnsi="宋体" w:cs="宋体"/>
                <w:color w:val="auto"/>
                <w:kern w:val="0"/>
                <w:highlight w:val="none"/>
              </w:rPr>
              <w:t>与</w:t>
            </w:r>
            <w:r>
              <w:rPr>
                <w:rFonts w:hint="eastAsia" w:ascii="宋体" w:hAnsi="宋体" w:cs="宋体"/>
                <w:color w:val="auto"/>
                <w:kern w:val="0"/>
                <w:szCs w:val="21"/>
                <w:highlight w:val="none"/>
              </w:rPr>
              <w:t>营业执照</w:t>
            </w:r>
            <w:r>
              <w:rPr>
                <w:rFonts w:hint="eastAsia" w:ascii="宋体" w:hAnsi="宋体" w:cs="宋体"/>
                <w:color w:val="auto"/>
                <w:kern w:val="0"/>
                <w:highlight w:val="none"/>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994" w:type="dxa"/>
            <w:vMerge w:val="continue"/>
          </w:tcPr>
          <w:p>
            <w:pPr>
              <w:spacing w:line="400" w:lineRule="exact"/>
              <w:rPr>
                <w:rFonts w:ascii="宋体" w:hAnsi="宋体" w:cs="宋体"/>
                <w:color w:val="auto"/>
                <w:highlight w:val="none"/>
              </w:rPr>
            </w:pPr>
          </w:p>
        </w:tc>
        <w:tc>
          <w:tcPr>
            <w:tcW w:w="1078" w:type="dxa"/>
            <w:vMerge w:val="continue"/>
          </w:tcPr>
          <w:p>
            <w:pPr>
              <w:spacing w:line="400" w:lineRule="exact"/>
              <w:rPr>
                <w:rFonts w:ascii="宋体" w:hAnsi="宋体" w:cs="宋体"/>
                <w:color w:val="auto"/>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比选函签字盖章</w:t>
            </w:r>
          </w:p>
        </w:tc>
        <w:tc>
          <w:tcPr>
            <w:tcW w:w="5088" w:type="dxa"/>
            <w:gridSpan w:val="2"/>
            <w:vAlign w:val="center"/>
          </w:tcPr>
          <w:p>
            <w:pPr>
              <w:snapToGrid w:val="0"/>
              <w:spacing w:line="400" w:lineRule="exact"/>
              <w:rPr>
                <w:rFonts w:ascii="宋体" w:hAnsi="宋体" w:cs="宋体"/>
                <w:color w:val="auto"/>
                <w:kern w:val="0"/>
                <w:highlight w:val="none"/>
              </w:rPr>
            </w:pPr>
            <w:r>
              <w:rPr>
                <w:rFonts w:hint="eastAsia" w:ascii="宋体" w:hAnsi="宋体" w:cs="宋体"/>
                <w:color w:val="auto"/>
                <w:kern w:val="0"/>
                <w:highlight w:val="none"/>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7" w:hRule="atLeast"/>
          <w:jc w:val="center"/>
        </w:trPr>
        <w:tc>
          <w:tcPr>
            <w:tcW w:w="994" w:type="dxa"/>
            <w:vMerge w:val="continue"/>
          </w:tcPr>
          <w:p>
            <w:pPr>
              <w:spacing w:line="400" w:lineRule="exact"/>
              <w:rPr>
                <w:rFonts w:ascii="宋体" w:hAnsi="宋体" w:cs="宋体"/>
                <w:color w:val="auto"/>
                <w:highlight w:val="none"/>
              </w:rPr>
            </w:pPr>
          </w:p>
        </w:tc>
        <w:tc>
          <w:tcPr>
            <w:tcW w:w="1078" w:type="dxa"/>
            <w:vMerge w:val="continue"/>
          </w:tcPr>
          <w:p>
            <w:pPr>
              <w:spacing w:line="400" w:lineRule="exact"/>
              <w:rPr>
                <w:rFonts w:ascii="宋体" w:hAnsi="宋体" w:cs="宋体"/>
                <w:color w:val="auto"/>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比选申请文件格式</w:t>
            </w:r>
          </w:p>
        </w:tc>
        <w:tc>
          <w:tcPr>
            <w:tcW w:w="5088" w:type="dxa"/>
            <w:gridSpan w:val="2"/>
            <w:vAlign w:val="center"/>
          </w:tcPr>
          <w:p>
            <w:pPr>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符合第八章“比选申请文件格式”的要求，字迹清晰可辨。</w:t>
            </w:r>
          </w:p>
          <w:p>
            <w:pPr>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1.比选函附录的所有数据均符合比选文件的规定；</w:t>
            </w:r>
          </w:p>
          <w:p>
            <w:pPr>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2.比选申请文件附表齐全完整，内容均按规定填写；</w:t>
            </w:r>
          </w:p>
          <w:p>
            <w:pPr>
              <w:snapToGrid w:val="0"/>
              <w:spacing w:line="380" w:lineRule="exact"/>
              <w:rPr>
                <w:rFonts w:ascii="宋体" w:hAnsi="宋体" w:cs="宋体"/>
                <w:color w:val="auto"/>
                <w:kern w:val="0"/>
                <w:highlight w:val="none"/>
              </w:rPr>
            </w:pPr>
            <w:r>
              <w:rPr>
                <w:rFonts w:hint="eastAsia" w:ascii="宋体" w:hAnsi="宋体" w:cs="宋体"/>
                <w:color w:val="auto"/>
                <w:kern w:val="0"/>
                <w:szCs w:val="21"/>
                <w:highlight w:val="none"/>
              </w:rPr>
              <w:t>3.</w:t>
            </w:r>
            <w:r>
              <w:rPr>
                <w:rFonts w:hint="eastAsia" w:ascii="宋体" w:hAnsi="宋体" w:cs="宋体"/>
                <w:color w:val="auto"/>
                <w:kern w:val="0"/>
                <w:highlight w:val="none"/>
              </w:rPr>
              <w:t>按规定提供了拟投入的主要人员的证件复印件，证件清晰可辨、有效；</w:t>
            </w:r>
          </w:p>
          <w:p>
            <w:pPr>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4.比选申请文件的编制符合第二章3.7款的规定。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994" w:type="dxa"/>
            <w:vMerge w:val="continue"/>
          </w:tcPr>
          <w:p>
            <w:pPr>
              <w:spacing w:line="400" w:lineRule="exact"/>
              <w:rPr>
                <w:rFonts w:ascii="宋体" w:hAnsi="宋体" w:cs="宋体"/>
                <w:color w:val="auto"/>
                <w:highlight w:val="none"/>
              </w:rPr>
            </w:pPr>
          </w:p>
        </w:tc>
        <w:tc>
          <w:tcPr>
            <w:tcW w:w="1078" w:type="dxa"/>
            <w:vMerge w:val="continue"/>
          </w:tcPr>
          <w:p>
            <w:pPr>
              <w:spacing w:line="400" w:lineRule="exact"/>
              <w:rPr>
                <w:rFonts w:ascii="宋体" w:hAnsi="宋体" w:cs="宋体"/>
                <w:color w:val="auto"/>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报价唯一</w:t>
            </w:r>
          </w:p>
        </w:tc>
        <w:tc>
          <w:tcPr>
            <w:tcW w:w="5088" w:type="dxa"/>
            <w:gridSpan w:val="2"/>
            <w:vAlign w:val="center"/>
          </w:tcPr>
          <w:p>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94" w:type="dxa"/>
            <w:vMerge w:val="continue"/>
          </w:tcPr>
          <w:p>
            <w:pPr>
              <w:spacing w:line="400" w:lineRule="exact"/>
              <w:rPr>
                <w:rFonts w:ascii="宋体" w:hAnsi="宋体" w:cs="宋体"/>
                <w:color w:val="auto"/>
                <w:highlight w:val="none"/>
              </w:rPr>
            </w:pPr>
          </w:p>
        </w:tc>
        <w:tc>
          <w:tcPr>
            <w:tcW w:w="1078" w:type="dxa"/>
            <w:vMerge w:val="continue"/>
          </w:tcPr>
          <w:p>
            <w:pPr>
              <w:spacing w:line="400" w:lineRule="exact"/>
              <w:rPr>
                <w:rFonts w:ascii="宋体" w:hAnsi="宋体" w:cs="宋体"/>
                <w:color w:val="auto"/>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比选申请文件的签署</w:t>
            </w:r>
          </w:p>
        </w:tc>
        <w:tc>
          <w:tcPr>
            <w:tcW w:w="5088" w:type="dxa"/>
            <w:gridSpan w:val="2"/>
            <w:vAlign w:val="center"/>
          </w:tcPr>
          <w:p>
            <w:pPr>
              <w:snapToGrid w:val="0"/>
              <w:spacing w:line="400" w:lineRule="exact"/>
              <w:rPr>
                <w:rFonts w:ascii="宋体" w:hAnsi="宋体" w:cs="宋体"/>
                <w:color w:val="auto"/>
                <w:kern w:val="0"/>
                <w:szCs w:val="21"/>
                <w:highlight w:val="none"/>
              </w:rPr>
            </w:pPr>
            <w:r>
              <w:rPr>
                <w:rFonts w:hint="eastAsia" w:ascii="宋体" w:hAnsi="宋体" w:cs="宋体"/>
                <w:color w:val="auto"/>
                <w:kern w:val="0"/>
                <w:highlight w:val="none"/>
              </w:rPr>
              <w:t>比选申请文件上法定代表人或其授权代理人的签字或盖章齐全。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994" w:type="dxa"/>
            <w:vMerge w:val="continue"/>
          </w:tcPr>
          <w:p>
            <w:pPr>
              <w:spacing w:line="400" w:lineRule="exact"/>
              <w:rPr>
                <w:rFonts w:ascii="宋体" w:hAnsi="宋体" w:cs="宋体"/>
                <w:color w:val="auto"/>
                <w:highlight w:val="none"/>
              </w:rPr>
            </w:pPr>
          </w:p>
        </w:tc>
        <w:tc>
          <w:tcPr>
            <w:tcW w:w="1078" w:type="dxa"/>
            <w:vMerge w:val="continue"/>
          </w:tcPr>
          <w:p>
            <w:pPr>
              <w:spacing w:line="400" w:lineRule="exact"/>
              <w:rPr>
                <w:rFonts w:ascii="宋体" w:hAnsi="宋体" w:cs="宋体"/>
                <w:color w:val="auto"/>
                <w:highlight w:val="none"/>
              </w:rPr>
            </w:pPr>
          </w:p>
        </w:tc>
        <w:tc>
          <w:tcPr>
            <w:tcW w:w="2395" w:type="dxa"/>
            <w:gridSpan w:val="3"/>
            <w:vAlign w:val="center"/>
          </w:tcPr>
          <w:p>
            <w:pPr>
              <w:spacing w:line="441" w:lineRule="exact"/>
              <w:jc w:val="center"/>
              <w:rPr>
                <w:rFonts w:ascii="宋体" w:hAnsi="宋体" w:cs="宋体"/>
                <w:color w:val="auto"/>
                <w:kern w:val="0"/>
                <w:highlight w:val="none"/>
              </w:rPr>
            </w:pPr>
            <w:r>
              <w:rPr>
                <w:rFonts w:hint="eastAsia" w:ascii="宋体" w:hAnsi="宋体" w:cs="宋体"/>
                <w:color w:val="auto"/>
                <w:kern w:val="0"/>
                <w:highlight w:val="none"/>
              </w:rPr>
              <w:t>委托代理人</w:t>
            </w:r>
          </w:p>
        </w:tc>
        <w:tc>
          <w:tcPr>
            <w:tcW w:w="5088" w:type="dxa"/>
            <w:gridSpan w:val="2"/>
            <w:vAlign w:val="center"/>
          </w:tcPr>
          <w:p>
            <w:pPr>
              <w:spacing w:beforeLines="50" w:line="360" w:lineRule="auto"/>
              <w:rPr>
                <w:rFonts w:ascii="宋体" w:hAnsi="宋体" w:cs="宋体"/>
                <w:color w:val="auto"/>
                <w:kern w:val="0"/>
                <w:highlight w:val="none"/>
              </w:rPr>
            </w:pPr>
            <w:r>
              <w:rPr>
                <w:rFonts w:hint="eastAsia" w:ascii="宋体" w:hAnsi="宋体" w:cs="宋体"/>
                <w:color w:val="auto"/>
                <w:kern w:val="0"/>
                <w:highlight w:val="none"/>
              </w:rPr>
              <w:t>比选申请人法定代表人的委托代理人有法定代表人签署的授权委托书，且其授权委托书符合比选文件规定的格式。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restart"/>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2.1.2</w:t>
            </w:r>
          </w:p>
        </w:tc>
        <w:tc>
          <w:tcPr>
            <w:tcW w:w="1078" w:type="dxa"/>
            <w:vMerge w:val="restart"/>
            <w:textDirection w:val="tbRlV"/>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资格评审标准</w:t>
            </w:r>
          </w:p>
        </w:tc>
        <w:tc>
          <w:tcPr>
            <w:tcW w:w="714" w:type="dxa"/>
            <w:vMerge w:val="restart"/>
            <w:vAlign w:val="center"/>
          </w:tcPr>
          <w:p>
            <w:pPr>
              <w:jc w:val="center"/>
              <w:rPr>
                <w:rFonts w:ascii="宋体" w:hAnsi="宋体" w:cs="宋体"/>
                <w:color w:val="auto"/>
                <w:kern w:val="0"/>
                <w:szCs w:val="22"/>
                <w:highlight w:val="none"/>
              </w:rPr>
            </w:pPr>
            <w:r>
              <w:rPr>
                <w:rFonts w:hint="eastAsia" w:ascii="宋体" w:hAnsi="宋体" w:cs="宋体"/>
                <w:color w:val="auto"/>
                <w:kern w:val="0"/>
                <w:szCs w:val="22"/>
                <w:highlight w:val="none"/>
              </w:rPr>
              <w:t>必要合格条件</w:t>
            </w:r>
          </w:p>
        </w:tc>
        <w:tc>
          <w:tcPr>
            <w:tcW w:w="1681" w:type="dxa"/>
            <w:gridSpan w:val="2"/>
            <w:vAlign w:val="center"/>
          </w:tcPr>
          <w:p>
            <w:pPr>
              <w:jc w:val="center"/>
              <w:rPr>
                <w:rFonts w:ascii="宋体" w:hAnsi="宋体" w:cs="宋体"/>
                <w:color w:val="auto"/>
                <w:kern w:val="0"/>
                <w:szCs w:val="22"/>
                <w:highlight w:val="none"/>
              </w:rPr>
            </w:pPr>
            <w:r>
              <w:rPr>
                <w:rFonts w:hint="eastAsia" w:ascii="宋体" w:hAnsi="宋体" w:cs="宋体"/>
                <w:color w:val="auto"/>
                <w:kern w:val="0"/>
                <w:szCs w:val="22"/>
                <w:highlight w:val="none"/>
              </w:rPr>
              <w:t>营业执照</w:t>
            </w:r>
          </w:p>
        </w:tc>
        <w:tc>
          <w:tcPr>
            <w:tcW w:w="5088" w:type="dxa"/>
            <w:gridSpan w:val="2"/>
            <w:vAlign w:val="center"/>
          </w:tcPr>
          <w:p>
            <w:pPr>
              <w:spacing w:line="400" w:lineRule="exact"/>
              <w:rPr>
                <w:rFonts w:ascii="宋体" w:hAnsi="宋体" w:cs="宋体"/>
                <w:color w:val="auto"/>
                <w:kern w:val="0"/>
                <w:szCs w:val="22"/>
                <w:highlight w:val="none"/>
              </w:rPr>
            </w:pPr>
            <w:r>
              <w:rPr>
                <w:rFonts w:hint="eastAsia" w:ascii="宋体" w:hAnsi="宋体" w:cs="宋体"/>
                <w:color w:val="auto"/>
                <w:kern w:val="0"/>
                <w:szCs w:val="22"/>
                <w:highlight w:val="none"/>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714" w:type="dxa"/>
            <w:vMerge w:val="continue"/>
            <w:vAlign w:val="center"/>
          </w:tcPr>
          <w:p>
            <w:pPr>
              <w:jc w:val="center"/>
              <w:rPr>
                <w:rFonts w:ascii="宋体" w:hAnsi="宋体" w:cs="宋体"/>
                <w:color w:val="auto"/>
                <w:kern w:val="0"/>
                <w:szCs w:val="22"/>
                <w:highlight w:val="none"/>
              </w:rPr>
            </w:pPr>
          </w:p>
        </w:tc>
        <w:tc>
          <w:tcPr>
            <w:tcW w:w="1681" w:type="dxa"/>
            <w:gridSpan w:val="2"/>
            <w:vAlign w:val="center"/>
          </w:tcPr>
          <w:p>
            <w:pPr>
              <w:jc w:val="center"/>
              <w:rPr>
                <w:rFonts w:ascii="宋体" w:hAnsi="宋体" w:cs="宋体"/>
                <w:color w:val="auto"/>
                <w:kern w:val="0"/>
                <w:szCs w:val="22"/>
                <w:highlight w:val="none"/>
              </w:rPr>
            </w:pPr>
            <w:r>
              <w:rPr>
                <w:rFonts w:hint="eastAsia" w:ascii="宋体" w:hAnsi="宋体" w:cs="宋体"/>
                <w:color w:val="auto"/>
                <w:kern w:val="0"/>
                <w:szCs w:val="22"/>
                <w:highlight w:val="none"/>
              </w:rPr>
              <w:t>资质等级</w:t>
            </w:r>
          </w:p>
        </w:tc>
        <w:tc>
          <w:tcPr>
            <w:tcW w:w="5088" w:type="dxa"/>
            <w:gridSpan w:val="2"/>
            <w:vAlign w:val="center"/>
          </w:tcPr>
          <w:p>
            <w:pPr>
              <w:spacing w:line="400" w:lineRule="exact"/>
              <w:rPr>
                <w:rFonts w:ascii="宋体" w:hAnsi="宋体" w:cs="宋体"/>
                <w:color w:val="auto"/>
                <w:kern w:val="0"/>
                <w:szCs w:val="22"/>
                <w:highlight w:val="none"/>
              </w:rPr>
            </w:pPr>
            <w:r>
              <w:rPr>
                <w:rFonts w:hint="eastAsia" w:ascii="宋体" w:hAnsi="宋体" w:cs="宋体"/>
                <w:color w:val="auto"/>
                <w:kern w:val="0"/>
                <w:szCs w:val="22"/>
                <w:highlight w:val="none"/>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714" w:type="dxa"/>
            <w:vMerge w:val="continue"/>
            <w:vAlign w:val="center"/>
          </w:tcPr>
          <w:p>
            <w:pPr>
              <w:jc w:val="center"/>
              <w:rPr>
                <w:rFonts w:ascii="宋体" w:hAnsi="宋体" w:cs="宋体"/>
                <w:color w:val="auto"/>
                <w:kern w:val="0"/>
                <w:szCs w:val="22"/>
                <w:highlight w:val="none"/>
              </w:rPr>
            </w:pPr>
          </w:p>
        </w:tc>
        <w:tc>
          <w:tcPr>
            <w:tcW w:w="1681" w:type="dxa"/>
            <w:gridSpan w:val="2"/>
            <w:vAlign w:val="center"/>
          </w:tcPr>
          <w:p>
            <w:pPr>
              <w:jc w:val="center"/>
              <w:rPr>
                <w:rFonts w:ascii="宋体" w:hAnsi="宋体" w:cs="宋体"/>
                <w:color w:val="auto"/>
                <w:kern w:val="0"/>
                <w:szCs w:val="22"/>
                <w:highlight w:val="none"/>
              </w:rPr>
            </w:pPr>
            <w:r>
              <w:rPr>
                <w:rFonts w:hint="eastAsia" w:ascii="宋体" w:hAnsi="宋体" w:cs="宋体"/>
                <w:color w:val="auto"/>
                <w:kern w:val="0"/>
                <w:szCs w:val="22"/>
                <w:highlight w:val="none"/>
              </w:rPr>
              <w:t>安全生产条件</w:t>
            </w:r>
          </w:p>
        </w:tc>
        <w:tc>
          <w:tcPr>
            <w:tcW w:w="5088" w:type="dxa"/>
            <w:gridSpan w:val="2"/>
            <w:vAlign w:val="center"/>
          </w:tcPr>
          <w:p>
            <w:pPr>
              <w:spacing w:line="400" w:lineRule="exact"/>
              <w:rPr>
                <w:rFonts w:ascii="宋体" w:hAnsi="宋体" w:cs="宋体"/>
                <w:color w:val="auto"/>
                <w:kern w:val="0"/>
                <w:szCs w:val="22"/>
                <w:highlight w:val="none"/>
              </w:rPr>
            </w:pPr>
            <w:r>
              <w:rPr>
                <w:rFonts w:hint="eastAsia" w:ascii="宋体" w:hAnsi="宋体" w:cs="宋体"/>
                <w:color w:val="auto"/>
                <w:kern w:val="0"/>
                <w:szCs w:val="22"/>
                <w:highlight w:val="none"/>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714" w:type="dxa"/>
            <w:vMerge w:val="continue"/>
            <w:vAlign w:val="center"/>
          </w:tcPr>
          <w:p>
            <w:pPr>
              <w:spacing w:line="400" w:lineRule="exact"/>
              <w:jc w:val="center"/>
              <w:rPr>
                <w:rFonts w:ascii="宋体" w:hAnsi="宋体" w:cs="宋体"/>
                <w:color w:val="auto"/>
                <w:kern w:val="0"/>
                <w:highlight w:val="none"/>
              </w:rPr>
            </w:pPr>
          </w:p>
        </w:tc>
        <w:tc>
          <w:tcPr>
            <w:tcW w:w="1681" w:type="dxa"/>
            <w:gridSpan w:val="2"/>
          </w:tcPr>
          <w:p>
            <w:pPr>
              <w:spacing w:line="400" w:lineRule="exact"/>
              <w:jc w:val="center"/>
              <w:rPr>
                <w:rFonts w:ascii="宋体" w:hAnsi="宋体" w:cs="宋体"/>
                <w:color w:val="auto"/>
                <w:kern w:val="0"/>
                <w:szCs w:val="22"/>
                <w:highlight w:val="none"/>
              </w:rPr>
            </w:pPr>
            <w:r>
              <w:rPr>
                <w:rFonts w:hint="eastAsia" w:ascii="宋体" w:hAnsi="宋体" w:cs="宋体"/>
                <w:color w:val="auto"/>
                <w:szCs w:val="21"/>
                <w:highlight w:val="none"/>
              </w:rPr>
              <w:t>比选截止日投标资格情况</w:t>
            </w:r>
          </w:p>
        </w:tc>
        <w:tc>
          <w:tcPr>
            <w:tcW w:w="5088" w:type="dxa"/>
            <w:gridSpan w:val="2"/>
            <w:vAlign w:val="center"/>
          </w:tcPr>
          <w:p>
            <w:pPr>
              <w:spacing w:line="441" w:lineRule="exact"/>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714" w:type="dxa"/>
            <w:vMerge w:val="continue"/>
            <w:vAlign w:val="center"/>
          </w:tcPr>
          <w:p>
            <w:pPr>
              <w:spacing w:line="400" w:lineRule="exact"/>
              <w:jc w:val="center"/>
              <w:rPr>
                <w:rFonts w:ascii="宋体" w:hAnsi="宋体" w:cs="宋体"/>
                <w:color w:val="auto"/>
                <w:kern w:val="0"/>
                <w:highlight w:val="none"/>
              </w:rPr>
            </w:pPr>
          </w:p>
        </w:tc>
        <w:tc>
          <w:tcPr>
            <w:tcW w:w="1681" w:type="dxa"/>
            <w:gridSpan w:val="2"/>
            <w:vAlign w:val="center"/>
          </w:tcPr>
          <w:p>
            <w:pPr>
              <w:jc w:val="center"/>
              <w:rPr>
                <w:rFonts w:ascii="宋体" w:hAnsi="宋体" w:cs="宋体"/>
                <w:color w:val="auto"/>
                <w:kern w:val="0"/>
                <w:szCs w:val="22"/>
                <w:highlight w:val="none"/>
              </w:rPr>
            </w:pPr>
            <w:r>
              <w:rPr>
                <w:rFonts w:hint="eastAsia" w:ascii="宋体" w:hAnsi="宋体" w:cs="宋体"/>
                <w:color w:val="auto"/>
                <w:szCs w:val="21"/>
                <w:highlight w:val="none"/>
              </w:rPr>
              <w:t>项目经理资格要求</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714" w:type="dxa"/>
            <w:vMerge w:val="continue"/>
            <w:vAlign w:val="center"/>
          </w:tcPr>
          <w:p>
            <w:pPr>
              <w:spacing w:line="400" w:lineRule="exact"/>
              <w:jc w:val="center"/>
              <w:rPr>
                <w:rFonts w:ascii="宋体" w:hAnsi="宋体" w:cs="宋体"/>
                <w:color w:val="auto"/>
                <w:kern w:val="0"/>
                <w:highlight w:val="none"/>
              </w:rPr>
            </w:pPr>
          </w:p>
        </w:tc>
        <w:tc>
          <w:tcPr>
            <w:tcW w:w="1681" w:type="dxa"/>
            <w:gridSpan w:val="2"/>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其他要求</w:t>
            </w:r>
          </w:p>
        </w:tc>
        <w:tc>
          <w:tcPr>
            <w:tcW w:w="5088" w:type="dxa"/>
            <w:gridSpan w:val="2"/>
            <w:vAlign w:val="center"/>
          </w:tcPr>
          <w:p>
            <w:pPr>
              <w:spacing w:line="400" w:lineRule="exact"/>
              <w:rPr>
                <w:rFonts w:ascii="宋体" w:hAnsi="宋体" w:cs="宋体"/>
                <w:color w:val="auto"/>
                <w:kern w:val="0"/>
                <w:highlight w:val="none"/>
                <w:u w:val="single"/>
              </w:rPr>
            </w:pPr>
            <w:r>
              <w:rPr>
                <w:rFonts w:hint="eastAsia" w:ascii="宋体" w:hAnsi="宋体" w:cs="宋体"/>
                <w:color w:val="auto"/>
                <w:kern w:val="0"/>
                <w:highlight w:val="none"/>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994" w:type="dxa"/>
            <w:vMerge w:val="restart"/>
            <w:vAlign w:val="center"/>
          </w:tcPr>
          <w:p>
            <w:pPr>
              <w:spacing w:line="400" w:lineRule="exact"/>
              <w:jc w:val="center"/>
              <w:rPr>
                <w:rFonts w:ascii="宋体" w:hAnsi="宋体" w:cs="宋体"/>
                <w:color w:val="auto"/>
                <w:highlight w:val="none"/>
              </w:rPr>
            </w:pPr>
            <w:r>
              <w:rPr>
                <w:rFonts w:hint="eastAsia" w:ascii="宋体" w:hAnsi="宋体" w:cs="宋体"/>
                <w:color w:val="auto"/>
                <w:kern w:val="0"/>
                <w:highlight w:val="none"/>
              </w:rPr>
              <w:t>2.1.3</w:t>
            </w:r>
          </w:p>
        </w:tc>
        <w:tc>
          <w:tcPr>
            <w:tcW w:w="1078" w:type="dxa"/>
            <w:vMerge w:val="restart"/>
            <w:textDirection w:val="tbRlV"/>
            <w:vAlign w:val="center"/>
          </w:tcPr>
          <w:p>
            <w:pPr>
              <w:spacing w:line="400" w:lineRule="exact"/>
              <w:jc w:val="center"/>
              <w:rPr>
                <w:rFonts w:ascii="宋体" w:hAnsi="宋体" w:cs="宋体"/>
                <w:color w:val="auto"/>
                <w:highlight w:val="none"/>
              </w:rPr>
            </w:pPr>
            <w:r>
              <w:rPr>
                <w:rFonts w:hint="eastAsia" w:ascii="宋体" w:hAnsi="宋体" w:cs="宋体"/>
                <w:color w:val="auto"/>
                <w:kern w:val="0"/>
                <w:highlight w:val="none"/>
              </w:rPr>
              <w:t>响应性评审标准</w:t>
            </w: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比选总报价</w:t>
            </w:r>
          </w:p>
        </w:tc>
        <w:tc>
          <w:tcPr>
            <w:tcW w:w="5088" w:type="dxa"/>
            <w:gridSpan w:val="2"/>
          </w:tcPr>
          <w:p>
            <w:pPr>
              <w:spacing w:line="400" w:lineRule="exact"/>
              <w:rPr>
                <w:rFonts w:ascii="宋体" w:hAnsi="宋体"/>
                <w:color w:val="auto"/>
                <w:kern w:val="0"/>
                <w:highlight w:val="none"/>
              </w:rPr>
            </w:pPr>
            <w:r>
              <w:rPr>
                <w:rFonts w:hint="eastAsia" w:ascii="宋体" w:hAnsi="宋体"/>
                <w:color w:val="auto"/>
                <w:kern w:val="0"/>
                <w:highlight w:val="none"/>
              </w:rPr>
              <w:t>1.</w:t>
            </w:r>
            <w:r>
              <w:rPr>
                <w:rFonts w:hint="eastAsia" w:ascii="宋体" w:hAnsi="宋体" w:cs="宋体"/>
                <w:color w:val="auto"/>
                <w:szCs w:val="21"/>
                <w:highlight w:val="none"/>
              </w:rPr>
              <w:t>比选总报价必须与已标价工程量清单总报价一致。</w:t>
            </w:r>
          </w:p>
          <w:p>
            <w:pPr>
              <w:spacing w:line="400" w:lineRule="exact"/>
              <w:jc w:val="left"/>
              <w:rPr>
                <w:rFonts w:ascii="宋体" w:hAnsi="宋体" w:cs="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比选</w:t>
            </w:r>
            <w:r>
              <w:rPr>
                <w:rFonts w:ascii="宋体" w:hAnsi="宋体"/>
                <w:color w:val="auto"/>
                <w:kern w:val="0"/>
                <w:highlight w:val="none"/>
              </w:rPr>
              <w:t>总报价不得高于</w:t>
            </w:r>
            <w:r>
              <w:rPr>
                <w:rFonts w:hint="eastAsia" w:ascii="宋体" w:hAnsi="宋体"/>
                <w:color w:val="auto"/>
                <w:kern w:val="0"/>
                <w:highlight w:val="none"/>
              </w:rPr>
              <w:t>比选</w:t>
            </w:r>
            <w:r>
              <w:rPr>
                <w:rFonts w:ascii="宋体" w:hAnsi="宋体"/>
                <w:color w:val="auto"/>
                <w:kern w:val="0"/>
                <w:highlight w:val="none"/>
              </w:rPr>
              <w:t>人公布的</w:t>
            </w:r>
            <w:r>
              <w:rPr>
                <w:rFonts w:hint="eastAsia" w:ascii="宋体" w:hAnsi="宋体"/>
                <w:color w:val="auto"/>
                <w:kern w:val="0"/>
                <w:highlight w:val="none"/>
              </w:rPr>
              <w:t>比选</w:t>
            </w:r>
            <w:r>
              <w:rPr>
                <w:rFonts w:ascii="宋体" w:hAnsi="宋体"/>
                <w:color w:val="auto"/>
                <w:kern w:val="0"/>
                <w:highlight w:val="none"/>
              </w:rPr>
              <w:t>总报价最高限价</w:t>
            </w:r>
            <w:r>
              <w:rPr>
                <w:rFonts w:hint="eastAsia" w:ascii="宋体" w:hAnsi="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46" w:lineRule="exact"/>
              <w:jc w:val="center"/>
              <w:rPr>
                <w:rFonts w:ascii="宋体" w:hAnsi="宋体" w:cs="宋体"/>
                <w:color w:val="auto"/>
                <w:kern w:val="0"/>
                <w:highlight w:val="none"/>
              </w:rPr>
            </w:pPr>
            <w:r>
              <w:rPr>
                <w:rFonts w:hint="eastAsia" w:ascii="宋体" w:hAnsi="宋体" w:cs="宋体"/>
                <w:color w:val="auto"/>
                <w:kern w:val="0"/>
                <w:highlight w:val="none"/>
              </w:rPr>
              <w:t>暂定金额</w:t>
            </w:r>
          </w:p>
        </w:tc>
        <w:tc>
          <w:tcPr>
            <w:tcW w:w="5088" w:type="dxa"/>
            <w:gridSpan w:val="2"/>
            <w:vAlign w:val="center"/>
          </w:tcPr>
          <w:p>
            <w:pPr>
              <w:spacing w:line="446" w:lineRule="exact"/>
              <w:jc w:val="left"/>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暂列金额、暂估价、安全文明施工费等暂定金额必须按照比选文件给定的金额填报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投标内容</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工期</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符合第二章“比选申请人须知”第1.3.2项规定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工程质量</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符合第二章“比选申请人须知”第1.3.3项规定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比选有效期</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比选保证金</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符合第二章“比选申请人须知前附表”第3.4.1项规定。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5088" w:type="dxa"/>
            <w:gridSpan w:val="2"/>
            <w:vAlign w:val="center"/>
          </w:tcPr>
          <w:p>
            <w:pPr>
              <w:rPr>
                <w:rFonts w:ascii="宋体" w:hAnsi="宋体" w:cs="宋体"/>
                <w:color w:val="auto"/>
                <w:highlight w:val="none"/>
              </w:rPr>
            </w:pPr>
            <w:r>
              <w:rPr>
                <w:rFonts w:hint="eastAsia" w:ascii="宋体" w:hAnsi="宋体" w:cs="宋体"/>
                <w:color w:val="auto"/>
                <w:highlight w:val="none"/>
              </w:rPr>
              <w:t>符合第五章“工程量清单”给出的范围及数量,不得高于比选人公布的最高限价清单。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权利义务</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符合第四章“合同条款及格式”规定，比选申请文件不应附有比选人不能接受的条件。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36" w:lineRule="exact"/>
              <w:jc w:val="center"/>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5088" w:type="dxa"/>
            <w:gridSpan w:val="2"/>
            <w:vAlign w:val="center"/>
          </w:tcPr>
          <w:p>
            <w:pPr>
              <w:spacing w:beforeLines="50" w:line="360" w:lineRule="auto"/>
              <w:rPr>
                <w:rFonts w:ascii="宋体" w:hAnsi="宋体" w:cs="宋体"/>
                <w:color w:val="auto"/>
                <w:kern w:val="0"/>
                <w:highlight w:val="none"/>
              </w:rPr>
            </w:pPr>
            <w:r>
              <w:rPr>
                <w:rFonts w:hint="eastAsia" w:ascii="宋体" w:hAnsi="宋体" w:cs="宋体"/>
                <w:color w:val="auto"/>
                <w:kern w:val="0"/>
                <w:highlight w:val="none"/>
              </w:rPr>
              <w:t>符合第七章“技术标准和要求”规定（若有）。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36" w:lineRule="exact"/>
              <w:jc w:val="center"/>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比选申请人人承诺满足以下内容：</w:t>
            </w:r>
          </w:p>
          <w:p>
            <w:pPr>
              <w:spacing w:line="400" w:lineRule="exact"/>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pPr>
              <w:spacing w:line="400" w:lineRule="exact"/>
              <w:rPr>
                <w:rFonts w:ascii="宋体" w:hAnsi="宋体" w:cs="宋体"/>
                <w:color w:val="auto"/>
                <w:kern w:val="0"/>
                <w:highlight w:val="none"/>
              </w:rPr>
            </w:pPr>
            <w:r>
              <w:rPr>
                <w:rFonts w:hint="eastAsia" w:ascii="宋体" w:hAnsi="宋体" w:cs="宋体"/>
                <w:color w:val="auto"/>
                <w:kern w:val="0"/>
                <w:highlight w:val="none"/>
              </w:rPr>
              <w:t>2.比选文件中规定工程量清单不允许修改的内容不得修改。</w:t>
            </w:r>
          </w:p>
          <w:p>
            <w:pPr>
              <w:spacing w:line="400" w:lineRule="exact"/>
              <w:rPr>
                <w:rFonts w:ascii="宋体" w:hAnsi="宋体" w:cs="宋体"/>
                <w:color w:val="auto"/>
                <w:kern w:val="0"/>
                <w:highlight w:val="none"/>
              </w:rPr>
            </w:pPr>
            <w:r>
              <w:rPr>
                <w:rFonts w:hint="eastAsia" w:ascii="宋体" w:hAnsi="宋体" w:cs="宋体"/>
                <w:color w:val="auto"/>
                <w:kern w:val="0"/>
                <w:highlight w:val="none"/>
              </w:rPr>
              <w:t>3.每项工程量清单综合单价报价不得高于对应工程量清单综合单价最高限价。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36" w:lineRule="exact"/>
              <w:jc w:val="center"/>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994" w:type="dxa"/>
            <w:vMerge w:val="continue"/>
            <w:vAlign w:val="center"/>
          </w:tcPr>
          <w:p>
            <w:pPr>
              <w:spacing w:line="400" w:lineRule="exact"/>
              <w:jc w:val="center"/>
              <w:rPr>
                <w:rFonts w:ascii="宋体" w:hAnsi="宋体" w:cs="宋体"/>
                <w:color w:val="auto"/>
                <w:kern w:val="0"/>
                <w:highlight w:val="none"/>
              </w:rPr>
            </w:pPr>
          </w:p>
        </w:tc>
        <w:tc>
          <w:tcPr>
            <w:tcW w:w="1078" w:type="dxa"/>
            <w:vMerge w:val="continue"/>
            <w:textDirection w:val="tbRlV"/>
            <w:vAlign w:val="center"/>
          </w:tcPr>
          <w:p>
            <w:pPr>
              <w:spacing w:line="400" w:lineRule="exact"/>
              <w:jc w:val="center"/>
              <w:rPr>
                <w:rFonts w:ascii="宋体" w:hAnsi="宋体" w:cs="宋体"/>
                <w:color w:val="auto"/>
                <w:kern w:val="0"/>
                <w:highlight w:val="none"/>
              </w:rPr>
            </w:pP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实质性要求</w:t>
            </w:r>
          </w:p>
        </w:tc>
        <w:tc>
          <w:tcPr>
            <w:tcW w:w="5088" w:type="dxa"/>
            <w:gridSpan w:val="2"/>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2072" w:type="dxa"/>
            <w:gridSpan w:val="2"/>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2.2.1</w:t>
            </w: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分值构成</w:t>
            </w:r>
          </w:p>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(总分1OO分)</w:t>
            </w:r>
          </w:p>
        </w:tc>
        <w:tc>
          <w:tcPr>
            <w:tcW w:w="5088" w:type="dxa"/>
            <w:gridSpan w:val="2"/>
            <w:vAlign w:val="center"/>
          </w:tcPr>
          <w:p>
            <w:pPr>
              <w:numPr>
                <w:ilvl w:val="0"/>
                <w:numId w:val="15"/>
              </w:numPr>
              <w:spacing w:line="400" w:lineRule="exact"/>
              <w:jc w:val="left"/>
              <w:rPr>
                <w:rFonts w:ascii="宋体" w:hAnsi="宋体" w:cs="宋体"/>
                <w:color w:val="auto"/>
                <w:kern w:val="0"/>
                <w:highlight w:val="none"/>
              </w:rPr>
            </w:pPr>
            <w:r>
              <w:rPr>
                <w:rFonts w:hint="eastAsia" w:ascii="宋体" w:hAnsi="宋体" w:cs="宋体"/>
                <w:color w:val="auto"/>
                <w:kern w:val="0"/>
                <w:highlight w:val="none"/>
              </w:rPr>
              <w:t>比选总报价</w:t>
            </w:r>
            <w:r>
              <w:rPr>
                <w:rFonts w:hint="eastAsia" w:ascii="宋体" w:hAnsi="宋体" w:cs="宋体"/>
                <w:color w:val="auto"/>
                <w:kern w:val="0"/>
                <w:highlight w:val="none"/>
                <w:lang w:val="en-US" w:eastAsia="zh-CN"/>
              </w:rPr>
              <w:t>80</w:t>
            </w:r>
            <w:r>
              <w:rPr>
                <w:rFonts w:hint="eastAsia" w:ascii="宋体" w:hAnsi="宋体" w:cs="宋体"/>
                <w:color w:val="auto"/>
                <w:kern w:val="0"/>
                <w:highlight w:val="none"/>
              </w:rPr>
              <w:t>分；</w:t>
            </w:r>
          </w:p>
          <w:p>
            <w:pPr>
              <w:numPr>
                <w:ilvl w:val="0"/>
                <w:numId w:val="15"/>
              </w:numPr>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技术方案</w:t>
            </w:r>
            <w:r>
              <w:rPr>
                <w:rFonts w:hint="eastAsia" w:ascii="宋体" w:hAnsi="宋体" w:cs="宋体"/>
                <w:color w:val="auto"/>
                <w:kern w:val="0"/>
                <w:highlight w:val="none"/>
                <w:lang w:val="en-US" w:eastAsia="zh-CN"/>
              </w:rPr>
              <w:t>20</w:t>
            </w:r>
            <w:r>
              <w:rPr>
                <w:rFonts w:hint="eastAsia" w:ascii="宋体" w:hAnsi="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072" w:type="dxa"/>
            <w:gridSpan w:val="2"/>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2.2.2</w:t>
            </w: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评标基准价</w:t>
            </w:r>
          </w:p>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计算方法</w:t>
            </w:r>
          </w:p>
        </w:tc>
        <w:tc>
          <w:tcPr>
            <w:tcW w:w="5088" w:type="dxa"/>
            <w:gridSpan w:val="2"/>
            <w:vAlign w:val="center"/>
          </w:tcPr>
          <w:p>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通过初步评审合格的比选申请人（比选人设有最高限价的，则比选总报价高于最高限价的除外）的比选总报价中去掉六分之一（不能整除的按小数点前整数取整，不足六家报价则不去掉）的最低价和相同家数最高价后的算术平均值再与最高限价相加之和的平均值即为比选总报价的评标基准价。</w:t>
            </w:r>
          </w:p>
          <w:p>
            <w:pPr>
              <w:spacing w:line="360" w:lineRule="auto"/>
              <w:ind w:firstLine="420" w:firstLineChars="200"/>
              <w:jc w:val="center"/>
              <w:rPr>
                <w:rFonts w:ascii="宋体" w:hAnsi="宋体" w:cs="宋体"/>
                <w:color w:val="auto"/>
                <w:kern w:val="0"/>
                <w:highlight w:val="none"/>
              </w:rPr>
            </w:pPr>
            <w:r>
              <w:rPr>
                <w:rFonts w:hint="eastAsia" w:ascii="宋体" w:hAnsi="宋体" w:cs="宋体"/>
                <w:color w:val="auto"/>
                <w:kern w:val="0"/>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2072" w:type="dxa"/>
            <w:gridSpan w:val="2"/>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2.2.3</w:t>
            </w:r>
          </w:p>
        </w:tc>
        <w:tc>
          <w:tcPr>
            <w:tcW w:w="2395" w:type="dxa"/>
            <w:gridSpan w:val="3"/>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比选总报价的偏差率计算公式</w:t>
            </w:r>
          </w:p>
        </w:tc>
        <w:tc>
          <w:tcPr>
            <w:tcW w:w="5088" w:type="dxa"/>
            <w:gridSpan w:val="2"/>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偏差率=1OO％×(比选申请人报价一评标基准价 )／评标基准价</w:t>
            </w:r>
          </w:p>
          <w:p>
            <w:pPr>
              <w:spacing w:line="360" w:lineRule="auto"/>
              <w:rPr>
                <w:rFonts w:ascii="宋体" w:hAnsi="宋体" w:cs="宋体"/>
                <w:color w:val="auto"/>
                <w:kern w:val="0"/>
                <w:highlight w:val="none"/>
              </w:rPr>
            </w:pPr>
            <w:r>
              <w:rPr>
                <w:rFonts w:hint="eastAsia" w:ascii="宋体" w:hAnsi="宋体" w:cs="宋体"/>
                <w:color w:val="auto"/>
                <w:kern w:val="0"/>
                <w:highlight w:val="none"/>
              </w:rPr>
              <w:t>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2072" w:type="dxa"/>
            <w:gridSpan w:val="2"/>
            <w:vMerge w:val="restart"/>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2.2.4</w:t>
            </w:r>
          </w:p>
        </w:tc>
        <w:tc>
          <w:tcPr>
            <w:tcW w:w="2395" w:type="dxa"/>
            <w:gridSpan w:val="3"/>
            <w:vMerge w:val="restart"/>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技术方案</w:t>
            </w:r>
          </w:p>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评分标准（</w:t>
            </w:r>
            <w:r>
              <w:rPr>
                <w:rFonts w:hint="eastAsia" w:ascii="宋体" w:hAnsi="宋体" w:cs="宋体"/>
                <w:color w:val="auto"/>
                <w:kern w:val="0"/>
                <w:highlight w:val="none"/>
                <w:lang w:val="en-US" w:eastAsia="zh-CN"/>
              </w:rPr>
              <w:t>20</w:t>
            </w:r>
            <w:r>
              <w:rPr>
                <w:rFonts w:hint="eastAsia" w:ascii="宋体" w:hAnsi="宋体" w:cs="宋体"/>
                <w:color w:val="auto"/>
                <w:kern w:val="0"/>
                <w:highlight w:val="none"/>
              </w:rPr>
              <w:t>分）</w:t>
            </w:r>
          </w:p>
        </w:tc>
        <w:tc>
          <w:tcPr>
            <w:tcW w:w="147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内容完整性和编制水平</w:t>
            </w:r>
          </w:p>
        </w:tc>
        <w:tc>
          <w:tcPr>
            <w:tcW w:w="3611"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lang w:val="en-US" w:eastAsia="zh-CN"/>
              </w:rPr>
              <w:t>施工方案能从整体上体现投标人对本项目施工内容的理解。理解深刻、内容全面、编制水平高的得</w:t>
            </w:r>
            <w:r>
              <w:rPr>
                <w:rFonts w:hint="eastAsia" w:ascii="宋体" w:hAnsi="宋体" w:cs="宋体"/>
                <w:color w:val="auto"/>
                <w:kern w:val="0"/>
                <w:highlight w:val="none"/>
                <w:lang w:eastAsia="zh-CN"/>
              </w:rPr>
              <w:t>5　分 ；</w:t>
            </w:r>
            <w:r>
              <w:rPr>
                <w:rFonts w:hint="eastAsia" w:ascii="宋体" w:hAnsi="宋体" w:cs="宋体"/>
                <w:color w:val="auto"/>
                <w:kern w:val="0"/>
                <w:highlight w:val="none"/>
                <w:lang w:val="en-US" w:eastAsia="zh-CN"/>
              </w:rPr>
              <w:t>理解一般、内容一般全面、编制水平一般的得3分；理解较差、内容较差、编制水平较差的得1分。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072" w:type="dxa"/>
            <w:gridSpan w:val="2"/>
            <w:vMerge w:val="continue"/>
            <w:vAlign w:val="center"/>
          </w:tcPr>
          <w:p>
            <w:pPr>
              <w:spacing w:line="400" w:lineRule="exact"/>
              <w:jc w:val="center"/>
              <w:rPr>
                <w:rFonts w:ascii="宋体" w:hAnsi="宋体" w:cs="宋体"/>
                <w:color w:val="auto"/>
                <w:kern w:val="0"/>
                <w:highlight w:val="none"/>
              </w:rPr>
            </w:pPr>
          </w:p>
        </w:tc>
        <w:tc>
          <w:tcPr>
            <w:tcW w:w="2395" w:type="dxa"/>
            <w:gridSpan w:val="3"/>
            <w:vMerge w:val="continue"/>
            <w:vAlign w:val="center"/>
          </w:tcPr>
          <w:p>
            <w:pPr>
              <w:spacing w:line="400" w:lineRule="exact"/>
              <w:jc w:val="center"/>
              <w:rPr>
                <w:rFonts w:ascii="宋体" w:hAnsi="宋体" w:cs="宋体"/>
                <w:color w:val="auto"/>
                <w:kern w:val="0"/>
                <w:highlight w:val="none"/>
              </w:rPr>
            </w:pPr>
          </w:p>
        </w:tc>
        <w:tc>
          <w:tcPr>
            <w:tcW w:w="1477" w:type="dxa"/>
            <w:shd w:val="clear" w:color="auto" w:fill="auto"/>
            <w:vAlign w:val="center"/>
          </w:tcPr>
          <w:p>
            <w:pPr>
              <w:spacing w:line="40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eastAsia="zh-CN"/>
              </w:rPr>
              <w:t>施工方案与技术措施</w:t>
            </w:r>
          </w:p>
        </w:tc>
        <w:tc>
          <w:tcPr>
            <w:tcW w:w="3611" w:type="dxa"/>
            <w:shd w:val="clear" w:color="auto" w:fill="auto"/>
            <w:vAlign w:val="center"/>
          </w:tcPr>
          <w:p>
            <w:pPr>
              <w:spacing w:line="40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施工方案完善、技术措施到位的得</w:t>
            </w:r>
            <w:r>
              <w:rPr>
                <w:rFonts w:hint="eastAsia" w:ascii="宋体" w:hAnsi="宋体" w:eastAsia="宋体" w:cs="宋体"/>
                <w:color w:val="auto"/>
                <w:kern w:val="0"/>
                <w:highlight w:val="none"/>
                <w:lang w:eastAsia="zh-CN"/>
              </w:rPr>
              <w:t>5分；</w:t>
            </w:r>
            <w:r>
              <w:rPr>
                <w:rFonts w:hint="eastAsia" w:ascii="宋体" w:hAnsi="宋体" w:eastAsia="宋体" w:cs="宋体"/>
                <w:color w:val="auto"/>
                <w:kern w:val="0"/>
                <w:highlight w:val="none"/>
                <w:lang w:val="en-US" w:eastAsia="zh-CN"/>
              </w:rPr>
              <w:t>施工方案一般、技术措施一般的得3分；施工方案不完善、技术措施较差的得1分。未提供不得分。</w:t>
            </w:r>
            <w:r>
              <w:rPr>
                <w:rFonts w:hint="eastAsia" w:ascii="宋体" w:hAnsi="宋体" w:eastAsia="宋体" w:cs="宋体"/>
                <w:color w:val="auto"/>
                <w:kern w:val="0"/>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072" w:type="dxa"/>
            <w:gridSpan w:val="2"/>
            <w:vMerge w:val="continue"/>
            <w:vAlign w:val="center"/>
          </w:tcPr>
          <w:p>
            <w:pPr>
              <w:spacing w:line="400" w:lineRule="exact"/>
              <w:jc w:val="center"/>
              <w:rPr>
                <w:rFonts w:ascii="宋体" w:hAnsi="宋体" w:cs="宋体"/>
                <w:color w:val="auto"/>
                <w:kern w:val="0"/>
                <w:highlight w:val="none"/>
              </w:rPr>
            </w:pPr>
          </w:p>
        </w:tc>
        <w:tc>
          <w:tcPr>
            <w:tcW w:w="2395" w:type="dxa"/>
            <w:gridSpan w:val="3"/>
            <w:vMerge w:val="continue"/>
            <w:vAlign w:val="center"/>
          </w:tcPr>
          <w:p>
            <w:pPr>
              <w:spacing w:line="400" w:lineRule="exact"/>
              <w:jc w:val="center"/>
              <w:rPr>
                <w:rFonts w:ascii="宋体" w:hAnsi="宋体" w:cs="宋体"/>
                <w:color w:val="auto"/>
                <w:kern w:val="0"/>
                <w:highlight w:val="none"/>
              </w:rPr>
            </w:pPr>
          </w:p>
        </w:tc>
        <w:tc>
          <w:tcPr>
            <w:tcW w:w="1477" w:type="dxa"/>
            <w:shd w:val="clear" w:color="auto" w:fill="auto"/>
            <w:vAlign w:val="center"/>
          </w:tcPr>
          <w:p>
            <w:pPr>
              <w:spacing w:line="40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eastAsia="zh-CN"/>
              </w:rPr>
              <w:t>项目进度计划与措施</w:t>
            </w:r>
          </w:p>
        </w:tc>
        <w:tc>
          <w:tcPr>
            <w:tcW w:w="3611" w:type="dxa"/>
            <w:shd w:val="clear" w:color="auto" w:fill="auto"/>
            <w:vAlign w:val="center"/>
          </w:tcPr>
          <w:p>
            <w:pPr>
              <w:spacing w:line="40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项目进度计划精细到位、措施完善符合项目要求的得5</w:t>
            </w:r>
            <w:r>
              <w:rPr>
                <w:rFonts w:hint="eastAsia" w:ascii="宋体" w:hAnsi="宋体" w:eastAsia="宋体" w:cs="宋体"/>
                <w:color w:val="auto"/>
                <w:kern w:val="0"/>
                <w:highlight w:val="none"/>
                <w:lang w:eastAsia="zh-CN"/>
              </w:rPr>
              <w:t xml:space="preserve">分； </w:t>
            </w:r>
            <w:r>
              <w:rPr>
                <w:rFonts w:hint="eastAsia" w:ascii="宋体" w:hAnsi="宋体" w:eastAsia="宋体" w:cs="宋体"/>
                <w:color w:val="auto"/>
                <w:kern w:val="0"/>
                <w:highlight w:val="none"/>
                <w:lang w:val="en-US" w:eastAsia="zh-CN"/>
              </w:rPr>
              <w:t>项目进度计划一般到位、措施完善较为符合项目要求的得3</w:t>
            </w:r>
            <w:r>
              <w:rPr>
                <w:rFonts w:hint="eastAsia" w:ascii="宋体" w:hAnsi="宋体" w:eastAsia="宋体" w:cs="宋体"/>
                <w:color w:val="auto"/>
                <w:kern w:val="0"/>
                <w:highlight w:val="none"/>
                <w:lang w:eastAsia="zh-CN"/>
              </w:rPr>
              <w:t>分；</w:t>
            </w:r>
            <w:r>
              <w:rPr>
                <w:rFonts w:hint="eastAsia" w:ascii="宋体" w:hAnsi="宋体" w:eastAsia="宋体" w:cs="宋体"/>
                <w:color w:val="auto"/>
                <w:kern w:val="0"/>
                <w:highlight w:val="none"/>
                <w:lang w:val="en-US" w:eastAsia="zh-CN"/>
              </w:rPr>
              <w:t>项目进度计划不到位、措施完善不符合项目要求的得1</w:t>
            </w:r>
            <w:r>
              <w:rPr>
                <w:rFonts w:hint="eastAsia" w:ascii="宋体" w:hAnsi="宋体" w:eastAsia="宋体" w:cs="宋体"/>
                <w:color w:val="auto"/>
                <w:kern w:val="0"/>
                <w:highlight w:val="none"/>
                <w:lang w:eastAsia="zh-CN"/>
              </w:rPr>
              <w:t>分。</w:t>
            </w:r>
            <w:r>
              <w:rPr>
                <w:rFonts w:hint="eastAsia" w:ascii="宋体" w:hAnsi="宋体" w:eastAsia="宋体" w:cs="宋体"/>
                <w:color w:val="auto"/>
                <w:kern w:val="0"/>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2072" w:type="dxa"/>
            <w:gridSpan w:val="2"/>
            <w:vMerge w:val="continue"/>
            <w:vAlign w:val="center"/>
          </w:tcPr>
          <w:p>
            <w:pPr>
              <w:spacing w:line="400" w:lineRule="exact"/>
              <w:jc w:val="center"/>
              <w:rPr>
                <w:rFonts w:ascii="宋体" w:hAnsi="宋体" w:cs="宋体"/>
                <w:color w:val="auto"/>
                <w:kern w:val="0"/>
                <w:highlight w:val="none"/>
              </w:rPr>
            </w:pPr>
          </w:p>
        </w:tc>
        <w:tc>
          <w:tcPr>
            <w:tcW w:w="2395" w:type="dxa"/>
            <w:gridSpan w:val="3"/>
            <w:vMerge w:val="continue"/>
            <w:vAlign w:val="center"/>
          </w:tcPr>
          <w:p>
            <w:pPr>
              <w:spacing w:line="400" w:lineRule="exact"/>
              <w:jc w:val="center"/>
              <w:rPr>
                <w:rFonts w:ascii="宋体" w:hAnsi="宋体" w:cs="宋体"/>
                <w:color w:val="auto"/>
                <w:kern w:val="0"/>
                <w:highlight w:val="none"/>
              </w:rPr>
            </w:pPr>
          </w:p>
        </w:tc>
        <w:tc>
          <w:tcPr>
            <w:tcW w:w="1477" w:type="dxa"/>
            <w:shd w:val="clear" w:color="auto" w:fill="auto"/>
            <w:vAlign w:val="center"/>
          </w:tcPr>
          <w:p>
            <w:pPr>
              <w:spacing w:line="40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eastAsia="zh-CN"/>
              </w:rPr>
              <w:t>资源配备计划与先进性</w:t>
            </w:r>
          </w:p>
        </w:tc>
        <w:tc>
          <w:tcPr>
            <w:tcW w:w="3611" w:type="dxa"/>
            <w:shd w:val="clear" w:color="auto" w:fill="auto"/>
            <w:vAlign w:val="center"/>
          </w:tcPr>
          <w:p>
            <w:pPr>
              <w:spacing w:line="40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资源配备计划精细到位、具有先进性的得5</w:t>
            </w:r>
            <w:r>
              <w:rPr>
                <w:rFonts w:hint="eastAsia" w:ascii="宋体" w:hAnsi="宋体" w:eastAsia="宋体" w:cs="宋体"/>
                <w:color w:val="auto"/>
                <w:kern w:val="0"/>
                <w:highlight w:val="none"/>
                <w:lang w:eastAsia="zh-CN"/>
              </w:rPr>
              <w:t>分；</w:t>
            </w:r>
            <w:r>
              <w:rPr>
                <w:rFonts w:hint="eastAsia" w:ascii="宋体" w:hAnsi="宋体" w:eastAsia="宋体" w:cs="宋体"/>
                <w:color w:val="auto"/>
                <w:kern w:val="0"/>
                <w:highlight w:val="none"/>
                <w:lang w:val="en-US" w:eastAsia="zh-CN"/>
              </w:rPr>
              <w:t>配备计划一般、先进性一般的得3分；配备计划差、先进性的得1分。未提供不得分。</w:t>
            </w:r>
            <w:r>
              <w:rPr>
                <w:rFonts w:hint="eastAsia" w:ascii="宋体" w:hAnsi="宋体" w:eastAsia="宋体" w:cs="宋体"/>
                <w:color w:val="auto"/>
                <w:kern w:val="0"/>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994"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3</w:t>
            </w:r>
          </w:p>
        </w:tc>
        <w:tc>
          <w:tcPr>
            <w:tcW w:w="1078" w:type="dxa"/>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评标程序</w:t>
            </w:r>
          </w:p>
        </w:tc>
        <w:tc>
          <w:tcPr>
            <w:tcW w:w="7483" w:type="dxa"/>
            <w:gridSpan w:val="5"/>
            <w:vAlign w:val="center"/>
          </w:tcPr>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1. 按本章评标办法第3.1款进行初步评审，并按照本章2.2.2项计算方法计算评标基准价。    </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2.按本章评标办法第3.2款至3.4款规定的程序进行评审,并按本章第2.2.4款规定的评分标准，确定得分最高的前三名比选申请人（按得分高低排序）为中选候选人。</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3.如经过对所有比选申请人的比选申请文件进行评审，有效投标不足三个使得投标明显缺乏竞争的，评审小组可以否决全部投标。</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 因评审小组作否决投标处理导致有效投标不足三个的,但是有效比选申请人的经济、技术等指标仍然具有市场竞争力，能够满足比选文件要求的，评审小组可以继续评标并确定中选候选人。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994" w:type="dxa"/>
            <w:vAlign w:val="center"/>
          </w:tcPr>
          <w:p>
            <w:pPr>
              <w:jc w:val="center"/>
              <w:rPr>
                <w:rFonts w:ascii="宋体" w:hAnsi="宋体" w:cs="宋体"/>
                <w:color w:val="auto"/>
                <w:kern w:val="0"/>
                <w:highlight w:val="none"/>
              </w:rPr>
            </w:pPr>
            <w:r>
              <w:rPr>
                <w:rFonts w:hint="eastAsia" w:ascii="宋体" w:hAnsi="宋体" w:cs="宋体"/>
                <w:color w:val="auto"/>
                <w:kern w:val="0"/>
                <w:highlight w:val="none"/>
              </w:rPr>
              <w:t>3.2.1（1）</w:t>
            </w:r>
          </w:p>
        </w:tc>
        <w:tc>
          <w:tcPr>
            <w:tcW w:w="1078" w:type="dxa"/>
            <w:vAlign w:val="center"/>
          </w:tcPr>
          <w:p>
            <w:pPr>
              <w:jc w:val="center"/>
              <w:rPr>
                <w:rFonts w:ascii="宋体" w:hAnsi="宋体" w:cs="宋体"/>
                <w:color w:val="auto"/>
                <w:kern w:val="0"/>
                <w:highlight w:val="none"/>
              </w:rPr>
            </w:pPr>
            <w:r>
              <w:rPr>
                <w:rFonts w:hint="eastAsia" w:ascii="宋体" w:hAnsi="宋体" w:cs="宋体"/>
                <w:color w:val="auto"/>
                <w:kern w:val="0"/>
                <w:highlight w:val="none"/>
              </w:rPr>
              <w:t>比选报价(A)</w:t>
            </w:r>
          </w:p>
        </w:tc>
        <w:tc>
          <w:tcPr>
            <w:tcW w:w="2154" w:type="dxa"/>
            <w:gridSpan w:val="2"/>
            <w:vAlign w:val="center"/>
          </w:tcPr>
          <w:p>
            <w:pPr>
              <w:jc w:val="center"/>
              <w:rPr>
                <w:rFonts w:ascii="宋体" w:hAnsi="宋体" w:cs="宋体"/>
                <w:color w:val="auto"/>
                <w:kern w:val="0"/>
                <w:highlight w:val="none"/>
              </w:rPr>
            </w:pPr>
            <w:r>
              <w:rPr>
                <w:rFonts w:hint="eastAsia" w:ascii="宋体" w:hAnsi="宋体" w:cs="宋体"/>
                <w:color w:val="auto"/>
                <w:kern w:val="0"/>
                <w:highlight w:val="none"/>
              </w:rPr>
              <w:t>比选报价（</w:t>
            </w:r>
            <w:r>
              <w:rPr>
                <w:rFonts w:hint="eastAsia" w:ascii="宋体" w:hAnsi="宋体" w:cs="宋体"/>
                <w:color w:val="auto"/>
                <w:kern w:val="0"/>
                <w:highlight w:val="none"/>
                <w:lang w:val="en-US" w:eastAsia="zh-CN"/>
              </w:rPr>
              <w:t>80</w:t>
            </w:r>
            <w:r>
              <w:rPr>
                <w:rFonts w:hint="eastAsia" w:ascii="宋体" w:hAnsi="宋体" w:cs="宋体"/>
                <w:color w:val="auto"/>
                <w:kern w:val="0"/>
                <w:highlight w:val="none"/>
              </w:rPr>
              <w:t>分）</w:t>
            </w:r>
          </w:p>
        </w:tc>
        <w:tc>
          <w:tcPr>
            <w:tcW w:w="5329" w:type="dxa"/>
            <w:gridSpan w:val="3"/>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所有有效投标总报价得</w:t>
            </w:r>
            <w:r>
              <w:rPr>
                <w:rFonts w:hint="eastAsia" w:ascii="宋体" w:hAnsi="宋体" w:cs="宋体"/>
                <w:bCs/>
                <w:color w:val="auto"/>
                <w:szCs w:val="28"/>
                <w:highlight w:val="none"/>
              </w:rPr>
              <w:t>本附表2.2.1规定分值的满分</w:t>
            </w:r>
            <w:r>
              <w:rPr>
                <w:rFonts w:hint="eastAsia" w:ascii="宋体" w:hAnsi="宋体" w:cs="宋体"/>
                <w:bCs/>
                <w:color w:val="auto"/>
                <w:szCs w:val="28"/>
                <w:highlight w:val="none"/>
                <w:u w:val="single"/>
                <w:lang w:val="en-US" w:eastAsia="zh-CN"/>
              </w:rPr>
              <w:t>80</w:t>
            </w:r>
            <w:r>
              <w:rPr>
                <w:rFonts w:hint="eastAsia" w:ascii="宋体" w:hAnsi="宋体" w:cs="宋体"/>
                <w:color w:val="auto"/>
                <w:szCs w:val="21"/>
                <w:highlight w:val="none"/>
              </w:rPr>
              <w:t>分。在此基础上，投标总报价与评标准基价相比，每增加1%扣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分，每减少1%扣</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按插入法计算得分。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994" w:type="dxa"/>
            <w:vMerge w:val="restart"/>
            <w:vAlign w:val="center"/>
          </w:tcPr>
          <w:p>
            <w:pPr>
              <w:wordWrap w:val="0"/>
              <w:topLinePunct/>
              <w:adjustRightInd w:val="0"/>
              <w:snapToGrid w:val="0"/>
              <w:jc w:val="center"/>
              <w:rPr>
                <w:rFonts w:ascii="宋体" w:hAnsi="宋体" w:cs="宋体"/>
                <w:color w:val="auto"/>
                <w:kern w:val="0"/>
                <w:highlight w:val="none"/>
              </w:rPr>
            </w:pPr>
            <w:r>
              <w:rPr>
                <w:rFonts w:hint="eastAsia" w:ascii="宋体" w:hAnsi="宋体" w:cs="宋体"/>
                <w:color w:val="auto"/>
                <w:kern w:val="0"/>
                <w:highlight w:val="none"/>
              </w:rPr>
              <w:t>3.2.1</w:t>
            </w:r>
          </w:p>
          <w:p>
            <w:pPr>
              <w:wordWrap w:val="0"/>
              <w:topLinePunct/>
              <w:adjustRightInd w:val="0"/>
              <w:snapToGrid w:val="0"/>
              <w:jc w:val="center"/>
              <w:rPr>
                <w:rFonts w:ascii="宋体" w:hAnsi="宋体" w:cs="宋体"/>
                <w:color w:val="auto"/>
                <w:kern w:val="0"/>
                <w:highlight w:val="none"/>
              </w:rPr>
            </w:pPr>
            <w:r>
              <w:rPr>
                <w:rFonts w:hint="eastAsia" w:ascii="宋体" w:hAnsi="宋体" w:cs="宋体"/>
                <w:color w:val="auto"/>
                <w:kern w:val="0"/>
                <w:highlight w:val="none"/>
              </w:rPr>
              <w:t>（2）</w:t>
            </w:r>
          </w:p>
        </w:tc>
        <w:tc>
          <w:tcPr>
            <w:tcW w:w="1078" w:type="dxa"/>
            <w:vMerge w:val="restart"/>
            <w:vAlign w:val="center"/>
          </w:tcPr>
          <w:p>
            <w:pPr>
              <w:wordWrap w:val="0"/>
              <w:topLinePunct/>
              <w:jc w:val="center"/>
              <w:rPr>
                <w:rFonts w:ascii="宋体" w:hAnsi="宋体" w:cs="宋体"/>
                <w:color w:val="auto"/>
                <w:kern w:val="0"/>
                <w:highlight w:val="none"/>
              </w:rPr>
            </w:pPr>
            <w:r>
              <w:rPr>
                <w:rFonts w:hint="eastAsia" w:ascii="宋体" w:hAnsi="宋体" w:cs="宋体"/>
                <w:color w:val="auto"/>
                <w:kern w:val="0"/>
                <w:highlight w:val="none"/>
              </w:rPr>
              <w:t>技术方案得分</w:t>
            </w:r>
          </w:p>
          <w:p>
            <w:pPr>
              <w:wordWrap w:val="0"/>
              <w:topLinePunct/>
              <w:jc w:val="center"/>
              <w:rPr>
                <w:rFonts w:ascii="宋体" w:hAnsi="宋体" w:cs="宋体"/>
                <w:color w:val="auto"/>
                <w:kern w:val="0"/>
                <w:highlight w:val="none"/>
              </w:rPr>
            </w:pPr>
            <w:r>
              <w:rPr>
                <w:rFonts w:hint="eastAsia" w:ascii="宋体" w:hAnsi="宋体" w:cs="宋体"/>
                <w:color w:val="auto"/>
                <w:kern w:val="0"/>
                <w:highlight w:val="none"/>
              </w:rPr>
              <w:t>（B）</w:t>
            </w:r>
          </w:p>
        </w:tc>
        <w:tc>
          <w:tcPr>
            <w:tcW w:w="2154" w:type="dxa"/>
            <w:gridSpan w:val="2"/>
            <w:vAlign w:val="center"/>
          </w:tcPr>
          <w:p>
            <w:pPr>
              <w:rPr>
                <w:rFonts w:ascii="宋体" w:hAnsi="宋体" w:cs="宋体"/>
                <w:color w:val="auto"/>
                <w:kern w:val="0"/>
                <w:highlight w:val="none"/>
              </w:rPr>
            </w:pPr>
            <w:r>
              <w:rPr>
                <w:rFonts w:hint="eastAsia" w:ascii="宋体" w:hAnsi="宋体" w:cs="宋体"/>
                <w:color w:val="auto"/>
                <w:kern w:val="0"/>
                <w:highlight w:val="none"/>
              </w:rPr>
              <w:t>内容完整性和编制水平（</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分）</w:t>
            </w:r>
          </w:p>
        </w:tc>
        <w:tc>
          <w:tcPr>
            <w:tcW w:w="5329" w:type="dxa"/>
            <w:gridSpan w:val="3"/>
            <w:vMerge w:val="restart"/>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按2.2.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项各评审因素设定的分值评分。以上计算取小数点后两位，第三位四舍五入。</w:t>
            </w:r>
          </w:p>
          <w:p>
            <w:pPr>
              <w:spacing w:line="360" w:lineRule="auto"/>
              <w:ind w:firstLine="420" w:firstLineChars="200"/>
              <w:rPr>
                <w:rFonts w:ascii="宋体" w:hAnsi="宋体" w:cs="宋体"/>
                <w:color w:val="auto"/>
                <w:szCs w:val="21"/>
                <w:highlight w:val="none"/>
              </w:rPr>
            </w:pPr>
          </w:p>
          <w:p>
            <w:pPr>
              <w:ind w:firstLine="210" w:firstLineChars="100"/>
              <w:jc w:val="left"/>
              <w:rPr>
                <w:rFonts w:ascii="宋体" w:hAnsi="宋体" w:cs="宋体"/>
                <w:color w:val="auto"/>
                <w:highlight w:val="none"/>
              </w:rPr>
            </w:pPr>
            <w:r>
              <w:rPr>
                <w:rFonts w:hint="eastAsia" w:ascii="宋体" w:hAnsi="宋体" w:cs="宋体"/>
                <w:color w:val="auto"/>
                <w:highlight w:val="none"/>
              </w:rPr>
              <w:t>比选申请人技术方案得分应在所有评委评分中所有评分汇总后取平均值为该比选申请人的技术方案得分。</w:t>
            </w:r>
          </w:p>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94" w:type="dxa"/>
            <w:vMerge w:val="continue"/>
            <w:vAlign w:val="center"/>
          </w:tcPr>
          <w:p>
            <w:pPr>
              <w:rPr>
                <w:rFonts w:ascii="宋体" w:hAnsi="宋体" w:cs="宋体"/>
                <w:color w:val="auto"/>
                <w:kern w:val="0"/>
                <w:highlight w:val="none"/>
              </w:rPr>
            </w:pPr>
          </w:p>
        </w:tc>
        <w:tc>
          <w:tcPr>
            <w:tcW w:w="1078" w:type="dxa"/>
            <w:vMerge w:val="continue"/>
            <w:vAlign w:val="center"/>
          </w:tcPr>
          <w:p>
            <w:pPr>
              <w:rPr>
                <w:rFonts w:ascii="宋体" w:hAnsi="宋体" w:cs="宋体"/>
                <w:color w:val="auto"/>
                <w:kern w:val="0"/>
                <w:highlight w:val="none"/>
              </w:rPr>
            </w:pPr>
          </w:p>
        </w:tc>
        <w:tc>
          <w:tcPr>
            <w:tcW w:w="2154" w:type="dxa"/>
            <w:gridSpan w:val="2"/>
          </w:tcPr>
          <w:p>
            <w:pPr>
              <w:rPr>
                <w:rFonts w:ascii="宋体" w:hAnsi="宋体" w:cs="宋体"/>
                <w:color w:val="auto"/>
                <w:kern w:val="0"/>
                <w:highlight w:val="none"/>
              </w:rPr>
            </w:pPr>
            <w:r>
              <w:rPr>
                <w:rFonts w:hint="eastAsia" w:ascii="宋体" w:hAnsi="宋体" w:cs="宋体"/>
                <w:color w:val="auto"/>
                <w:kern w:val="0"/>
                <w:highlight w:val="none"/>
              </w:rPr>
              <w:t>施工方案与技术措施（</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分）</w:t>
            </w:r>
          </w:p>
        </w:tc>
        <w:tc>
          <w:tcPr>
            <w:tcW w:w="5329" w:type="dxa"/>
            <w:gridSpan w:val="3"/>
            <w:vMerge w:val="continue"/>
            <w:vAlign w:val="center"/>
          </w:tcPr>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94" w:type="dxa"/>
            <w:vMerge w:val="continue"/>
            <w:vAlign w:val="center"/>
          </w:tcPr>
          <w:p>
            <w:pPr>
              <w:rPr>
                <w:rFonts w:ascii="宋体" w:hAnsi="宋体" w:cs="宋体"/>
                <w:color w:val="auto"/>
                <w:kern w:val="0"/>
                <w:highlight w:val="none"/>
              </w:rPr>
            </w:pPr>
          </w:p>
        </w:tc>
        <w:tc>
          <w:tcPr>
            <w:tcW w:w="1078" w:type="dxa"/>
            <w:vMerge w:val="continue"/>
            <w:vAlign w:val="center"/>
          </w:tcPr>
          <w:p>
            <w:pPr>
              <w:rPr>
                <w:rFonts w:ascii="宋体" w:hAnsi="宋体" w:cs="宋体"/>
                <w:color w:val="auto"/>
                <w:kern w:val="0"/>
                <w:highlight w:val="none"/>
              </w:rPr>
            </w:pPr>
          </w:p>
        </w:tc>
        <w:tc>
          <w:tcPr>
            <w:tcW w:w="2154" w:type="dxa"/>
            <w:gridSpan w:val="2"/>
          </w:tcPr>
          <w:p>
            <w:pPr>
              <w:rPr>
                <w:rFonts w:ascii="宋体" w:hAnsi="宋体" w:cs="宋体"/>
                <w:color w:val="auto"/>
                <w:kern w:val="0"/>
                <w:highlight w:val="none"/>
              </w:rPr>
            </w:pPr>
            <w:r>
              <w:rPr>
                <w:rFonts w:hint="eastAsia" w:ascii="宋体" w:hAnsi="宋体" w:cs="宋体"/>
                <w:color w:val="auto"/>
                <w:kern w:val="0"/>
                <w:highlight w:val="none"/>
              </w:rPr>
              <w:t>质量管理体系与措施（5分）</w:t>
            </w:r>
          </w:p>
        </w:tc>
        <w:tc>
          <w:tcPr>
            <w:tcW w:w="5329" w:type="dxa"/>
            <w:gridSpan w:val="3"/>
            <w:vMerge w:val="continue"/>
            <w:vAlign w:val="center"/>
          </w:tcPr>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94" w:type="dxa"/>
            <w:vMerge w:val="continue"/>
            <w:vAlign w:val="center"/>
          </w:tcPr>
          <w:p>
            <w:pPr>
              <w:rPr>
                <w:rFonts w:ascii="宋体" w:hAnsi="宋体" w:cs="宋体"/>
                <w:color w:val="auto"/>
                <w:kern w:val="0"/>
                <w:highlight w:val="none"/>
              </w:rPr>
            </w:pPr>
          </w:p>
        </w:tc>
        <w:tc>
          <w:tcPr>
            <w:tcW w:w="1078" w:type="dxa"/>
            <w:vMerge w:val="continue"/>
            <w:vAlign w:val="center"/>
          </w:tcPr>
          <w:p>
            <w:pPr>
              <w:rPr>
                <w:rFonts w:ascii="宋体" w:hAnsi="宋体" w:cs="宋体"/>
                <w:color w:val="auto"/>
                <w:kern w:val="0"/>
                <w:highlight w:val="none"/>
              </w:rPr>
            </w:pPr>
          </w:p>
        </w:tc>
        <w:tc>
          <w:tcPr>
            <w:tcW w:w="2154" w:type="dxa"/>
            <w:gridSpan w:val="2"/>
          </w:tcPr>
          <w:p>
            <w:pPr>
              <w:rPr>
                <w:rFonts w:ascii="宋体" w:hAnsi="宋体" w:cs="宋体"/>
                <w:color w:val="auto"/>
                <w:kern w:val="0"/>
                <w:highlight w:val="none"/>
              </w:rPr>
            </w:pPr>
            <w:r>
              <w:rPr>
                <w:rFonts w:hint="eastAsia" w:ascii="宋体" w:hAnsi="宋体" w:cs="宋体"/>
                <w:color w:val="auto"/>
                <w:kern w:val="0"/>
                <w:highlight w:val="none"/>
              </w:rPr>
              <w:t>安全管理体系与措施（</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分）</w:t>
            </w:r>
          </w:p>
        </w:tc>
        <w:tc>
          <w:tcPr>
            <w:tcW w:w="5329" w:type="dxa"/>
            <w:gridSpan w:val="3"/>
            <w:vMerge w:val="continue"/>
            <w:vAlign w:val="center"/>
          </w:tcPr>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94" w:type="dxa"/>
            <w:vMerge w:val="continue"/>
            <w:vAlign w:val="center"/>
          </w:tcPr>
          <w:p>
            <w:pPr>
              <w:rPr>
                <w:rFonts w:ascii="宋体" w:hAnsi="宋体" w:cs="宋体"/>
                <w:color w:val="auto"/>
                <w:kern w:val="0"/>
                <w:highlight w:val="none"/>
              </w:rPr>
            </w:pPr>
          </w:p>
        </w:tc>
        <w:tc>
          <w:tcPr>
            <w:tcW w:w="1078" w:type="dxa"/>
            <w:vMerge w:val="continue"/>
            <w:vAlign w:val="center"/>
          </w:tcPr>
          <w:p>
            <w:pPr>
              <w:rPr>
                <w:rFonts w:ascii="宋体" w:hAnsi="宋体" w:cs="宋体"/>
                <w:color w:val="auto"/>
                <w:kern w:val="0"/>
                <w:highlight w:val="none"/>
              </w:rPr>
            </w:pPr>
          </w:p>
        </w:tc>
        <w:tc>
          <w:tcPr>
            <w:tcW w:w="2154" w:type="dxa"/>
            <w:gridSpan w:val="2"/>
          </w:tcPr>
          <w:p>
            <w:pPr>
              <w:rPr>
                <w:rFonts w:ascii="宋体" w:hAnsi="宋体" w:cs="宋体"/>
                <w:color w:val="auto"/>
                <w:kern w:val="0"/>
                <w:highlight w:val="none"/>
              </w:rPr>
            </w:pPr>
            <w:r>
              <w:rPr>
                <w:rFonts w:hint="eastAsia" w:ascii="宋体" w:hAnsi="宋体" w:cs="宋体"/>
                <w:color w:val="auto"/>
                <w:kern w:val="0"/>
                <w:highlight w:val="none"/>
              </w:rPr>
              <w:t>环境保护管理体系措施（5分）</w:t>
            </w:r>
          </w:p>
        </w:tc>
        <w:tc>
          <w:tcPr>
            <w:tcW w:w="5329" w:type="dxa"/>
            <w:gridSpan w:val="3"/>
            <w:vMerge w:val="continue"/>
            <w:vAlign w:val="center"/>
          </w:tcPr>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94" w:type="dxa"/>
            <w:vMerge w:val="continue"/>
            <w:vAlign w:val="center"/>
          </w:tcPr>
          <w:p>
            <w:pPr>
              <w:rPr>
                <w:rFonts w:ascii="宋体" w:hAnsi="宋体" w:cs="宋体"/>
                <w:color w:val="auto"/>
                <w:kern w:val="0"/>
                <w:highlight w:val="none"/>
              </w:rPr>
            </w:pPr>
          </w:p>
        </w:tc>
        <w:tc>
          <w:tcPr>
            <w:tcW w:w="1078" w:type="dxa"/>
            <w:vMerge w:val="continue"/>
            <w:vAlign w:val="center"/>
          </w:tcPr>
          <w:p>
            <w:pPr>
              <w:rPr>
                <w:rFonts w:ascii="宋体" w:hAnsi="宋体" w:cs="宋体"/>
                <w:color w:val="auto"/>
                <w:kern w:val="0"/>
                <w:highlight w:val="none"/>
              </w:rPr>
            </w:pPr>
          </w:p>
        </w:tc>
        <w:tc>
          <w:tcPr>
            <w:tcW w:w="2154" w:type="dxa"/>
            <w:gridSpan w:val="2"/>
          </w:tcPr>
          <w:p>
            <w:pPr>
              <w:rPr>
                <w:rFonts w:ascii="宋体" w:hAnsi="宋体" w:cs="宋体"/>
                <w:color w:val="auto"/>
                <w:kern w:val="0"/>
                <w:highlight w:val="none"/>
              </w:rPr>
            </w:pPr>
            <w:r>
              <w:rPr>
                <w:rFonts w:hint="eastAsia" w:ascii="宋体" w:hAnsi="宋体" w:cs="宋体"/>
                <w:color w:val="auto"/>
                <w:kern w:val="0"/>
                <w:highlight w:val="none"/>
              </w:rPr>
              <w:t>工程进度计划与措施（</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分）</w:t>
            </w:r>
          </w:p>
        </w:tc>
        <w:tc>
          <w:tcPr>
            <w:tcW w:w="5329" w:type="dxa"/>
            <w:gridSpan w:val="3"/>
            <w:vMerge w:val="continue"/>
            <w:vAlign w:val="center"/>
          </w:tcPr>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4" w:type="dxa"/>
            <w:vAlign w:val="center"/>
          </w:tcPr>
          <w:p>
            <w:pPr>
              <w:pStyle w:val="115"/>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3.2.2</w:t>
            </w:r>
          </w:p>
        </w:tc>
        <w:tc>
          <w:tcPr>
            <w:tcW w:w="1078" w:type="dxa"/>
          </w:tcPr>
          <w:p>
            <w:pPr>
              <w:pStyle w:val="115"/>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比选申请人得分</w:t>
            </w:r>
          </w:p>
        </w:tc>
        <w:tc>
          <w:tcPr>
            <w:tcW w:w="7483" w:type="dxa"/>
            <w:gridSpan w:val="5"/>
            <w:vAlign w:val="center"/>
          </w:tcPr>
          <w:p>
            <w:pPr>
              <w:pStyle w:val="115"/>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比选申请人得分=A+B</w:t>
            </w:r>
          </w:p>
        </w:tc>
      </w:tr>
    </w:tbl>
    <w:p>
      <w:pPr>
        <w:pStyle w:val="4"/>
        <w:spacing w:line="440" w:lineRule="exact"/>
        <w:rPr>
          <w:rFonts w:ascii="宋体" w:hAnsi="宋体" w:eastAsia="宋体" w:cs="宋体"/>
          <w:color w:val="auto"/>
          <w:szCs w:val="21"/>
          <w:highlight w:val="none"/>
        </w:rPr>
      </w:pPr>
      <w:r>
        <w:rPr>
          <w:rFonts w:hint="eastAsia" w:ascii="宋体" w:hAnsi="宋体" w:eastAsia="宋体" w:cs="宋体"/>
          <w:color w:val="auto"/>
          <w:highlight w:val="none"/>
        </w:rPr>
        <w:br w:type="page"/>
      </w:r>
      <w:bookmarkEnd w:id="232"/>
      <w:bookmarkEnd w:id="233"/>
      <w:bookmarkEnd w:id="234"/>
      <w:bookmarkEnd w:id="235"/>
      <w:bookmarkEnd w:id="236"/>
      <w:bookmarkEnd w:id="237"/>
      <w:bookmarkStart w:id="238" w:name="_Toc27507"/>
      <w:bookmarkStart w:id="239" w:name="_Toc431287099"/>
      <w:bookmarkStart w:id="240" w:name="_Toc377067338"/>
      <w:bookmarkStart w:id="241" w:name="_Toc11166866"/>
      <w:bookmarkStart w:id="242" w:name="_Toc377115418"/>
      <w:bookmarkStart w:id="243" w:name="_Toc17523"/>
      <w:bookmarkStart w:id="244" w:name="_Toc425755091"/>
      <w:bookmarkStart w:id="245" w:name="_Toc376114119"/>
      <w:r>
        <w:rPr>
          <w:rFonts w:hint="eastAsia" w:ascii="宋体" w:hAnsi="宋体" w:eastAsia="宋体" w:cs="宋体"/>
          <w:color w:val="auto"/>
          <w:highlight w:val="none"/>
        </w:rPr>
        <w:t>1.  评审方法</w:t>
      </w:r>
      <w:bookmarkEnd w:id="238"/>
      <w:bookmarkEnd w:id="239"/>
      <w:bookmarkEnd w:id="240"/>
      <w:bookmarkEnd w:id="241"/>
      <w:bookmarkEnd w:id="242"/>
      <w:bookmarkEnd w:id="243"/>
      <w:bookmarkEnd w:id="244"/>
      <w:bookmarkEnd w:id="245"/>
    </w:p>
    <w:p>
      <w:pPr>
        <w:pStyle w:val="4"/>
        <w:spacing w:line="440" w:lineRule="exact"/>
        <w:ind w:firstLine="420" w:firstLineChars="200"/>
        <w:rPr>
          <w:rFonts w:ascii="宋体" w:hAnsi="宋体" w:eastAsia="宋体" w:cs="宋体"/>
          <w:b w:val="0"/>
          <w:color w:val="auto"/>
          <w:spacing w:val="0"/>
          <w:w w:val="100"/>
          <w:sz w:val="21"/>
          <w:szCs w:val="21"/>
          <w:highlight w:val="none"/>
        </w:rPr>
      </w:pPr>
      <w:bookmarkStart w:id="246" w:name="_Toc91"/>
      <w:bookmarkStart w:id="247" w:name="_Toc2669"/>
      <w:bookmarkStart w:id="248" w:name="_Toc11166867"/>
      <w:bookmarkStart w:id="249" w:name="_Toc431287100"/>
      <w:bookmarkStart w:id="250" w:name="_Toc224103385"/>
      <w:bookmarkStart w:id="251" w:name="_Toc277082619"/>
      <w:bookmarkStart w:id="252" w:name="_Toc200513199"/>
      <w:bookmarkStart w:id="253" w:name="_Toc287620752"/>
      <w:bookmarkStart w:id="254" w:name="_Toc425755092"/>
      <w:bookmarkStart w:id="255" w:name="_Toc287607813"/>
      <w:bookmarkStart w:id="256" w:name="_Toc330569206"/>
      <w:bookmarkStart w:id="257" w:name="_Toc377067339"/>
      <w:bookmarkStart w:id="258" w:name="_Toc376114120"/>
      <w:bookmarkStart w:id="259" w:name="_Toc377115419"/>
      <w:r>
        <w:rPr>
          <w:rFonts w:hint="eastAsia" w:ascii="宋体" w:hAnsi="宋体" w:eastAsia="宋体" w:cs="宋体"/>
          <w:b w:val="0"/>
          <w:color w:val="auto"/>
          <w:spacing w:val="0"/>
          <w:w w:val="100"/>
          <w:sz w:val="21"/>
          <w:szCs w:val="21"/>
          <w:highlight w:val="none"/>
        </w:rPr>
        <w:t>本评审小组对满足比选文件实质性要求的比选申请文件，按照本章第 2.2 款规定的评分标准进行打分，并按得分由高到低顺序推荐中选候选人。综合评分相等时，以比选总报价低的优先；比选总报价也相等的，由比选人自行确定。</w:t>
      </w:r>
      <w:bookmarkEnd w:id="246"/>
      <w:bookmarkEnd w:id="247"/>
      <w:bookmarkEnd w:id="248"/>
    </w:p>
    <w:p>
      <w:pPr>
        <w:pStyle w:val="4"/>
        <w:spacing w:line="440" w:lineRule="exact"/>
        <w:rPr>
          <w:rFonts w:ascii="宋体" w:hAnsi="宋体" w:eastAsia="宋体" w:cs="宋体"/>
          <w:color w:val="auto"/>
          <w:highlight w:val="none"/>
        </w:rPr>
      </w:pPr>
      <w:bookmarkStart w:id="260" w:name="_Toc5134"/>
      <w:bookmarkStart w:id="261" w:name="_Toc11166868"/>
      <w:bookmarkStart w:id="262" w:name="_Toc29277"/>
      <w:r>
        <w:rPr>
          <w:rFonts w:hint="eastAsia" w:ascii="宋体" w:hAnsi="宋体" w:eastAsia="宋体" w:cs="宋体"/>
          <w:color w:val="auto"/>
          <w:highlight w:val="none"/>
        </w:rPr>
        <w:t>2.  评审标准</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5"/>
        <w:spacing w:line="440" w:lineRule="exact"/>
        <w:rPr>
          <w:rFonts w:ascii="宋体" w:hAnsi="宋体" w:eastAsia="宋体" w:cs="宋体"/>
          <w:color w:val="auto"/>
          <w:highlight w:val="none"/>
        </w:rPr>
      </w:pPr>
      <w:bookmarkStart w:id="263" w:name="_Toc287607814"/>
      <w:bookmarkStart w:id="264" w:name="_Toc376114121"/>
      <w:bookmarkStart w:id="265" w:name="_Toc287620753"/>
      <w:bookmarkStart w:id="266" w:name="_Toc377115420"/>
      <w:bookmarkStart w:id="267" w:name="_Toc330569207"/>
      <w:bookmarkStart w:id="268" w:name="_Toc377067340"/>
      <w:bookmarkStart w:id="269" w:name="_Toc431287101"/>
      <w:bookmarkStart w:id="270" w:name="_Toc277082620"/>
      <w:bookmarkStart w:id="271" w:name="_Toc200513200"/>
      <w:bookmarkStart w:id="272" w:name="_Toc224103386"/>
      <w:bookmarkStart w:id="273" w:name="_Toc11166869"/>
      <w:bookmarkStart w:id="274" w:name="_Toc425755093"/>
      <w:r>
        <w:rPr>
          <w:rFonts w:hint="eastAsia" w:ascii="宋体" w:hAnsi="宋体" w:eastAsia="宋体" w:cs="宋体"/>
          <w:color w:val="auto"/>
          <w:highlight w:val="none"/>
        </w:rPr>
        <w:t>2.1  初步评审标准</w:t>
      </w:r>
      <w:bookmarkEnd w:id="263"/>
      <w:bookmarkEnd w:id="264"/>
      <w:bookmarkEnd w:id="265"/>
      <w:bookmarkEnd w:id="266"/>
      <w:bookmarkEnd w:id="267"/>
      <w:bookmarkEnd w:id="268"/>
      <w:bookmarkEnd w:id="269"/>
      <w:bookmarkEnd w:id="270"/>
      <w:bookmarkEnd w:id="271"/>
      <w:bookmarkEnd w:id="272"/>
      <w:bookmarkEnd w:id="273"/>
      <w:bookmarkEnd w:id="274"/>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2.1.1  形式评审标准：见评审办法前附表。</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2.1.2  资格评审标准：见评审办法前附表。</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2.1.3  响应性评审标准：见评审办法前附表。</w:t>
      </w:r>
    </w:p>
    <w:p>
      <w:pPr>
        <w:pStyle w:val="5"/>
        <w:spacing w:line="440" w:lineRule="exact"/>
        <w:rPr>
          <w:rFonts w:ascii="宋体" w:hAnsi="宋体" w:eastAsia="宋体" w:cs="宋体"/>
          <w:color w:val="auto"/>
          <w:highlight w:val="none"/>
        </w:rPr>
      </w:pPr>
      <w:bookmarkStart w:id="275" w:name="_Toc224103387"/>
      <w:bookmarkStart w:id="276" w:name="_Toc509218779"/>
      <w:bookmarkStart w:id="277" w:name="_Toc287607815"/>
      <w:bookmarkStart w:id="278" w:name="_Toc430530503"/>
      <w:bookmarkStart w:id="279" w:name="_Toc287620754"/>
      <w:bookmarkStart w:id="280" w:name="_Toc57905900"/>
      <w:bookmarkStart w:id="281" w:name="_Toc17923"/>
      <w:bookmarkStart w:id="282" w:name="_Toc277082621"/>
      <w:bookmarkStart w:id="283" w:name="_Toc200513201"/>
      <w:bookmarkStart w:id="284" w:name="_Toc14288"/>
      <w:r>
        <w:rPr>
          <w:rFonts w:hint="eastAsia" w:ascii="宋体" w:hAnsi="宋体" w:eastAsia="宋体" w:cs="宋体"/>
          <w:color w:val="auto"/>
          <w:highlight w:val="none"/>
        </w:rPr>
        <w:t>2.2  分值构成与评分标准</w:t>
      </w:r>
      <w:bookmarkEnd w:id="275"/>
      <w:bookmarkEnd w:id="276"/>
      <w:bookmarkEnd w:id="277"/>
      <w:bookmarkEnd w:id="278"/>
      <w:bookmarkEnd w:id="279"/>
      <w:bookmarkEnd w:id="280"/>
      <w:bookmarkEnd w:id="281"/>
      <w:bookmarkEnd w:id="282"/>
      <w:bookmarkEnd w:id="283"/>
      <w:bookmarkEnd w:id="284"/>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2.2.1 分值构成</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（1）比选总报价：见评审办法前附表；</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（2）技术部分：见评审办法前附表。</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2.2.2 评审基准价计算</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评审基准价计算方法：见评审办法前附表。</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2.2.3 比选总报价的偏差率计算和允许偏差范围</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（1）比选总报价的偏差率计算公式：见评审办法前附表；</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（2）比选总报价的允许偏差范围：见评审办法前附表。</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2.2.4 评分标准</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bookmarkStart w:id="285" w:name="_Toc376114123"/>
      <w:bookmarkStart w:id="286" w:name="_Toc431287103"/>
      <w:bookmarkStart w:id="287" w:name="_Toc377115422"/>
      <w:bookmarkStart w:id="288" w:name="_Toc287607816"/>
      <w:bookmarkStart w:id="289" w:name="_Toc224103388"/>
      <w:bookmarkStart w:id="290" w:name="_Toc12899"/>
      <w:bookmarkStart w:id="291" w:name="_Toc425755095"/>
      <w:bookmarkStart w:id="292" w:name="_Toc287620755"/>
      <w:bookmarkStart w:id="293" w:name="_Toc330569209"/>
      <w:bookmarkStart w:id="294" w:name="_Toc11166870"/>
      <w:bookmarkStart w:id="295" w:name="_Toc200513202"/>
      <w:bookmarkStart w:id="296" w:name="_Toc277082622"/>
      <w:bookmarkStart w:id="297" w:name="_Toc12318"/>
      <w:bookmarkStart w:id="298" w:name="_Toc377067342"/>
      <w:r>
        <w:rPr>
          <w:rFonts w:hint="eastAsia" w:ascii="宋体" w:hAnsi="宋体" w:cs="宋体"/>
          <w:color w:val="auto"/>
          <w:kern w:val="0"/>
          <w:szCs w:val="21"/>
          <w:highlight w:val="none"/>
        </w:rPr>
        <w:t>（1）技术部分评审标准：见评审办法前附表；</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（2）比选总报价评审标准：见评审办法前附表。</w:t>
      </w:r>
    </w:p>
    <w:p>
      <w:pPr>
        <w:pStyle w:val="4"/>
        <w:spacing w:line="440" w:lineRule="exact"/>
        <w:rPr>
          <w:rFonts w:ascii="宋体" w:hAnsi="宋体" w:eastAsia="宋体" w:cs="宋体"/>
          <w:color w:val="auto"/>
          <w:highlight w:val="none"/>
        </w:rPr>
      </w:pPr>
      <w:r>
        <w:rPr>
          <w:rFonts w:hint="eastAsia" w:ascii="宋体" w:hAnsi="宋体" w:eastAsia="宋体" w:cs="宋体"/>
          <w:color w:val="auto"/>
          <w:highlight w:val="none"/>
        </w:rPr>
        <w:t>3.  评审程序</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Style w:val="5"/>
        <w:spacing w:line="440" w:lineRule="exact"/>
        <w:rPr>
          <w:rFonts w:ascii="宋体" w:hAnsi="宋体" w:eastAsia="宋体" w:cs="宋体"/>
          <w:color w:val="auto"/>
          <w:highlight w:val="none"/>
        </w:rPr>
      </w:pPr>
      <w:bookmarkStart w:id="299" w:name="_Toc376114124"/>
      <w:bookmarkStart w:id="300" w:name="_Toc11166871"/>
      <w:bookmarkStart w:id="301" w:name="_Toc200513203"/>
      <w:bookmarkStart w:id="302" w:name="_Toc330569210"/>
      <w:bookmarkStart w:id="303" w:name="_Toc277082623"/>
      <w:bookmarkStart w:id="304" w:name="_Toc377067343"/>
      <w:bookmarkStart w:id="305" w:name="_Toc425755096"/>
      <w:bookmarkStart w:id="306" w:name="_Toc224103389"/>
      <w:bookmarkStart w:id="307" w:name="_Toc431287104"/>
      <w:bookmarkStart w:id="308" w:name="_Toc377115423"/>
      <w:bookmarkStart w:id="309" w:name="_Toc287620756"/>
      <w:bookmarkStart w:id="310" w:name="_Toc287607817"/>
      <w:r>
        <w:rPr>
          <w:rFonts w:hint="eastAsia" w:ascii="宋体" w:hAnsi="宋体" w:eastAsia="宋体" w:cs="宋体"/>
          <w:color w:val="auto"/>
          <w:highlight w:val="none"/>
        </w:rPr>
        <w:t>3.1  初步评审</w:t>
      </w:r>
      <w:bookmarkEnd w:id="299"/>
      <w:bookmarkEnd w:id="300"/>
      <w:bookmarkEnd w:id="301"/>
      <w:bookmarkEnd w:id="302"/>
      <w:bookmarkEnd w:id="303"/>
      <w:bookmarkEnd w:id="304"/>
      <w:bookmarkEnd w:id="305"/>
      <w:bookmarkEnd w:id="306"/>
      <w:bookmarkEnd w:id="307"/>
      <w:bookmarkEnd w:id="308"/>
      <w:bookmarkEnd w:id="309"/>
      <w:bookmarkEnd w:id="310"/>
    </w:p>
    <w:p>
      <w:pPr>
        <w:autoSpaceDE w:val="0"/>
        <w:autoSpaceDN w:val="0"/>
        <w:adjustRightInd w:val="0"/>
        <w:snapToGrid w:val="0"/>
        <w:spacing w:line="440" w:lineRule="exact"/>
        <w:ind w:left="1" w:firstLine="535" w:firstLineChars="255"/>
        <w:jc w:val="left"/>
        <w:outlineLvl w:val="0"/>
        <w:rPr>
          <w:rFonts w:ascii="宋体" w:hAnsi="宋体" w:cs="宋体"/>
          <w:color w:val="auto"/>
          <w:kern w:val="0"/>
          <w:szCs w:val="21"/>
          <w:highlight w:val="none"/>
        </w:rPr>
      </w:pPr>
      <w:bookmarkStart w:id="311" w:name="_Toc377115424"/>
      <w:bookmarkStart w:id="312" w:name="_Toc332028970"/>
      <w:bookmarkStart w:id="313" w:name="_Toc332380970"/>
      <w:bookmarkStart w:id="314" w:name="_Toc373264792"/>
      <w:bookmarkStart w:id="315" w:name="_Toc356243677"/>
      <w:bookmarkStart w:id="316" w:name="_Toc356484119"/>
      <w:bookmarkStart w:id="317" w:name="_Toc334002333"/>
      <w:bookmarkStart w:id="318" w:name="_Toc373172234"/>
      <w:bookmarkStart w:id="319" w:name="_Toc3617"/>
      <w:bookmarkStart w:id="320" w:name="_Toc354387014"/>
      <w:bookmarkStart w:id="321" w:name="_Toc17672"/>
      <w:bookmarkStart w:id="322" w:name="_Toc425755097"/>
      <w:bookmarkStart w:id="323" w:name="_Toc431287105"/>
      <w:bookmarkStart w:id="324" w:name="_Toc30598"/>
      <w:bookmarkStart w:id="325" w:name="_Toc27164"/>
      <w:bookmarkStart w:id="326" w:name="_Toc11166872"/>
      <w:bookmarkStart w:id="327" w:name="_Toc407195384"/>
      <w:bookmarkStart w:id="328" w:name="_Toc330569211"/>
      <w:bookmarkStart w:id="329" w:name="_Toc332015984"/>
      <w:bookmarkStart w:id="330" w:name="_Toc331232649"/>
      <w:bookmarkStart w:id="331" w:name="_Toc428518312"/>
      <w:bookmarkStart w:id="332" w:name="_Toc376114125"/>
      <w:bookmarkStart w:id="333" w:name="_Toc377067344"/>
      <w:bookmarkStart w:id="334" w:name="_Toc331232467"/>
      <w:r>
        <w:rPr>
          <w:rFonts w:hint="eastAsia" w:ascii="宋体" w:hAnsi="宋体" w:cs="宋体"/>
          <w:color w:val="auto"/>
          <w:kern w:val="0"/>
          <w:szCs w:val="21"/>
          <w:highlight w:val="none"/>
        </w:rPr>
        <w:t>3.1.1  评审小组依据本章第 2.1 款规定的标准对比选申请文件进行初步评审。有一项不符合评审标准的，作废选处理。</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3.1.2  比选申请人有以下情形之一的，其比选作废选处理：</w:t>
      </w:r>
    </w:p>
    <w:p>
      <w:pPr>
        <w:autoSpaceDE w:val="0"/>
        <w:autoSpaceDN w:val="0"/>
        <w:adjustRightInd w:val="0"/>
        <w:snapToGrid w:val="0"/>
        <w:spacing w:line="440" w:lineRule="exact"/>
        <w:ind w:firstLine="518"/>
        <w:jc w:val="left"/>
        <w:rPr>
          <w:rFonts w:ascii="宋体" w:hAnsi="宋体" w:cs="宋体"/>
          <w:color w:val="auto"/>
          <w:kern w:val="0"/>
          <w:szCs w:val="21"/>
          <w:highlight w:val="none"/>
        </w:rPr>
      </w:pPr>
      <w:r>
        <w:rPr>
          <w:rFonts w:hint="eastAsia" w:ascii="宋体" w:hAnsi="宋体" w:cs="宋体"/>
          <w:color w:val="auto"/>
          <w:kern w:val="0"/>
          <w:szCs w:val="21"/>
          <w:highlight w:val="none"/>
        </w:rPr>
        <w:t>（1）第二章“比选申请人须知”第 1.4.3 项规定的任何一种情形的；</w:t>
      </w:r>
    </w:p>
    <w:p>
      <w:pPr>
        <w:autoSpaceDE w:val="0"/>
        <w:autoSpaceDN w:val="0"/>
        <w:adjustRightInd w:val="0"/>
        <w:snapToGrid w:val="0"/>
        <w:spacing w:line="440" w:lineRule="exact"/>
        <w:ind w:firstLine="518"/>
        <w:jc w:val="left"/>
        <w:rPr>
          <w:rFonts w:ascii="宋体" w:hAnsi="宋体" w:cs="宋体"/>
          <w:color w:val="auto"/>
          <w:kern w:val="0"/>
          <w:szCs w:val="21"/>
          <w:highlight w:val="none"/>
        </w:rPr>
      </w:pPr>
      <w:r>
        <w:rPr>
          <w:rFonts w:hint="eastAsia" w:ascii="宋体" w:hAnsi="宋体" w:cs="宋体"/>
          <w:color w:val="auto"/>
          <w:kern w:val="0"/>
          <w:szCs w:val="21"/>
          <w:highlight w:val="none"/>
        </w:rPr>
        <w:t>（2）串通参与比选或弄虚作假或有其他违法行为的；</w:t>
      </w:r>
    </w:p>
    <w:p>
      <w:pPr>
        <w:autoSpaceDE w:val="0"/>
        <w:autoSpaceDN w:val="0"/>
        <w:adjustRightInd w:val="0"/>
        <w:snapToGrid w:val="0"/>
        <w:spacing w:line="440" w:lineRule="exact"/>
        <w:ind w:firstLine="518"/>
        <w:jc w:val="left"/>
        <w:rPr>
          <w:rFonts w:ascii="宋体" w:hAnsi="宋体" w:cs="宋体"/>
          <w:color w:val="auto"/>
          <w:kern w:val="0"/>
          <w:szCs w:val="21"/>
          <w:highlight w:val="none"/>
        </w:rPr>
      </w:pPr>
      <w:r>
        <w:rPr>
          <w:rFonts w:hint="eastAsia" w:ascii="宋体" w:hAnsi="宋体" w:cs="宋体"/>
          <w:color w:val="auto"/>
          <w:kern w:val="0"/>
          <w:szCs w:val="21"/>
          <w:highlight w:val="none"/>
        </w:rPr>
        <w:t>（3）不按评审小组要求澄清、说明或补正的。</w:t>
      </w:r>
    </w:p>
    <w:p>
      <w:pPr>
        <w:autoSpaceDE w:val="0"/>
        <w:autoSpaceDN w:val="0"/>
        <w:adjustRightInd w:val="0"/>
        <w:snapToGrid w:val="0"/>
        <w:spacing w:line="440" w:lineRule="exact"/>
        <w:ind w:firstLine="518"/>
        <w:jc w:val="left"/>
        <w:rPr>
          <w:rFonts w:ascii="宋体" w:hAnsi="宋体" w:cs="宋体"/>
          <w:color w:val="auto"/>
          <w:kern w:val="0"/>
          <w:szCs w:val="21"/>
          <w:highlight w:val="none"/>
        </w:rPr>
      </w:pPr>
      <w:r>
        <w:rPr>
          <w:rFonts w:hint="eastAsia" w:ascii="宋体" w:hAnsi="宋体" w:cs="宋体"/>
          <w:color w:val="auto"/>
          <w:kern w:val="0"/>
          <w:szCs w:val="21"/>
          <w:highlight w:val="none"/>
        </w:rPr>
        <w:t>（4）本比选文件约定的其它情形。</w:t>
      </w:r>
    </w:p>
    <w:p>
      <w:pPr>
        <w:autoSpaceDE w:val="0"/>
        <w:autoSpaceDN w:val="0"/>
        <w:adjustRightInd w:val="0"/>
        <w:snapToGrid w:val="0"/>
        <w:spacing w:line="440" w:lineRule="exact"/>
        <w:ind w:firstLine="532"/>
        <w:jc w:val="left"/>
        <w:rPr>
          <w:rFonts w:ascii="宋体" w:hAnsi="宋体" w:cs="宋体"/>
          <w:color w:val="auto"/>
          <w:kern w:val="0"/>
          <w:szCs w:val="21"/>
          <w:highlight w:val="none"/>
        </w:rPr>
      </w:pPr>
      <w:r>
        <w:rPr>
          <w:rFonts w:hint="eastAsia" w:ascii="宋体" w:hAnsi="宋体" w:cs="宋体"/>
          <w:color w:val="auto"/>
          <w:kern w:val="0"/>
          <w:szCs w:val="21"/>
          <w:highlight w:val="none"/>
        </w:rPr>
        <w:t>3.1.3  比选报价有算术错误的，评审小组按以下原则对比选报价进行修正，修正的价格经比选申请人书面确认后具有约束力。修正原则如下：</w:t>
      </w:r>
      <w:r>
        <w:rPr>
          <w:rFonts w:hint="eastAsia" w:ascii="宋体" w:hAnsi="宋体" w:cs="宋体"/>
          <w:color w:val="auto"/>
          <w:spacing w:val="-1"/>
          <w:kern w:val="0"/>
          <w:szCs w:val="21"/>
          <w:highlight w:val="none"/>
        </w:rPr>
        <w:t>比选申请文件中的大写金额与小写金额不一致的，以大写金</w:t>
      </w:r>
      <w:r>
        <w:rPr>
          <w:rFonts w:hint="eastAsia" w:ascii="宋体" w:hAnsi="宋体" w:cs="宋体"/>
          <w:color w:val="auto"/>
          <w:kern w:val="0"/>
          <w:szCs w:val="21"/>
          <w:highlight w:val="none"/>
        </w:rPr>
        <w:t>额为准；</w:t>
      </w:r>
    </w:p>
    <w:p>
      <w:pPr>
        <w:pStyle w:val="5"/>
        <w:spacing w:line="440" w:lineRule="exact"/>
        <w:rPr>
          <w:rFonts w:ascii="宋体" w:hAnsi="宋体" w:eastAsia="宋体" w:cs="宋体"/>
          <w:color w:val="auto"/>
          <w:highlight w:val="none"/>
        </w:rPr>
      </w:pPr>
      <w:bookmarkStart w:id="335" w:name="_Toc200513204"/>
      <w:bookmarkStart w:id="336" w:name="_Toc287620757"/>
      <w:bookmarkStart w:id="337" w:name="_Toc11166873"/>
      <w:bookmarkStart w:id="338" w:name="_Toc330569212"/>
      <w:bookmarkStart w:id="339" w:name="_Toc425755098"/>
      <w:bookmarkStart w:id="340" w:name="_Toc377115425"/>
      <w:bookmarkStart w:id="341" w:name="_Toc287607818"/>
      <w:bookmarkStart w:id="342" w:name="_Toc376114126"/>
      <w:bookmarkStart w:id="343" w:name="_Toc277082624"/>
      <w:bookmarkStart w:id="344" w:name="_Toc431287106"/>
      <w:bookmarkStart w:id="345" w:name="_Toc377067345"/>
      <w:bookmarkStart w:id="346" w:name="_Toc224103390"/>
      <w:r>
        <w:rPr>
          <w:rFonts w:hint="eastAsia" w:ascii="宋体" w:hAnsi="宋体" w:eastAsia="宋体" w:cs="宋体"/>
          <w:color w:val="auto"/>
          <w:highlight w:val="none"/>
        </w:rPr>
        <w:t>3.2  详细评审</w:t>
      </w:r>
      <w:bookmarkEnd w:id="335"/>
      <w:bookmarkEnd w:id="336"/>
      <w:bookmarkEnd w:id="337"/>
      <w:bookmarkEnd w:id="338"/>
      <w:bookmarkEnd w:id="339"/>
      <w:bookmarkEnd w:id="340"/>
      <w:bookmarkEnd w:id="341"/>
      <w:bookmarkEnd w:id="342"/>
      <w:bookmarkEnd w:id="343"/>
      <w:bookmarkEnd w:id="344"/>
      <w:bookmarkEnd w:id="345"/>
      <w:bookmarkEnd w:id="346"/>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bookmarkStart w:id="347" w:name="_Toc11166874"/>
      <w:bookmarkStart w:id="348" w:name="_Toc431287107"/>
      <w:bookmarkStart w:id="349" w:name="_Toc376114127"/>
      <w:bookmarkStart w:id="350" w:name="_Toc224103391"/>
      <w:bookmarkStart w:id="351" w:name="_Toc377067346"/>
      <w:bookmarkStart w:id="352" w:name="_Toc330569213"/>
      <w:bookmarkStart w:id="353" w:name="_Toc200513205"/>
      <w:bookmarkStart w:id="354" w:name="_Toc277082625"/>
      <w:bookmarkStart w:id="355" w:name="_Toc425755099"/>
      <w:bookmarkStart w:id="356" w:name="_Toc287620758"/>
      <w:bookmarkStart w:id="357" w:name="_Toc287607819"/>
      <w:bookmarkStart w:id="358" w:name="_Toc377115426"/>
      <w:r>
        <w:rPr>
          <w:rFonts w:hint="eastAsia" w:ascii="宋体" w:hAnsi="宋体" w:cs="宋体"/>
          <w:color w:val="auto"/>
          <w:kern w:val="0"/>
          <w:szCs w:val="21"/>
          <w:highlight w:val="none"/>
        </w:rPr>
        <w:t>3.2.1 评审小组按本章第2.2款规定的量化因素和分值进行打分，并计算出综合评估得分。</w:t>
      </w:r>
      <w:bookmarkEnd w:id="347"/>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bookmarkStart w:id="359" w:name="_Toc11166875"/>
      <w:r>
        <w:rPr>
          <w:rFonts w:hint="eastAsia" w:ascii="宋体" w:hAnsi="宋体" w:cs="宋体"/>
          <w:color w:val="auto"/>
          <w:kern w:val="0"/>
          <w:szCs w:val="21"/>
          <w:highlight w:val="none"/>
        </w:rPr>
        <w:t>（1）按评审办法前附表规定的评审因素和分值对比选总报价计算出得分A；</w:t>
      </w:r>
      <w:bookmarkEnd w:id="359"/>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（2）按评审办法前附表规定的评审因素和分值对技术方案计算出得分</w:t>
      </w:r>
      <w:r>
        <w:rPr>
          <w:rFonts w:hint="eastAsia" w:ascii="宋体" w:hAnsi="宋体" w:cs="宋体"/>
          <w:color w:val="auto"/>
          <w:kern w:val="0"/>
          <w:szCs w:val="21"/>
          <w:highlight w:val="none"/>
          <w:lang w:val="en-US" w:eastAsia="zh-CN"/>
        </w:rPr>
        <w:t>B</w:t>
      </w:r>
      <w:r>
        <w:rPr>
          <w:rFonts w:hint="eastAsia" w:ascii="宋体" w:hAnsi="宋体" w:cs="宋体"/>
          <w:color w:val="auto"/>
          <w:kern w:val="0"/>
          <w:szCs w:val="21"/>
          <w:highlight w:val="none"/>
        </w:rPr>
        <w:t>；</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bookmarkStart w:id="360" w:name="_Toc11166876"/>
      <w:r>
        <w:rPr>
          <w:rFonts w:hint="eastAsia" w:ascii="宋体" w:hAnsi="宋体" w:cs="宋体"/>
          <w:color w:val="auto"/>
          <w:kern w:val="0"/>
          <w:szCs w:val="21"/>
          <w:highlight w:val="none"/>
        </w:rPr>
        <w:t>3.2.2 评分分值计算保留小数点后两位，小数点后第三位“四舍五入”。</w:t>
      </w:r>
      <w:bookmarkEnd w:id="360"/>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bookmarkStart w:id="361" w:name="_Toc11166877"/>
      <w:r>
        <w:rPr>
          <w:rFonts w:hint="eastAsia" w:ascii="宋体" w:hAnsi="宋体" w:cs="宋体"/>
          <w:color w:val="auto"/>
          <w:kern w:val="0"/>
          <w:szCs w:val="21"/>
          <w:highlight w:val="none"/>
        </w:rPr>
        <w:t>3.2.3 比选申请人得分=A</w:t>
      </w:r>
      <w:bookmarkEnd w:id="361"/>
      <w:r>
        <w:rPr>
          <w:rFonts w:hint="eastAsia" w:ascii="宋体" w:hAnsi="宋体" w:cs="宋体"/>
          <w:color w:val="auto"/>
          <w:kern w:val="0"/>
          <w:szCs w:val="21"/>
          <w:highlight w:val="none"/>
        </w:rPr>
        <w:t>+B</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bookmarkStart w:id="362" w:name="_Toc11166878"/>
      <w:r>
        <w:rPr>
          <w:rFonts w:hint="eastAsia" w:ascii="宋体" w:hAnsi="宋体" w:cs="宋体"/>
          <w:color w:val="auto"/>
          <w:kern w:val="0"/>
          <w:szCs w:val="21"/>
          <w:highlight w:val="none"/>
        </w:rPr>
        <w:t>3.2.4 评审小组发现比选申请人的报价明显低于其他比选报价，或者在设有标底时明显低于标底，使得其比选报价可能低于其个别成本的，应当要求该比选申请人做出书面说明并提供相应的证明材料。比选申请人不能合理说明或者不能提供相应证明材料的，由评审小组认定该比选申请人以低于成本报价参与比选，其比选作否决比选处理。</w:t>
      </w:r>
      <w:bookmarkEnd w:id="362"/>
      <w:bookmarkStart w:id="363" w:name="_Toc11166879"/>
    </w:p>
    <w:p>
      <w:pPr>
        <w:pStyle w:val="5"/>
        <w:spacing w:before="0" w:line="440" w:lineRule="exact"/>
        <w:rPr>
          <w:rFonts w:ascii="宋体" w:hAnsi="宋体" w:eastAsia="宋体" w:cs="宋体"/>
          <w:b w:val="0"/>
          <w:color w:val="auto"/>
          <w:sz w:val="21"/>
          <w:szCs w:val="21"/>
          <w:highlight w:val="none"/>
        </w:rPr>
      </w:pPr>
      <w:r>
        <w:rPr>
          <w:rFonts w:hint="eastAsia" w:ascii="宋体" w:hAnsi="宋体" w:eastAsia="宋体" w:cs="宋体"/>
          <w:color w:val="auto"/>
          <w:highlight w:val="none"/>
        </w:rPr>
        <w:t>3.3  比选申请文件的澄清和补正</w:t>
      </w:r>
      <w:bookmarkEnd w:id="348"/>
      <w:bookmarkEnd w:id="349"/>
      <w:bookmarkEnd w:id="350"/>
      <w:bookmarkEnd w:id="351"/>
      <w:bookmarkEnd w:id="352"/>
      <w:bookmarkEnd w:id="353"/>
      <w:bookmarkEnd w:id="354"/>
      <w:bookmarkEnd w:id="355"/>
      <w:bookmarkEnd w:id="356"/>
      <w:bookmarkEnd w:id="357"/>
      <w:bookmarkEnd w:id="358"/>
      <w:bookmarkEnd w:id="363"/>
    </w:p>
    <w:p>
      <w:pPr>
        <w:autoSpaceDE w:val="0"/>
        <w:autoSpaceDN w:val="0"/>
        <w:adjustRightInd w:val="0"/>
        <w:snapToGrid w:val="0"/>
        <w:spacing w:line="440" w:lineRule="exact"/>
        <w:ind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3.3.1  在评审过程中，评审小组可以书面形式要求比选申请人对所提交比选申请文件中不明确的内容进行书面澄清或说明，或者对细微偏差进行补正。评审小组不接受比选申请人主动提出的澄清、说明或补正。</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3.3.2  澄清、说明和补正不得改变比选申请文件的实质性内容（算术性错误修正的除外）。比选申请人的书面澄清、说明和补正属于比选申请文件的组成部分。</w:t>
      </w:r>
    </w:p>
    <w:p>
      <w:pPr>
        <w:autoSpaceDE w:val="0"/>
        <w:autoSpaceDN w:val="0"/>
        <w:adjustRightInd w:val="0"/>
        <w:snapToGrid w:val="0"/>
        <w:spacing w:line="440" w:lineRule="exact"/>
        <w:ind w:left="1" w:firstLine="535" w:firstLineChars="255"/>
        <w:jc w:val="left"/>
        <w:rPr>
          <w:rFonts w:ascii="宋体" w:hAnsi="宋体" w:cs="宋体"/>
          <w:color w:val="auto"/>
          <w:kern w:val="0"/>
          <w:szCs w:val="21"/>
          <w:highlight w:val="none"/>
        </w:rPr>
      </w:pPr>
      <w:r>
        <w:rPr>
          <w:rFonts w:hint="eastAsia" w:ascii="宋体" w:hAnsi="宋体" w:cs="宋体"/>
          <w:color w:val="auto"/>
          <w:kern w:val="0"/>
          <w:szCs w:val="21"/>
          <w:highlight w:val="none"/>
        </w:rPr>
        <w:t>3.3.3  评审小组对比选申请人提交的澄清、说明或补正有疑问的，可以要求比选申请人进一步澄清、说明或补正，直至满足评审小组的要求。</w:t>
      </w:r>
    </w:p>
    <w:p>
      <w:pPr>
        <w:pStyle w:val="5"/>
        <w:spacing w:line="440" w:lineRule="exact"/>
        <w:rPr>
          <w:rFonts w:ascii="宋体" w:hAnsi="宋体" w:eastAsia="宋体" w:cs="宋体"/>
          <w:color w:val="auto"/>
          <w:highlight w:val="none"/>
        </w:rPr>
      </w:pPr>
      <w:bookmarkStart w:id="364" w:name="_Toc431287108"/>
      <w:bookmarkStart w:id="365" w:name="_Toc224103392"/>
      <w:bookmarkStart w:id="366" w:name="_Toc277082626"/>
      <w:bookmarkStart w:id="367" w:name="_Toc330569214"/>
      <w:bookmarkStart w:id="368" w:name="_Toc377067347"/>
      <w:bookmarkStart w:id="369" w:name="_Toc376114128"/>
      <w:bookmarkStart w:id="370" w:name="_Toc11166880"/>
      <w:bookmarkStart w:id="371" w:name="_Toc200513206"/>
      <w:bookmarkStart w:id="372" w:name="_Toc287620759"/>
      <w:bookmarkStart w:id="373" w:name="_Toc287607820"/>
      <w:bookmarkStart w:id="374" w:name="_Toc425755100"/>
      <w:bookmarkStart w:id="375" w:name="_Toc377115427"/>
      <w:r>
        <w:rPr>
          <w:rFonts w:hint="eastAsia" w:ascii="宋体" w:hAnsi="宋体" w:eastAsia="宋体" w:cs="宋体"/>
          <w:color w:val="auto"/>
          <w:highlight w:val="none"/>
        </w:rPr>
        <w:t>3.4  评审结果</w:t>
      </w:r>
      <w:bookmarkEnd w:id="364"/>
      <w:bookmarkEnd w:id="365"/>
      <w:bookmarkEnd w:id="366"/>
      <w:bookmarkEnd w:id="367"/>
      <w:bookmarkEnd w:id="368"/>
      <w:bookmarkEnd w:id="369"/>
      <w:bookmarkEnd w:id="370"/>
      <w:bookmarkEnd w:id="371"/>
      <w:bookmarkEnd w:id="372"/>
      <w:bookmarkEnd w:id="373"/>
      <w:bookmarkEnd w:id="374"/>
      <w:bookmarkEnd w:id="375"/>
    </w:p>
    <w:p>
      <w:pPr>
        <w:autoSpaceDE w:val="0"/>
        <w:autoSpaceDN w:val="0"/>
        <w:adjustRightInd w:val="0"/>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3.</w:t>
      </w:r>
      <w:r>
        <w:rPr>
          <w:rFonts w:hint="eastAsia" w:ascii="宋体" w:hAnsi="宋体" w:cs="宋体"/>
          <w:color w:val="auto"/>
          <w:spacing w:val="-1"/>
          <w:kern w:val="0"/>
          <w:szCs w:val="21"/>
          <w:highlight w:val="none"/>
        </w:rPr>
        <w:t>4</w:t>
      </w:r>
      <w:r>
        <w:rPr>
          <w:rFonts w:hint="eastAsia" w:ascii="宋体" w:hAnsi="宋体" w:cs="宋体"/>
          <w:color w:val="auto"/>
          <w:kern w:val="0"/>
          <w:szCs w:val="21"/>
          <w:highlight w:val="none"/>
        </w:rPr>
        <w:t xml:space="preserve">.1 </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除第二章“比选申请人须知”前</w:t>
      </w:r>
      <w:r>
        <w:rPr>
          <w:rFonts w:hint="eastAsia" w:ascii="宋体" w:hAnsi="宋体" w:cs="宋体"/>
          <w:color w:val="auto"/>
          <w:spacing w:val="1"/>
          <w:kern w:val="0"/>
          <w:szCs w:val="21"/>
          <w:highlight w:val="none"/>
        </w:rPr>
        <w:t>附</w:t>
      </w:r>
      <w:r>
        <w:rPr>
          <w:rFonts w:hint="eastAsia" w:ascii="宋体" w:hAnsi="宋体" w:cs="宋体"/>
          <w:color w:val="auto"/>
          <w:kern w:val="0"/>
          <w:szCs w:val="21"/>
          <w:highlight w:val="none"/>
        </w:rPr>
        <w:t>表授权直</w:t>
      </w:r>
      <w:r>
        <w:rPr>
          <w:rFonts w:hint="eastAsia" w:ascii="宋体" w:hAnsi="宋体" w:cs="宋体"/>
          <w:color w:val="auto"/>
          <w:spacing w:val="1"/>
          <w:kern w:val="0"/>
          <w:szCs w:val="21"/>
          <w:highlight w:val="none"/>
        </w:rPr>
        <w:t>接</w:t>
      </w:r>
      <w:r>
        <w:rPr>
          <w:rFonts w:hint="eastAsia" w:ascii="宋体" w:hAnsi="宋体" w:cs="宋体"/>
          <w:color w:val="auto"/>
          <w:kern w:val="0"/>
          <w:szCs w:val="21"/>
          <w:highlight w:val="none"/>
        </w:rPr>
        <w:t>确定中选人外，评审小组按照</w:t>
      </w:r>
      <w:r>
        <w:rPr>
          <w:rFonts w:hint="eastAsia" w:ascii="宋体" w:hAnsi="宋体" w:cs="宋体"/>
          <w:color w:val="auto"/>
          <w:spacing w:val="1"/>
          <w:kern w:val="0"/>
          <w:szCs w:val="21"/>
          <w:highlight w:val="none"/>
        </w:rPr>
        <w:t>得分</w:t>
      </w:r>
      <w:r>
        <w:rPr>
          <w:rFonts w:hint="eastAsia" w:ascii="宋体" w:hAnsi="宋体" w:cs="宋体"/>
          <w:color w:val="auto"/>
          <w:kern w:val="0"/>
          <w:szCs w:val="21"/>
          <w:highlight w:val="none"/>
        </w:rPr>
        <w:t>由高到低的顺序推荐中选候选人。</w:t>
      </w:r>
    </w:p>
    <w:p>
      <w:pPr>
        <w:autoSpaceDE w:val="0"/>
        <w:autoSpaceDN w:val="0"/>
        <w:adjustRightInd w:val="0"/>
        <w:snapToGrid w:val="0"/>
        <w:spacing w:line="440" w:lineRule="exact"/>
        <w:jc w:val="left"/>
        <w:rPr>
          <w:rFonts w:ascii="宋体" w:hAnsi="宋体" w:cs="宋体"/>
          <w:color w:val="auto"/>
          <w:kern w:val="0"/>
          <w:szCs w:val="21"/>
          <w:highlight w:val="none"/>
        </w:rPr>
      </w:pPr>
      <w:r>
        <w:rPr>
          <w:rFonts w:hint="eastAsia" w:ascii="宋体" w:hAnsi="宋体" w:cs="宋体"/>
          <w:color w:val="auto"/>
          <w:spacing w:val="1"/>
          <w:kern w:val="0"/>
          <w:szCs w:val="21"/>
          <w:highlight w:val="none"/>
        </w:rPr>
        <w:t xml:space="preserve">     3</w:t>
      </w:r>
      <w:r>
        <w:rPr>
          <w:rFonts w:hint="eastAsia" w:ascii="宋体" w:hAnsi="宋体" w:cs="宋体"/>
          <w:color w:val="auto"/>
          <w:kern w:val="0"/>
          <w:szCs w:val="21"/>
          <w:highlight w:val="none"/>
        </w:rPr>
        <w:t>.4.2  评审小组完成评审后，应当向比选人提交书面评审报告。</w:t>
      </w:r>
    </w:p>
    <w:p>
      <w:pPr>
        <w:autoSpaceDE w:val="0"/>
        <w:autoSpaceDN w:val="0"/>
        <w:adjustRightInd w:val="0"/>
        <w:snapToGrid w:val="0"/>
        <w:spacing w:line="360" w:lineRule="auto"/>
        <w:jc w:val="left"/>
        <w:rPr>
          <w:rFonts w:ascii="宋体" w:hAnsi="宋体" w:cs="宋体"/>
          <w:color w:val="auto"/>
          <w:kern w:val="0"/>
          <w:szCs w:val="21"/>
          <w:highlight w:val="none"/>
        </w:rPr>
      </w:pPr>
    </w:p>
    <w:p>
      <w:pPr>
        <w:rPr>
          <w:rFonts w:ascii="宋体" w:hAnsi="宋体" w:cs="宋体"/>
          <w:color w:val="auto"/>
          <w:highlight w:val="none"/>
        </w:rPr>
      </w:pPr>
    </w:p>
    <w:p>
      <w:pPr>
        <w:pStyle w:val="3"/>
        <w:jc w:val="both"/>
        <w:rPr>
          <w:rFonts w:ascii="宋体" w:hAnsi="宋体" w:eastAsia="宋体" w:cs="宋体"/>
          <w:color w:val="auto"/>
          <w:highlight w:val="none"/>
        </w:rPr>
      </w:pPr>
    </w:p>
    <w:p>
      <w:pPr>
        <w:pStyle w:val="3"/>
        <w:jc w:val="both"/>
        <w:rPr>
          <w:rFonts w:ascii="宋体" w:hAnsi="宋体" w:eastAsia="宋体" w:cs="宋体"/>
          <w:color w:val="auto"/>
          <w:highlight w:val="none"/>
        </w:rPr>
      </w:pPr>
    </w:p>
    <w:p>
      <w:pPr>
        <w:pStyle w:val="3"/>
        <w:jc w:val="both"/>
        <w:rPr>
          <w:rFonts w:ascii="宋体" w:hAnsi="宋体" w:eastAsia="宋体" w:cs="宋体"/>
          <w:color w:val="auto"/>
          <w:highlight w:val="none"/>
        </w:rPr>
      </w:pPr>
    </w:p>
    <w:p>
      <w:pPr>
        <w:spacing w:line="360" w:lineRule="auto"/>
        <w:jc w:val="center"/>
        <w:rPr>
          <w:rFonts w:ascii="宋体" w:hAnsi="宋体" w:cs="宋体"/>
          <w:b/>
          <w:color w:val="auto"/>
          <w:sz w:val="28"/>
          <w:szCs w:val="28"/>
          <w:highlight w:val="none"/>
        </w:rPr>
        <w:sectPr>
          <w:footerReference r:id="rId9" w:type="default"/>
          <w:pgSz w:w="11906" w:h="16838"/>
          <w:pgMar w:top="851" w:right="1247" w:bottom="993" w:left="1247" w:header="851" w:footer="992" w:gutter="0"/>
          <w:pgNumType w:fmt="numberInDash"/>
          <w:cols w:space="720" w:num="1"/>
          <w:docGrid w:type="lines" w:linePitch="312" w:charSpace="0"/>
        </w:sectPr>
      </w:pPr>
      <w:bookmarkStart w:id="376" w:name="_Toc230410480"/>
      <w:bookmarkStart w:id="377" w:name="_Toc277082627"/>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附件A：综合评估法否决比选情况一览表</w:t>
      </w:r>
      <w:bookmarkEnd w:id="376"/>
    </w:p>
    <w:bookmarkEnd w:id="377"/>
    <w:p>
      <w:pPr>
        <w:pStyle w:val="45"/>
        <w:spacing w:line="360" w:lineRule="auto"/>
        <w:ind w:firstLine="420" w:firstLineChars="200"/>
        <w:jc w:val="both"/>
        <w:rPr>
          <w:rFonts w:ascii="宋体" w:hAnsi="宋体" w:cs="宋体"/>
          <w:color w:val="auto"/>
          <w:sz w:val="21"/>
          <w:szCs w:val="21"/>
          <w:highlight w:val="none"/>
          <w:u w:val="none"/>
          <w:lang w:eastAsia="zh-CN"/>
        </w:rPr>
      </w:pPr>
      <w:r>
        <w:rPr>
          <w:rFonts w:hint="eastAsia" w:ascii="宋体" w:hAnsi="宋体" w:cs="宋体"/>
          <w:color w:val="auto"/>
          <w:sz w:val="21"/>
          <w:szCs w:val="21"/>
          <w:highlight w:val="none"/>
          <w:u w:val="none"/>
          <w:lang w:eastAsia="zh-CN"/>
        </w:rPr>
        <w:t>一览表中比选申请人有下列情形之一的，其比选作否决比选处理，否决比选条件之外的评审小组不得判为重大偏差。</w:t>
      </w:r>
    </w:p>
    <w:tbl>
      <w:tblPr>
        <w:tblStyle w:val="64"/>
        <w:tblW w:w="937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880"/>
        <w:gridCol w:w="628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章节号</w:t>
            </w:r>
          </w:p>
        </w:tc>
        <w:tc>
          <w:tcPr>
            <w:tcW w:w="188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28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否决比选条件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7" w:hRule="atLeast"/>
          <w:tblHeader/>
          <w:jc w:val="center"/>
        </w:trPr>
        <w:tc>
          <w:tcPr>
            <w:tcW w:w="1219"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第二章</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880"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比选报价</w:t>
            </w: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A-1比选申请人的比选总报价不得超过比选总报价最高限价，否则由评审小组作否决比选处理。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tblHeade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A-2安全文明施工费按比选人给出的暂定金额填报，不得浮动。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1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第二章</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88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比选保证金</w:t>
            </w: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A-3比选申请人应按比选申请人须知前附表规定的金额、担保形式等递交比选保证金，并作为其比选申请文件的组成部分。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1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第二章</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188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签字盖章要求</w:t>
            </w: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A-4按本章比选申请人须知前附表3.7.3款执行，否则由评审小组作否决比选处理。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第三章</w:t>
            </w:r>
          </w:p>
        </w:tc>
        <w:tc>
          <w:tcPr>
            <w:tcW w:w="1880"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形式评审</w:t>
            </w:r>
          </w:p>
        </w:tc>
        <w:tc>
          <w:tcPr>
            <w:tcW w:w="6280" w:type="dxa"/>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A-5比选申请人名称必须与营业执照、资质证书、安全生产许可证一致，否则由评审小组作否决比选处理。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A-6比选函规定签字、盖章的位置有法定代表人或其委托代理人签字（或盖章）、加盖单位法人章，否则由评审小组作否决比选处理。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A-7比选申请文件格式符合第八章“比选申请文件格式”的要求，否则由评审小组作否决比选处理。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Pr>
          <w:p>
            <w:pPr>
              <w:spacing w:line="360" w:lineRule="exact"/>
              <w:ind w:firstLine="420" w:firstLineChars="200"/>
              <w:rPr>
                <w:rFonts w:ascii="宋体" w:hAnsi="宋体" w:cs="宋体"/>
                <w:i/>
                <w:color w:val="auto"/>
                <w:szCs w:val="21"/>
                <w:highlight w:val="none"/>
              </w:rPr>
            </w:pPr>
            <w:r>
              <w:rPr>
                <w:rFonts w:hint="eastAsia" w:ascii="宋体" w:hAnsi="宋体" w:cs="宋体"/>
                <w:color w:val="auto"/>
                <w:szCs w:val="21"/>
                <w:highlight w:val="none"/>
              </w:rPr>
              <w:t>A-8比选申请文件正本1份、副本1份</w:t>
            </w:r>
            <w:r>
              <w:rPr>
                <w:rFonts w:hint="eastAsia" w:ascii="宋体" w:hAnsi="宋体" w:cs="宋体"/>
                <w:color w:val="auto"/>
                <w:kern w:val="0"/>
                <w:szCs w:val="21"/>
                <w:highlight w:val="none"/>
              </w:rPr>
              <w:t>，电子版形式（U盘）2份。当副本和正本不一致时，以正本为准</w:t>
            </w:r>
            <w:r>
              <w:rPr>
                <w:rFonts w:hint="eastAsia" w:ascii="宋体" w:hAnsi="宋体" w:cs="宋体"/>
                <w:color w:val="auto"/>
                <w:szCs w:val="21"/>
                <w:highlight w:val="none"/>
              </w:rPr>
              <w:t>。否则由评审小组作否决比选处理。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A-9只能有一个有效报价。在比选文件没有规定的情况下，不得提交选择性报价，否则由评审小组作否决比选处理。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A-10比选申请文件中比选申请文件格式要求须法定代表人或其委托代理人的签字（或盖章）须齐全，否则由评审小组作否决比选处理。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A-11比选申请人法定代表人的委托代理人有法定代表人签署的授权委托书。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资格评审</w:t>
            </w: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A-12比选申请人的资质条件、营业执照及安全生产条件须满足比选申请人须知前附表1.4.1项第1条的要求，否则由评审小组作否决比选处理。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A-13比选申请人的财务须满足比选申请人须知前附表1.4.1项第2条的要求，否则由评审小组作否决比选处理（如有）。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A-15比选申请人的业绩须满足比选申请人须知前附表1.4.1项第3条的要求，否则由评审小组作否决比选处理（如有）。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A-16比选申请人的比选截止日比选资格情况须满足比选申请人须知前附表1.4.1项第4条的要求，否则由评审小组作否决比选处理。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A-17比选申请人的项目经理资格须满足比选申请人须知前附表1.4.1项第5条的要求，否则由评审小组作否决比选处理。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A-18比选申请人的其他要求须满足比选申请人须知前附表1.4.1项第6条的要求，否则由评审小组作否决比选处理。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响应性评审</w:t>
            </w:r>
          </w:p>
        </w:tc>
        <w:tc>
          <w:tcPr>
            <w:tcW w:w="6280" w:type="dxa"/>
            <w:tcBorders>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A-19比选申请人的比选总报价不得高于比选人公布的比选总报价最高限价，否则由评审小组作否决比选处理。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A-20暂列金额、暂估价、安全文明施工费等暂定金额必须按照招标文件给定的金额填报，否则由评审小组作否决投标处理。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A-21比选申请文件内容符合第二章“比选申请人须知”第1.3.1项规定，否则由评审小组作否决比选处理。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A-22工期符合第二章“比选申请人须知”第1.3.2项规定，否则由评审小组作否决比选处理。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A-23工程质量符合第二章“比选申请人须知”第1.3.3项规定，否则由评审小组作否决比选处理。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A-24比选有效期符合第二章“比选申请人须知”第3.3.1项规定，否则由评审小组作否决比选处理。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restart"/>
            <w:vAlign w:val="center"/>
          </w:tcPr>
          <w:p>
            <w:pPr>
              <w:spacing w:line="360" w:lineRule="exact"/>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autoSpaceDE w:val="0"/>
              <w:autoSpaceDN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A-25比选申请人应按比选申请人须知前附表第3.4.1款的规定递交比选保证金，并作为其比选申请文件的组成部分，否则由评审小组作否决比选处理。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autoSpaceDE w:val="0"/>
              <w:autoSpaceDN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A-26符合第四章“</w:t>
            </w:r>
            <w:r>
              <w:rPr>
                <w:rFonts w:hint="eastAsia" w:ascii="宋体" w:hAnsi="宋体" w:cs="宋体"/>
                <w:color w:val="auto"/>
                <w:kern w:val="0"/>
                <w:highlight w:val="none"/>
              </w:rPr>
              <w:t>合同条款及格式</w:t>
            </w:r>
            <w:r>
              <w:rPr>
                <w:rFonts w:hint="eastAsia" w:ascii="宋体" w:hAnsi="宋体" w:cs="宋体"/>
                <w:color w:val="auto"/>
                <w:szCs w:val="21"/>
                <w:highlight w:val="none"/>
              </w:rPr>
              <w:t>”规定，比选申请文件不应附有比选人不能接受的条件，否则由评审小组作否决比选处理。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autoSpaceDE w:val="0"/>
              <w:autoSpaceDN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A-27符合第七章“</w:t>
            </w:r>
            <w:r>
              <w:rPr>
                <w:rFonts w:hint="eastAsia" w:ascii="宋体" w:hAnsi="宋体" w:cs="宋体"/>
                <w:color w:val="auto"/>
                <w:kern w:val="0"/>
                <w:highlight w:val="none"/>
              </w:rPr>
              <w:t>技术标准和要求</w:t>
            </w:r>
            <w:r>
              <w:rPr>
                <w:rFonts w:hint="eastAsia" w:ascii="宋体" w:hAnsi="宋体" w:cs="宋体"/>
                <w:color w:val="auto"/>
                <w:szCs w:val="21"/>
                <w:highlight w:val="none"/>
              </w:rPr>
              <w:t>”规定。否则由评审小组作否决比选处理。（</w:t>
            </w:r>
            <w:r>
              <w:rPr>
                <w:rFonts w:hint="eastAsia" w:ascii="宋体" w:hAnsi="宋体" w:cs="宋体"/>
                <w:color w:val="auto"/>
                <w:kern w:val="0"/>
                <w:highlight w:val="none"/>
              </w:rPr>
              <w:t>由比选申请人承诺，承诺书格式详见第八章比选申请文件格式。</w:t>
            </w:r>
            <w:r>
              <w:rPr>
                <w:rFonts w:hint="eastAsia" w:ascii="宋体" w:hAnsi="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autoSpaceDE w:val="0"/>
              <w:autoSpaceDN w:val="0"/>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A-28比选申请人提供的关于已标价工程量清单的承诺符合招标文件的要求，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由评审小组</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Merge w:val="continue"/>
            <w:vAlign w:val="center"/>
          </w:tcPr>
          <w:p>
            <w:pPr>
              <w:spacing w:line="360" w:lineRule="exact"/>
              <w:jc w:val="center"/>
              <w:rPr>
                <w:rFonts w:ascii="宋体" w:hAnsi="宋体" w:cs="宋体"/>
                <w:color w:val="auto"/>
                <w:szCs w:val="21"/>
                <w:highlight w:val="none"/>
              </w:rPr>
            </w:pPr>
          </w:p>
        </w:tc>
        <w:tc>
          <w:tcPr>
            <w:tcW w:w="1880" w:type="dxa"/>
            <w:vMerge w:val="continue"/>
            <w:vAlign w:val="center"/>
          </w:tcPr>
          <w:p>
            <w:pPr>
              <w:spacing w:line="360" w:lineRule="exact"/>
              <w:jc w:val="center"/>
              <w:rPr>
                <w:rFonts w:ascii="宋体" w:hAnsi="宋体" w:cs="宋体"/>
                <w:color w:val="auto"/>
                <w:szCs w:val="21"/>
                <w:highlight w:val="none"/>
              </w:rPr>
            </w:pPr>
          </w:p>
        </w:tc>
        <w:tc>
          <w:tcPr>
            <w:tcW w:w="6280" w:type="dxa"/>
            <w:tcBorders>
              <w:right w:val="single" w:color="000000" w:sz="4" w:space="0"/>
            </w:tcBorders>
            <w:vAlign w:val="center"/>
          </w:tcPr>
          <w:p>
            <w:pPr>
              <w:autoSpaceDE w:val="0"/>
              <w:autoSpaceDN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A-29比选报价有算术错误的，按照第三章“评标办法”第3.1.3项规定执行，否则由评审小组作否决比选处理。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1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1880" w:type="dxa"/>
            <w:vAlign w:val="center"/>
          </w:tcPr>
          <w:p>
            <w:pPr>
              <w:spacing w:line="360" w:lineRule="exact"/>
              <w:jc w:val="center"/>
              <w:rPr>
                <w:rFonts w:ascii="宋体" w:hAnsi="宋体" w:cs="宋体"/>
                <w:color w:val="auto"/>
                <w:szCs w:val="21"/>
                <w:highlight w:val="none"/>
              </w:rPr>
            </w:pPr>
          </w:p>
        </w:tc>
        <w:tc>
          <w:tcPr>
            <w:tcW w:w="6280" w:type="dxa"/>
          </w:tcPr>
          <w:p>
            <w:pPr>
              <w:autoSpaceDE w:val="0"/>
              <w:autoSpaceDN w:val="0"/>
              <w:adjustRightInd w:val="0"/>
              <w:snapToGrid w:val="0"/>
              <w:spacing w:line="36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A-30比选申请人有以下情形之一的，其比选作废选处理：</w:t>
            </w:r>
          </w:p>
          <w:p>
            <w:pPr>
              <w:autoSpaceDE w:val="0"/>
              <w:autoSpaceDN w:val="0"/>
              <w:adjustRightInd w:val="0"/>
              <w:snapToGrid w:val="0"/>
              <w:spacing w:line="36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（1）第二章“比选申请人须知”第 1.4.3 项规定的任何一种情形的；</w:t>
            </w:r>
          </w:p>
          <w:p>
            <w:pPr>
              <w:autoSpaceDE w:val="0"/>
              <w:autoSpaceDN w:val="0"/>
              <w:adjustRightInd w:val="0"/>
              <w:snapToGrid w:val="0"/>
              <w:spacing w:line="36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（2）串通参与比选或弄虚作假或有其他违法行为的；</w:t>
            </w:r>
          </w:p>
          <w:p>
            <w:pPr>
              <w:autoSpaceDE w:val="0"/>
              <w:autoSpaceDN w:val="0"/>
              <w:adjustRightInd w:val="0"/>
              <w:snapToGrid w:val="0"/>
              <w:spacing w:line="36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（3）不按评审小组要求澄清、说明或补正的；</w:t>
            </w:r>
          </w:p>
          <w:p>
            <w:pPr>
              <w:autoSpaceDE w:val="0"/>
              <w:autoSpaceDN w:val="0"/>
              <w:adjustRightInd w:val="0"/>
              <w:snapToGrid w:val="0"/>
              <w:spacing w:line="360" w:lineRule="exact"/>
              <w:ind w:firstLine="420"/>
              <w:jc w:val="left"/>
              <w:rPr>
                <w:rFonts w:ascii="宋体" w:hAnsi="宋体" w:cs="宋体"/>
                <w:color w:val="auto"/>
                <w:szCs w:val="21"/>
                <w:highlight w:val="none"/>
              </w:rPr>
            </w:pPr>
            <w:r>
              <w:rPr>
                <w:rFonts w:hint="eastAsia" w:ascii="宋体" w:hAnsi="宋体" w:cs="宋体"/>
                <w:color w:val="auto"/>
                <w:kern w:val="0"/>
                <w:szCs w:val="21"/>
                <w:highlight w:val="none"/>
              </w:rPr>
              <w:t>（4）本标书约定的未实质性响应比选文件的其它情形。</w:t>
            </w:r>
          </w:p>
        </w:tc>
      </w:tr>
    </w:tbl>
    <w:p>
      <w:pPr>
        <w:pStyle w:val="3"/>
        <w:jc w:val="both"/>
        <w:rPr>
          <w:rFonts w:ascii="宋体" w:hAnsi="宋体" w:eastAsia="宋体" w:cs="宋体"/>
          <w:color w:val="auto"/>
          <w:highlight w:val="none"/>
        </w:rPr>
      </w:pPr>
      <w:r>
        <w:rPr>
          <w:rFonts w:hint="eastAsia" w:ascii="宋体" w:hAnsi="宋体" w:eastAsia="宋体" w:cs="宋体"/>
          <w:color w:val="auto"/>
          <w:highlight w:val="none"/>
        </w:rPr>
        <w:t xml:space="preserve"> </w:t>
      </w:r>
    </w:p>
    <w:p>
      <w:pPr>
        <w:rPr>
          <w:rFonts w:ascii="宋体" w:hAnsi="宋体" w:cs="宋体"/>
          <w:color w:val="auto"/>
          <w:highlight w:val="none"/>
        </w:rPr>
      </w:pPr>
    </w:p>
    <w:p>
      <w:pPr>
        <w:pStyle w:val="3"/>
        <w:ind w:left="105" w:firstLine="419"/>
        <w:rPr>
          <w:rFonts w:ascii="宋体" w:hAnsi="宋体" w:eastAsia="宋体" w:cs="宋体"/>
          <w:b/>
          <w:color w:val="auto"/>
          <w:highlight w:val="none"/>
        </w:rPr>
      </w:pPr>
      <w:bookmarkStart w:id="378" w:name="_Toc11840"/>
      <w:bookmarkStart w:id="379" w:name="_Toc11166881"/>
      <w:bookmarkStart w:id="380" w:name="_Toc4714"/>
    </w:p>
    <w:p>
      <w:pPr>
        <w:pStyle w:val="3"/>
        <w:numPr>
          <w:ilvl w:val="0"/>
          <w:numId w:val="10"/>
        </w:numPr>
        <w:ind w:left="0" w:firstLine="0"/>
        <w:rPr>
          <w:rFonts w:ascii="宋体" w:hAnsi="宋体" w:eastAsia="宋体" w:cs="宋体"/>
          <w:b/>
          <w:color w:val="auto"/>
          <w:highlight w:val="none"/>
        </w:rPr>
      </w:pPr>
      <w:r>
        <w:rPr>
          <w:rFonts w:hint="eastAsia" w:ascii="宋体" w:hAnsi="宋体" w:eastAsia="宋体" w:cs="宋体"/>
          <w:b/>
          <w:color w:val="auto"/>
          <w:highlight w:val="none"/>
        </w:rPr>
        <w:t>合同条款及格式</w:t>
      </w:r>
      <w:bookmarkEnd w:id="378"/>
      <w:bookmarkEnd w:id="379"/>
      <w:bookmarkEnd w:id="380"/>
    </w:p>
    <w:p>
      <w:pPr>
        <w:spacing w:line="360" w:lineRule="auto"/>
        <w:jc w:val="center"/>
        <w:rPr>
          <w:rFonts w:ascii="宋体" w:hAnsi="宋体" w:cs="宋体"/>
          <w:b/>
          <w:color w:val="auto"/>
          <w:sz w:val="30"/>
          <w:highlight w:val="none"/>
        </w:rPr>
      </w:pPr>
      <w:bookmarkStart w:id="381" w:name="_Toc224103476"/>
      <w:bookmarkStart w:id="382" w:name="_Toc277543153"/>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2"/>
        <w:rPr>
          <w:rFonts w:ascii="宋体" w:hAnsi="宋体" w:cs="宋体"/>
          <w:b/>
          <w:color w:val="auto"/>
          <w:sz w:val="30"/>
          <w:highlight w:val="none"/>
        </w:rPr>
      </w:pPr>
    </w:p>
    <w:p>
      <w:pPr>
        <w:rPr>
          <w:rFonts w:ascii="宋体" w:hAnsi="宋体" w:cs="宋体"/>
          <w:b/>
          <w:color w:val="auto"/>
          <w:sz w:val="30"/>
          <w:highlight w:val="none"/>
        </w:rPr>
      </w:pPr>
    </w:p>
    <w:p>
      <w:pPr>
        <w:pStyle w:val="124"/>
        <w:rPr>
          <w:rFonts w:ascii="宋体" w:hAnsi="宋体" w:cs="宋体"/>
          <w:b/>
          <w:color w:val="auto"/>
          <w:sz w:val="30"/>
          <w:highlight w:val="none"/>
        </w:rPr>
      </w:pPr>
    </w:p>
    <w:p>
      <w:pPr>
        <w:pStyle w:val="124"/>
        <w:rPr>
          <w:rFonts w:ascii="宋体" w:hAnsi="宋体" w:cs="宋体"/>
          <w:b/>
          <w:color w:val="auto"/>
          <w:sz w:val="30"/>
          <w:highlight w:val="none"/>
        </w:rPr>
      </w:pPr>
    </w:p>
    <w:p>
      <w:pPr>
        <w:pStyle w:val="124"/>
        <w:rPr>
          <w:rFonts w:ascii="宋体" w:hAnsi="宋体" w:cs="宋体"/>
          <w:b/>
          <w:color w:val="auto"/>
          <w:sz w:val="30"/>
          <w:highlight w:val="none"/>
        </w:rPr>
      </w:pPr>
    </w:p>
    <w:p>
      <w:pPr>
        <w:pStyle w:val="124"/>
        <w:rPr>
          <w:rFonts w:ascii="宋体" w:hAnsi="宋体" w:cs="宋体"/>
          <w:b/>
          <w:color w:val="auto"/>
          <w:sz w:val="30"/>
          <w:highlight w:val="none"/>
        </w:rPr>
      </w:pPr>
    </w:p>
    <w:p>
      <w:pPr>
        <w:pStyle w:val="124"/>
        <w:rPr>
          <w:rFonts w:ascii="宋体" w:hAnsi="宋体" w:cs="宋体"/>
          <w:b/>
          <w:color w:val="auto"/>
          <w:sz w:val="30"/>
          <w:highlight w:val="none"/>
        </w:rPr>
      </w:pPr>
    </w:p>
    <w:p>
      <w:pPr>
        <w:keepNext w:val="0"/>
        <w:keepLines w:val="0"/>
        <w:widowControl/>
        <w:suppressLineNumbers w:val="0"/>
        <w:jc w:val="center"/>
        <w:rPr>
          <w:rFonts w:hint="eastAsia" w:ascii="宋体" w:hAnsi="宋体" w:eastAsia="宋体" w:cs="宋体"/>
          <w:color w:val="auto"/>
          <w:kern w:val="0"/>
          <w:sz w:val="72"/>
          <w:szCs w:val="72"/>
          <w:highlight w:val="none"/>
          <w:lang w:val="en-US" w:eastAsia="zh-CN" w:bidi="ar"/>
        </w:rPr>
      </w:pPr>
      <w:r>
        <w:rPr>
          <w:rFonts w:hint="eastAsia" w:ascii="宋体" w:hAnsi="宋体" w:eastAsia="宋体" w:cs="宋体"/>
          <w:color w:val="auto"/>
          <w:kern w:val="0"/>
          <w:sz w:val="72"/>
          <w:szCs w:val="72"/>
          <w:highlight w:val="none"/>
          <w:lang w:val="en-US" w:eastAsia="zh-CN" w:bidi="ar"/>
        </w:rPr>
        <w:t>建设工程施工合同</w:t>
      </w:r>
    </w:p>
    <w:p>
      <w:pPr>
        <w:pStyle w:val="124"/>
        <w:rPr>
          <w:rFonts w:hint="eastAsia" w:ascii="宋体" w:hAnsi="宋体" w:eastAsia="宋体" w:cs="宋体"/>
          <w:color w:val="auto"/>
          <w:kern w:val="0"/>
          <w:sz w:val="72"/>
          <w:szCs w:val="72"/>
          <w:highlight w:val="none"/>
          <w:lang w:val="en-US" w:eastAsia="zh-CN" w:bidi="ar"/>
        </w:rPr>
      </w:pPr>
    </w:p>
    <w:p>
      <w:pPr>
        <w:pStyle w:val="124"/>
        <w:rPr>
          <w:rFonts w:hint="eastAsia" w:ascii="宋体" w:hAnsi="宋体" w:eastAsia="宋体" w:cs="宋体"/>
          <w:color w:val="auto"/>
          <w:kern w:val="0"/>
          <w:sz w:val="72"/>
          <w:szCs w:val="72"/>
          <w:highlight w:val="none"/>
          <w:lang w:val="en-US" w:eastAsia="zh-CN" w:bidi="ar"/>
        </w:rPr>
      </w:pPr>
    </w:p>
    <w:p>
      <w:pPr>
        <w:pStyle w:val="124"/>
        <w:rPr>
          <w:rFonts w:hint="eastAsia" w:ascii="宋体" w:hAnsi="宋体" w:eastAsia="宋体" w:cs="宋体"/>
          <w:color w:val="auto"/>
          <w:kern w:val="0"/>
          <w:sz w:val="72"/>
          <w:szCs w:val="7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800" w:lineRule="exact"/>
        <w:ind w:firstLine="1600" w:firstLineChars="500"/>
        <w:jc w:val="left"/>
        <w:textAlignment w:val="auto"/>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lang w:val="en-US" w:eastAsia="zh-CN" w:bidi="ar"/>
        </w:rPr>
        <w:t>工程名称：</w:t>
      </w:r>
    </w:p>
    <w:p>
      <w:pPr>
        <w:keepNext w:val="0"/>
        <w:keepLines w:val="0"/>
        <w:pageBreakBefore w:val="0"/>
        <w:widowControl/>
        <w:suppressLineNumbers w:val="0"/>
        <w:kinsoku/>
        <w:wordWrap/>
        <w:overflowPunct/>
        <w:topLinePunct w:val="0"/>
        <w:autoSpaceDE/>
        <w:autoSpaceDN/>
        <w:bidi w:val="0"/>
        <w:adjustRightInd/>
        <w:snapToGrid/>
        <w:spacing w:line="800" w:lineRule="exact"/>
        <w:ind w:firstLine="1600" w:firstLineChars="5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bidi="ar"/>
        </w:rPr>
        <w:t>甲 方：</w:t>
      </w:r>
    </w:p>
    <w:p>
      <w:pPr>
        <w:keepNext w:val="0"/>
        <w:keepLines w:val="0"/>
        <w:pageBreakBefore w:val="0"/>
        <w:widowControl/>
        <w:suppressLineNumbers w:val="0"/>
        <w:kinsoku/>
        <w:wordWrap/>
        <w:overflowPunct/>
        <w:topLinePunct w:val="0"/>
        <w:autoSpaceDE/>
        <w:autoSpaceDN/>
        <w:bidi w:val="0"/>
        <w:adjustRightInd/>
        <w:snapToGrid/>
        <w:spacing w:line="800" w:lineRule="exact"/>
        <w:ind w:firstLine="1600" w:firstLineChars="5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bidi="ar"/>
        </w:rPr>
        <w:t>乙 方：</w:t>
      </w:r>
    </w:p>
    <w:p>
      <w:pPr>
        <w:keepNext w:val="0"/>
        <w:keepLines w:val="0"/>
        <w:pageBreakBefore w:val="0"/>
        <w:widowControl/>
        <w:suppressLineNumbers w:val="0"/>
        <w:kinsoku/>
        <w:wordWrap/>
        <w:overflowPunct/>
        <w:topLinePunct w:val="0"/>
        <w:autoSpaceDE/>
        <w:autoSpaceDN/>
        <w:bidi w:val="0"/>
        <w:adjustRightInd/>
        <w:snapToGrid/>
        <w:spacing w:line="800" w:lineRule="exact"/>
        <w:ind w:firstLine="1600" w:firstLineChars="5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bidi="ar"/>
        </w:rPr>
        <w:t>合同编号：</w:t>
      </w:r>
    </w:p>
    <w:p>
      <w:pPr>
        <w:keepNext w:val="0"/>
        <w:keepLines w:val="0"/>
        <w:pageBreakBefore w:val="0"/>
        <w:widowControl/>
        <w:suppressLineNumbers w:val="0"/>
        <w:kinsoku/>
        <w:wordWrap/>
        <w:overflowPunct/>
        <w:topLinePunct w:val="0"/>
        <w:autoSpaceDE/>
        <w:autoSpaceDN/>
        <w:bidi w:val="0"/>
        <w:adjustRightInd/>
        <w:snapToGrid/>
        <w:spacing w:line="800" w:lineRule="exact"/>
        <w:ind w:firstLine="1600" w:firstLineChars="500"/>
        <w:jc w:val="both"/>
        <w:textAlignment w:val="auto"/>
        <w:rPr>
          <w:rFonts w:hint="eastAsia" w:ascii="宋体" w:hAnsi="宋体" w:eastAsia="宋体" w:cs="宋体"/>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800" w:lineRule="exact"/>
        <w:ind w:firstLine="1600" w:firstLineChars="5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bidi="ar"/>
        </w:rPr>
        <w:t>签订时间：    年       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8"/>
          <w:szCs w:val="2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8"/>
          <w:szCs w:val="2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lang w:val="en-US" w:eastAsia="zh-CN" w:bidi="ar"/>
        </w:rPr>
        <w:t>住 房 和 城 乡 建 设 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5100" w:firstLineChars="1700"/>
        <w:jc w:val="center"/>
        <w:textAlignment w:val="auto"/>
        <w:rPr>
          <w:rFonts w:hint="eastAsia" w:ascii="宋体" w:hAnsi="宋体" w:eastAsia="宋体" w:cs="宋体"/>
          <w:color w:val="auto"/>
          <w:kern w:val="0"/>
          <w:sz w:val="30"/>
          <w:szCs w:val="30"/>
          <w:highlight w:val="none"/>
          <w:lang w:val="en-US" w:eastAsia="zh-CN" w:bidi="ar"/>
        </w:rPr>
      </w:pPr>
      <w:r>
        <w:rPr>
          <w:rFonts w:hint="eastAsia" w:ascii="宋体" w:hAnsi="宋体" w:eastAsia="宋体" w:cs="宋体"/>
          <w:color w:val="auto"/>
          <w:kern w:val="0"/>
          <w:sz w:val="30"/>
          <w:szCs w:val="30"/>
          <w:highlight w:val="none"/>
          <w:lang w:val="en-US" w:eastAsia="zh-CN" w:bidi="ar"/>
        </w:rPr>
        <w:t>制定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lang w:val="en-US" w:eastAsia="zh-CN" w:bidi="ar"/>
        </w:rPr>
        <w:t>国家工商行政管理总局</w:t>
      </w:r>
    </w:p>
    <w:p>
      <w:pPr>
        <w:pStyle w:val="124"/>
        <w:spacing w:line="556" w:lineRule="exact"/>
        <w:jc w:val="both"/>
        <w:rPr>
          <w:rFonts w:hint="eastAsia" w:ascii="宋体" w:hAnsi="宋体" w:eastAsia="宋体" w:cs="宋体"/>
          <w:color w:val="auto"/>
          <w:sz w:val="30"/>
          <w:szCs w:val="30"/>
          <w:highlight w:val="none"/>
        </w:rPr>
      </w:pPr>
    </w:p>
    <w:p>
      <w:pPr>
        <w:pStyle w:val="124"/>
        <w:rPr>
          <w:rFonts w:hint="eastAsia" w:ascii="宋体" w:hAnsi="宋体" w:eastAsia="宋体" w:cs="宋体"/>
          <w:color w:val="auto"/>
          <w:highlight w:val="none"/>
        </w:rPr>
      </w:pPr>
    </w:p>
    <w:p>
      <w:pPr>
        <w:pStyle w:val="124"/>
        <w:rPr>
          <w:rFonts w:hint="eastAsia" w:ascii="宋体" w:hAnsi="宋体" w:eastAsia="宋体" w:cs="宋体"/>
          <w:color w:val="auto"/>
          <w:highlight w:val="none"/>
        </w:rPr>
      </w:pPr>
    </w:p>
    <w:p>
      <w:pPr>
        <w:pStyle w:val="124"/>
        <w:rPr>
          <w:rFonts w:hint="eastAsia" w:ascii="宋体" w:hAnsi="宋体" w:eastAsia="宋体" w:cs="宋体"/>
          <w:color w:val="auto"/>
          <w:highlight w:val="none"/>
        </w:rPr>
      </w:pPr>
    </w:p>
    <w:p>
      <w:pPr>
        <w:pStyle w:val="124"/>
        <w:rPr>
          <w:rFonts w:hint="eastAsia" w:ascii="宋体" w:hAnsi="宋体" w:eastAsia="宋体" w:cs="宋体"/>
          <w:color w:val="auto"/>
          <w:highlight w:val="none"/>
        </w:rPr>
      </w:pPr>
    </w:p>
    <w:p>
      <w:pPr>
        <w:pStyle w:val="124"/>
        <w:rPr>
          <w:rFonts w:hint="eastAsia" w:ascii="宋体" w:hAnsi="宋体" w:eastAsia="宋体" w:cs="宋体"/>
          <w:color w:val="auto"/>
          <w:highlight w:val="none"/>
        </w:rPr>
      </w:pPr>
    </w:p>
    <w:p>
      <w:pPr>
        <w:pStyle w:val="124"/>
        <w:rPr>
          <w:rFonts w:hint="eastAsia" w:ascii="宋体" w:hAnsi="宋体" w:eastAsia="宋体" w:cs="宋体"/>
          <w:color w:val="auto"/>
          <w:highlight w:val="none"/>
        </w:rPr>
      </w:pPr>
    </w:p>
    <w:p>
      <w:pPr>
        <w:pStyle w:val="124"/>
        <w:rPr>
          <w:rFonts w:hint="eastAsia" w:ascii="宋体" w:hAnsi="宋体" w:eastAsia="宋体" w:cs="宋体"/>
          <w:color w:val="auto"/>
          <w:highlight w:val="none"/>
        </w:rPr>
      </w:pPr>
    </w:p>
    <w:p>
      <w:pPr>
        <w:pStyle w:val="124"/>
        <w:rPr>
          <w:rFonts w:hint="eastAsia" w:ascii="宋体" w:hAnsi="宋体" w:eastAsia="宋体" w:cs="宋体"/>
          <w:color w:val="auto"/>
          <w:highlight w:val="none"/>
        </w:rPr>
      </w:pPr>
    </w:p>
    <w:p>
      <w:pPr>
        <w:pStyle w:val="124"/>
        <w:rPr>
          <w:rFonts w:hint="eastAsia" w:ascii="宋体" w:hAnsi="宋体" w:eastAsia="宋体" w:cs="宋体"/>
          <w:color w:val="auto"/>
          <w:highlight w:val="none"/>
        </w:rPr>
      </w:pPr>
    </w:p>
    <w:p>
      <w:pPr>
        <w:pStyle w:val="5"/>
        <w:jc w:val="center"/>
        <w:rPr>
          <w:rFonts w:hint="eastAsia" w:ascii="宋体" w:hAnsi="宋体" w:eastAsia="宋体" w:cs="宋体"/>
          <w:b w:val="0"/>
          <w:color w:val="auto"/>
          <w:sz w:val="44"/>
          <w:szCs w:val="44"/>
          <w:highlight w:val="none"/>
        </w:rPr>
      </w:pPr>
      <w:bookmarkStart w:id="383" w:name="_Toc16608"/>
      <w:bookmarkStart w:id="384" w:name="_Toc509218786"/>
      <w:bookmarkStart w:id="385" w:name="_Toc534185765"/>
      <w:bookmarkStart w:id="386" w:name="_Toc351203494"/>
      <w:r>
        <w:rPr>
          <w:rFonts w:hint="eastAsia" w:ascii="宋体" w:hAnsi="宋体" w:eastAsia="宋体" w:cs="宋体"/>
          <w:color w:val="auto"/>
          <w:sz w:val="44"/>
          <w:szCs w:val="44"/>
          <w:highlight w:val="none"/>
        </w:rPr>
        <w:t>第一部分 合同协议书</w:t>
      </w:r>
      <w:bookmarkEnd w:id="383"/>
      <w:bookmarkEnd w:id="384"/>
      <w:bookmarkEnd w:id="385"/>
    </w:p>
    <w:bookmarkEnd w:id="386"/>
    <w:p>
      <w:pPr>
        <w:pageBreakBefore w:val="0"/>
        <w:widowControl w:val="0"/>
        <w:kinsoku/>
        <w:wordWrap/>
        <w:overflowPunct/>
        <w:topLinePunct w:val="0"/>
        <w:autoSpaceDE/>
        <w:autoSpaceDN/>
        <w:bidi w:val="0"/>
        <w:snapToGrid w:val="0"/>
        <w:spacing w:line="500" w:lineRule="exact"/>
        <w:ind w:firstLine="481"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color w:val="auto"/>
          <w:sz w:val="24"/>
          <w:szCs w:val="24"/>
          <w:highlight w:val="none"/>
          <w:u w:val="single"/>
        </w:rPr>
        <w:t></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snapToGrid w:val="0"/>
        <w:spacing w:line="500" w:lineRule="exact"/>
        <w:ind w:firstLine="481"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color w:val="auto"/>
          <w:sz w:val="24"/>
          <w:szCs w:val="24"/>
          <w:highlight w:val="none"/>
          <w:u w:val="single"/>
        </w:rPr>
        <w:t>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根据《中华人民共和国民法典》、《中华人民共和国建筑法》及有关法律、法规规定，遵循平等、自愿、公平和诚实信用的原则，双方就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璧山高新区华道生物（重庆）细胞免疫治疗研发和生产转化基地项目电力建设工程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施工及有关事项协商一致，共同达成如下协议：</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387" w:name="_Toc351203481"/>
      <w:bookmarkStart w:id="388" w:name="_Toc532377166"/>
      <w:bookmarkStart w:id="389" w:name="_Toc532375573"/>
      <w:r>
        <w:rPr>
          <w:rFonts w:hint="eastAsia" w:ascii="宋体" w:hAnsi="宋体" w:eastAsia="宋体" w:cs="宋体"/>
          <w:color w:val="auto"/>
          <w:kern w:val="2"/>
          <w:sz w:val="24"/>
          <w:szCs w:val="24"/>
          <w:highlight w:val="none"/>
        </w:rPr>
        <w:t>一、工程概况</w:t>
      </w:r>
      <w:bookmarkEnd w:id="387"/>
      <w:bookmarkEnd w:id="388"/>
      <w:bookmarkEnd w:id="389"/>
    </w:p>
    <w:p>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.资金来源：</w:t>
      </w:r>
      <w:r>
        <w:rPr>
          <w:rFonts w:hint="eastAsia" w:ascii="宋体" w:hAnsi="宋体" w:eastAsia="宋体" w:cs="宋体"/>
          <w:color w:val="auto"/>
          <w:sz w:val="24"/>
          <w:szCs w:val="24"/>
          <w:highlight w:val="none"/>
          <w:u w:val="single"/>
        </w:rPr>
        <w:t xml:space="preserve"> 国企资金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.工程内容：</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5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.工程承包范围：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390" w:name="_Toc351203482"/>
      <w:bookmarkStart w:id="391" w:name="_Toc532375574"/>
      <w:bookmarkStart w:id="392" w:name="_Toc532377167"/>
      <w:r>
        <w:rPr>
          <w:rFonts w:hint="eastAsia" w:ascii="宋体" w:hAnsi="宋体" w:eastAsia="宋体" w:cs="宋体"/>
          <w:color w:val="auto"/>
          <w:kern w:val="2"/>
          <w:sz w:val="24"/>
          <w:szCs w:val="24"/>
          <w:highlight w:val="none"/>
        </w:rPr>
        <w:t>二、合同工期</w:t>
      </w:r>
      <w:bookmarkEnd w:id="390"/>
      <w:bookmarkEnd w:id="391"/>
      <w:bookmarkEnd w:id="392"/>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承包人承诺的工期：</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45</w:t>
      </w:r>
      <w:r>
        <w:rPr>
          <w:rFonts w:hint="eastAsia" w:ascii="宋体" w:hAnsi="宋体" w:eastAsia="宋体" w:cs="宋体"/>
          <w:bCs/>
          <w:color w:val="auto"/>
          <w:sz w:val="24"/>
          <w:szCs w:val="24"/>
          <w:highlight w:val="none"/>
          <w:u w:val="single"/>
        </w:rPr>
        <w:t>日历天</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计划开工日期：</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日，实际开工日期以监理工程师签发的工程开工通知明确的开工日期为准。</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计划竣工日期：</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日，实际竣工日期以工程竣工验收合格之日为准。</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工期总日历天数</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天。工期总日历天数与根据前述计划开竣工日期计算的工期天数不一</w:t>
      </w:r>
      <w:r>
        <w:rPr>
          <w:rFonts w:hint="eastAsia" w:ascii="宋体" w:hAnsi="宋体" w:eastAsia="宋体" w:cs="宋体"/>
          <w:color w:val="auto"/>
          <w:sz w:val="24"/>
          <w:szCs w:val="24"/>
          <w:highlight w:val="none"/>
        </w:rPr>
        <w:t>致的，以工期总日历天数为准。</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393" w:name="_Toc532375575"/>
      <w:bookmarkStart w:id="394" w:name="_Toc351203483"/>
      <w:bookmarkStart w:id="395" w:name="_Toc532377168"/>
      <w:r>
        <w:rPr>
          <w:rFonts w:hint="eastAsia" w:ascii="宋体" w:hAnsi="宋体" w:eastAsia="宋体" w:cs="宋体"/>
          <w:color w:val="auto"/>
          <w:kern w:val="2"/>
          <w:sz w:val="24"/>
          <w:szCs w:val="24"/>
          <w:highlight w:val="none"/>
        </w:rPr>
        <w:t>三、质量标准</w:t>
      </w:r>
      <w:bookmarkEnd w:id="393"/>
      <w:bookmarkEnd w:id="394"/>
      <w:bookmarkEnd w:id="395"/>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b w:val="0"/>
          <w:bCs/>
          <w:color w:val="auto"/>
          <w:kern w:val="2"/>
          <w:sz w:val="24"/>
          <w:szCs w:val="24"/>
          <w:highlight w:val="none"/>
        </w:rPr>
      </w:pPr>
      <w:bookmarkStart w:id="396" w:name="_Toc532377169"/>
      <w:bookmarkStart w:id="397" w:name="_Toc351203484"/>
      <w:bookmarkStart w:id="398" w:name="_Toc532375576"/>
      <w:r>
        <w:rPr>
          <w:rFonts w:hint="eastAsia" w:ascii="宋体" w:hAnsi="宋体" w:eastAsia="宋体" w:cs="宋体"/>
          <w:b w:val="0"/>
          <w:bCs/>
          <w:color w:val="auto"/>
          <w:kern w:val="2"/>
          <w:sz w:val="24"/>
          <w:szCs w:val="24"/>
          <w:highlight w:val="none"/>
        </w:rPr>
        <w:t>工程质量符合强制性质量标准，符合国家和重庆市现行有关施工质量验收规范要求，并达到合格标准。</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四、签约合同价与合同价格形式</w:t>
      </w:r>
      <w:bookmarkEnd w:id="396"/>
      <w:bookmarkEnd w:id="397"/>
      <w:bookmarkEnd w:id="398"/>
      <w:r>
        <w:rPr>
          <w:rFonts w:hint="eastAsia" w:ascii="宋体" w:hAnsi="宋体" w:eastAsia="宋体" w:cs="宋体"/>
          <w:color w:val="auto"/>
          <w:kern w:val="2"/>
          <w:sz w:val="24"/>
          <w:szCs w:val="24"/>
          <w:highlight w:val="none"/>
        </w:rPr>
        <w:tab/>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1.承包人承诺的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价为：</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2.签约合同价为：</w:t>
      </w:r>
    </w:p>
    <w:p>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（5）人工费（工资款）</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该项目实行人工费（工资款）与其他工程款分账管理，发包人将应付工程款中的人工费（工资款），以不低于已完成合同价款的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，农民工工资单独支付至承包人设立的农民工工资专用账户。</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3.合同价格形式：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399" w:name="_Toc351203485"/>
      <w:bookmarkStart w:id="400" w:name="_Toc532375577"/>
      <w:bookmarkStart w:id="401" w:name="_Toc532377170"/>
      <w:r>
        <w:rPr>
          <w:rFonts w:hint="eastAsia" w:ascii="宋体" w:hAnsi="宋体" w:eastAsia="宋体" w:cs="宋体"/>
          <w:color w:val="auto"/>
          <w:kern w:val="2"/>
          <w:sz w:val="24"/>
          <w:szCs w:val="24"/>
          <w:highlight w:val="none"/>
        </w:rPr>
        <w:t>五、</w:t>
      </w:r>
      <w:bookmarkEnd w:id="399"/>
      <w:r>
        <w:rPr>
          <w:rFonts w:hint="eastAsia" w:ascii="宋体" w:hAnsi="宋体" w:eastAsia="宋体" w:cs="宋体"/>
          <w:color w:val="auto"/>
          <w:kern w:val="2"/>
          <w:sz w:val="24"/>
          <w:szCs w:val="24"/>
          <w:highlight w:val="none"/>
        </w:rPr>
        <w:t>项目经理及技术负责人</w:t>
      </w:r>
      <w:bookmarkEnd w:id="400"/>
      <w:bookmarkEnd w:id="401"/>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文件中承诺的项目经理：</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文件中承诺的技术负责人：</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3"/>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证书名称及号码：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402" w:name="_Toc351203486"/>
      <w:bookmarkStart w:id="403" w:name="_Toc532377171"/>
      <w:bookmarkStart w:id="404" w:name="_Toc532375578"/>
      <w:r>
        <w:rPr>
          <w:rFonts w:hint="eastAsia" w:ascii="宋体" w:hAnsi="宋体" w:eastAsia="宋体" w:cs="宋体"/>
          <w:color w:val="auto"/>
          <w:kern w:val="2"/>
          <w:sz w:val="24"/>
          <w:szCs w:val="24"/>
          <w:highlight w:val="none"/>
        </w:rPr>
        <w:t>六、合同文件构成</w:t>
      </w:r>
      <w:bookmarkEnd w:id="402"/>
      <w:bookmarkEnd w:id="403"/>
      <w:bookmarkEnd w:id="404"/>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合同由以下文件构成：</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文件及修改文件；</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）技术标准和要求；</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）图纸；</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）其他合同文件。</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在合同订立、履行过程中形成的与合同有关的书面形式的文件均构成合同文件组成部分。</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405" w:name="_Toc532375579"/>
      <w:bookmarkStart w:id="406" w:name="_Toc351203487"/>
      <w:bookmarkStart w:id="407" w:name="_Toc532377172"/>
      <w:r>
        <w:rPr>
          <w:rFonts w:hint="eastAsia" w:ascii="宋体" w:hAnsi="宋体" w:eastAsia="宋体" w:cs="宋体"/>
          <w:color w:val="auto"/>
          <w:kern w:val="2"/>
          <w:sz w:val="24"/>
          <w:szCs w:val="24"/>
          <w:highlight w:val="none"/>
        </w:rPr>
        <w:t>七、承诺</w:t>
      </w:r>
      <w:bookmarkEnd w:id="405"/>
      <w:bookmarkEnd w:id="406"/>
      <w:bookmarkEnd w:id="407"/>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auto"/>
          <w:sz w:val="24"/>
          <w:szCs w:val="24"/>
          <w:highlight w:val="none"/>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408" w:name="_Toc351203488"/>
      <w:bookmarkStart w:id="409" w:name="_Toc532375580"/>
      <w:bookmarkStart w:id="410" w:name="_Toc532377173"/>
      <w:r>
        <w:rPr>
          <w:rFonts w:hint="eastAsia" w:ascii="宋体" w:hAnsi="宋体" w:eastAsia="宋体" w:cs="宋体"/>
          <w:color w:val="auto"/>
          <w:kern w:val="2"/>
          <w:sz w:val="24"/>
          <w:szCs w:val="24"/>
          <w:highlight w:val="none"/>
        </w:rPr>
        <w:t>八、词语含义</w:t>
      </w:r>
      <w:bookmarkEnd w:id="408"/>
      <w:bookmarkEnd w:id="409"/>
      <w:bookmarkEnd w:id="410"/>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本协议书中词语含义与专用合同条款及通用合同条款中赋予的含义相同。</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411" w:name="_Toc532377174"/>
      <w:bookmarkStart w:id="412" w:name="_Toc532375581"/>
      <w:r>
        <w:rPr>
          <w:rFonts w:hint="eastAsia" w:ascii="宋体" w:hAnsi="宋体" w:eastAsia="宋体" w:cs="宋体"/>
          <w:color w:val="auto"/>
          <w:kern w:val="2"/>
          <w:sz w:val="24"/>
          <w:szCs w:val="24"/>
          <w:highlight w:val="none"/>
        </w:rPr>
        <w:t>九、签订时间</w:t>
      </w:r>
      <w:bookmarkEnd w:id="411"/>
      <w:bookmarkEnd w:id="412"/>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413" w:name="_Toc351203489"/>
      <w:bookmarkStart w:id="414" w:name="_Toc532377175"/>
      <w:bookmarkStart w:id="415" w:name="_Toc532375582"/>
      <w:r>
        <w:rPr>
          <w:rFonts w:hint="eastAsia" w:ascii="宋体" w:hAnsi="宋体" w:eastAsia="宋体" w:cs="宋体"/>
          <w:color w:val="auto"/>
          <w:kern w:val="2"/>
          <w:sz w:val="24"/>
          <w:szCs w:val="24"/>
          <w:highlight w:val="none"/>
        </w:rPr>
        <w:t>十、</w:t>
      </w:r>
      <w:bookmarkEnd w:id="413"/>
      <w:bookmarkStart w:id="416" w:name="_Toc351203490"/>
      <w:r>
        <w:rPr>
          <w:rFonts w:hint="eastAsia" w:ascii="宋体" w:hAnsi="宋体" w:eastAsia="宋体" w:cs="宋体"/>
          <w:color w:val="auto"/>
          <w:kern w:val="2"/>
          <w:sz w:val="24"/>
          <w:szCs w:val="24"/>
          <w:highlight w:val="none"/>
        </w:rPr>
        <w:t>签订地点</w:t>
      </w:r>
      <w:bookmarkEnd w:id="414"/>
      <w:bookmarkEnd w:id="415"/>
      <w:bookmarkEnd w:id="416"/>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417" w:name="_Toc351203491"/>
      <w:bookmarkStart w:id="418" w:name="_Toc532375583"/>
      <w:bookmarkStart w:id="419" w:name="_Toc532377176"/>
      <w:r>
        <w:rPr>
          <w:rFonts w:hint="eastAsia" w:ascii="宋体" w:hAnsi="宋体" w:eastAsia="宋体" w:cs="宋体"/>
          <w:color w:val="auto"/>
          <w:kern w:val="2"/>
          <w:sz w:val="24"/>
          <w:szCs w:val="24"/>
          <w:highlight w:val="none"/>
        </w:rPr>
        <w:t>十一、补充协议</w:t>
      </w:r>
      <w:bookmarkEnd w:id="417"/>
      <w:bookmarkEnd w:id="418"/>
      <w:bookmarkEnd w:id="419"/>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420" w:name="_Toc532375584"/>
      <w:bookmarkStart w:id="421" w:name="_Toc532377177"/>
      <w:bookmarkStart w:id="422" w:name="_Toc351203492"/>
      <w:r>
        <w:rPr>
          <w:rFonts w:hint="eastAsia" w:ascii="宋体" w:hAnsi="宋体" w:eastAsia="宋体" w:cs="宋体"/>
          <w:color w:val="auto"/>
          <w:kern w:val="2"/>
          <w:sz w:val="24"/>
          <w:szCs w:val="24"/>
          <w:highlight w:val="none"/>
        </w:rPr>
        <w:t>十二、合同生效</w:t>
      </w:r>
      <w:bookmarkEnd w:id="420"/>
      <w:bookmarkEnd w:id="421"/>
      <w:bookmarkEnd w:id="422"/>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合同在以下条件全部满足之后生效：</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1.合同</w:t>
      </w:r>
      <w:r>
        <w:rPr>
          <w:rFonts w:hint="eastAsia" w:ascii="宋体" w:hAnsi="宋体" w:eastAsia="宋体" w:cs="宋体"/>
          <w:color w:val="auto"/>
          <w:sz w:val="24"/>
          <w:szCs w:val="24"/>
          <w:highlight w:val="none"/>
        </w:rPr>
        <w:t>经双方法定代表人或其委托代理人签名并加盖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snapToGrid w:val="0"/>
          <w:color w:val="auto"/>
          <w:kern w:val="0"/>
          <w:sz w:val="24"/>
          <w:szCs w:val="24"/>
          <w:highlight w:val="none"/>
        </w:rPr>
        <w:t>公章或合同专用章</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2.采用保函形式递交履约担保的，承包人按合同约定向发包人提交履约担保后；</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autoSpaceDE/>
        <w:autoSpaceDN/>
        <w:bidi w:val="0"/>
        <w:spacing w:before="120" w:after="120" w:line="500" w:lineRule="exact"/>
        <w:ind w:firstLine="480" w:firstLineChars="200"/>
        <w:jc w:val="both"/>
        <w:textAlignment w:val="auto"/>
        <w:rPr>
          <w:rFonts w:hint="eastAsia" w:ascii="宋体" w:hAnsi="宋体" w:eastAsia="宋体" w:cs="宋体"/>
          <w:color w:val="auto"/>
          <w:kern w:val="2"/>
          <w:sz w:val="24"/>
          <w:szCs w:val="24"/>
          <w:highlight w:val="none"/>
        </w:rPr>
      </w:pPr>
      <w:bookmarkStart w:id="423" w:name="_Toc532375585"/>
      <w:bookmarkStart w:id="424" w:name="_Toc351203493"/>
      <w:bookmarkStart w:id="425" w:name="_Toc532377178"/>
      <w:r>
        <w:rPr>
          <w:rFonts w:hint="eastAsia" w:ascii="宋体" w:hAnsi="宋体" w:eastAsia="宋体" w:cs="宋体"/>
          <w:color w:val="auto"/>
          <w:kern w:val="2"/>
          <w:sz w:val="24"/>
          <w:szCs w:val="24"/>
          <w:highlight w:val="none"/>
        </w:rPr>
        <w:t>十三、合同份数</w:t>
      </w:r>
      <w:bookmarkEnd w:id="423"/>
      <w:bookmarkEnd w:id="424"/>
      <w:bookmarkEnd w:id="425"/>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份，其中正本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份，双方各持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份，副本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份，双方各执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份。副本与正本不一致时，以正本为准。</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（以下为签名盖章页）。</w:t>
      </w:r>
    </w:p>
    <w:p>
      <w:pPr>
        <w:pStyle w:val="23"/>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napToGrid w:val="0"/>
          <w:color w:val="auto"/>
          <w:kern w:val="0"/>
          <w:sz w:val="24"/>
          <w:szCs w:val="24"/>
          <w:highlight w:val="none"/>
        </w:rPr>
        <w:sectPr>
          <w:footerReference r:id="rId10" w:type="default"/>
          <w:pgSz w:w="11895" w:h="16845"/>
          <w:pgMar w:top="1431" w:right="1276" w:bottom="1353" w:left="1276" w:header="1134" w:footer="1134" w:gutter="0"/>
          <w:pgNumType w:fmt="decimal"/>
          <w:cols w:space="720" w:num="1"/>
        </w:sectPr>
      </w:pPr>
      <w:bookmarkStart w:id="426" w:name="_Toc467689623"/>
    </w:p>
    <w:p>
      <w:pPr>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盖单位</w:t>
      </w:r>
      <w:r>
        <w:rPr>
          <w:rFonts w:hint="eastAsia" w:ascii="宋体" w:hAnsi="宋体" w:eastAsia="宋体" w:cs="宋体"/>
          <w:snapToGrid w:val="0"/>
          <w:color w:val="auto"/>
          <w:kern w:val="0"/>
          <w:sz w:val="24"/>
          <w:szCs w:val="24"/>
          <w:highlight w:val="none"/>
        </w:rPr>
        <w:t>公章或合同专用章）</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（签名）</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统一社会信用代码：</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纳税人识别号：</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地    址：</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电    话：</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开户银行：</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账    号：</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textAlignment w:val="auto"/>
        <w:rPr>
          <w:rFonts w:hint="eastAsia" w:ascii="宋体" w:hAnsi="宋体" w:eastAsia="宋体" w:cs="宋体"/>
          <w:snapToGrid w:val="0"/>
          <w:color w:val="auto"/>
          <w:kern w:val="0"/>
          <w:sz w:val="24"/>
          <w:szCs w:val="24"/>
          <w:highlight w:val="none"/>
        </w:rPr>
      </w:pP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盖单位</w:t>
      </w:r>
      <w:r>
        <w:rPr>
          <w:rFonts w:hint="eastAsia" w:ascii="宋体" w:hAnsi="宋体" w:eastAsia="宋体" w:cs="宋体"/>
          <w:snapToGrid w:val="0"/>
          <w:color w:val="auto"/>
          <w:kern w:val="0"/>
          <w:sz w:val="24"/>
          <w:szCs w:val="24"/>
          <w:highlight w:val="none"/>
        </w:rPr>
        <w:t>公章或合同专用章）</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（签名）</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统一社会信用代码：</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纳税人识别号：</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地    址：</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电    话：</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开户银行：</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账    号：</w:t>
      </w:r>
      <w:r>
        <w:rPr>
          <w:rFonts w:hint="eastAsia" w:ascii="宋体" w:hAnsi="宋体" w:eastAsia="宋体" w:cs="宋体"/>
          <w:snapToGrid w:val="0"/>
          <w:color w:val="auto"/>
          <w:w w:val="200"/>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p>
    <w:p>
      <w:pPr>
        <w:pStyle w:val="23"/>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spacing w:line="500" w:lineRule="exact"/>
        <w:jc w:val="right"/>
        <w:textAlignment w:val="auto"/>
        <w:rPr>
          <w:rFonts w:hint="eastAsia" w:ascii="宋体" w:hAnsi="宋体" w:eastAsia="宋体" w:cs="宋体"/>
          <w:snapToGrid w:val="0"/>
          <w:color w:val="auto"/>
          <w:kern w:val="0"/>
          <w:sz w:val="24"/>
          <w:szCs w:val="24"/>
          <w:highlight w:val="none"/>
        </w:rPr>
      </w:pPr>
    </w:p>
    <w:p>
      <w:pPr>
        <w:pageBreakBefore w:val="0"/>
        <w:widowControl w:val="0"/>
        <w:kinsoku/>
        <w:wordWrap/>
        <w:overflowPunct/>
        <w:topLinePunct w:val="0"/>
        <w:autoSpaceDE/>
        <w:autoSpaceDN/>
        <w:bidi w:val="0"/>
        <w:spacing w:line="500" w:lineRule="exact"/>
        <w:jc w:val="right"/>
        <w:textAlignment w:val="auto"/>
        <w:rPr>
          <w:rFonts w:hint="eastAsia" w:ascii="宋体" w:hAnsi="宋体" w:eastAsia="宋体" w:cs="宋体"/>
          <w:snapToGrid w:val="0"/>
          <w:color w:val="auto"/>
          <w:kern w:val="0"/>
          <w:sz w:val="24"/>
          <w:szCs w:val="24"/>
          <w:highlight w:val="none"/>
        </w:rPr>
      </w:pPr>
    </w:p>
    <w:p>
      <w:pPr>
        <w:pageBreakBefore w:val="0"/>
        <w:widowControl w:val="0"/>
        <w:kinsoku/>
        <w:wordWrap/>
        <w:overflowPunct/>
        <w:topLinePunct w:val="0"/>
        <w:autoSpaceDE/>
        <w:autoSpaceDN/>
        <w:bidi w:val="0"/>
        <w:spacing w:line="500" w:lineRule="exact"/>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签约时间：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bookmarkEnd w:id="426"/>
    </w:p>
    <w:p>
      <w:pPr>
        <w:jc w:val="center"/>
        <w:rPr>
          <w:rFonts w:hint="eastAsia" w:ascii="宋体" w:hAnsi="宋体" w:eastAsia="宋体" w:cs="宋体"/>
          <w:bCs w:val="0"/>
          <w:color w:val="auto"/>
          <w:sz w:val="21"/>
          <w:szCs w:val="21"/>
          <w:highlight w:val="none"/>
        </w:rPr>
      </w:pPr>
      <w:bookmarkStart w:id="427" w:name="_Toc532375586"/>
      <w:bookmarkStart w:id="428" w:name="_Toc532377179"/>
      <w:bookmarkStart w:id="429" w:name="_Toc529388289"/>
      <w:bookmarkStart w:id="430" w:name="_Toc9975"/>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第二部分 通用合同条款</w:t>
      </w:r>
      <w:bookmarkEnd w:id="427"/>
      <w:bookmarkEnd w:id="428"/>
      <w:bookmarkEnd w:id="429"/>
      <w:bookmarkEnd w:id="430"/>
    </w:p>
    <w:p>
      <w:pPr>
        <w:keepNext/>
        <w:keepLines/>
        <w:snapToGrid w:val="0"/>
        <w:spacing w:before="260" w:after="260" w:line="360" w:lineRule="auto"/>
        <w:jc w:val="center"/>
        <w:outlineLvl w:val="2"/>
        <w:rPr>
          <w:rFonts w:hint="eastAsia" w:ascii="宋体" w:hAnsi="宋体" w:eastAsia="宋体" w:cs="宋体"/>
          <w:color w:val="auto"/>
          <w:sz w:val="44"/>
          <w:szCs w:val="44"/>
          <w:highlight w:val="none"/>
        </w:rPr>
      </w:pPr>
      <w:r>
        <w:rPr>
          <w:rFonts w:hint="eastAsia" w:ascii="宋体" w:hAnsi="宋体" w:cs="宋体"/>
          <w:b/>
          <w:bCs/>
          <w:color w:val="auto"/>
          <w:sz w:val="28"/>
          <w:szCs w:val="28"/>
          <w:highlight w:val="none"/>
          <w:lang w:val="en-US" w:eastAsia="zh-CN"/>
        </w:rPr>
        <w:t>按通用合同条款执行</w:t>
      </w:r>
      <w:r>
        <w:rPr>
          <w:rFonts w:hint="eastAsia" w:ascii="宋体" w:hAnsi="宋体" w:eastAsia="宋体" w:cs="宋体"/>
          <w:b/>
          <w:bCs/>
          <w:color w:val="auto"/>
          <w:szCs w:val="21"/>
          <w:highlight w:val="none"/>
          <w:lang w:val="zh-CN"/>
        </w:rPr>
        <w:br w:type="page"/>
      </w:r>
      <w:bookmarkStart w:id="431" w:name="_Toc532375607"/>
      <w:bookmarkStart w:id="432" w:name="_Toc5630"/>
      <w:bookmarkStart w:id="433" w:name="_Toc529388290"/>
      <w:bookmarkStart w:id="434" w:name="_Toc532377320"/>
      <w:r>
        <w:rPr>
          <w:rFonts w:hint="eastAsia" w:ascii="宋体" w:hAnsi="宋体" w:eastAsia="宋体" w:cs="宋体"/>
          <w:color w:val="auto"/>
          <w:sz w:val="44"/>
          <w:szCs w:val="44"/>
          <w:highlight w:val="none"/>
        </w:rPr>
        <w:t>第三部分 专用合同条款</w:t>
      </w:r>
      <w:bookmarkEnd w:id="431"/>
      <w:bookmarkEnd w:id="432"/>
      <w:bookmarkEnd w:id="433"/>
      <w:bookmarkEnd w:id="434"/>
    </w:p>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435" w:name="_Toc351203633"/>
      <w:bookmarkStart w:id="436" w:name="_Toc532375608"/>
      <w:bookmarkStart w:id="437" w:name="_Toc532377321"/>
      <w:bookmarkStart w:id="438" w:name="_Hlk528927191"/>
      <w:r>
        <w:rPr>
          <w:rFonts w:hint="eastAsia" w:ascii="宋体" w:hAnsi="宋体" w:eastAsia="宋体" w:cs="宋体"/>
          <w:color w:val="auto"/>
          <w:kern w:val="2"/>
          <w:sz w:val="24"/>
          <w:szCs w:val="24"/>
          <w:highlight w:val="none"/>
        </w:rPr>
        <w:t>1</w:t>
      </w:r>
      <w:bookmarkStart w:id="439" w:name="_Toc297120456"/>
      <w:bookmarkStart w:id="440" w:name="_Toc292559866"/>
      <w:bookmarkStart w:id="441" w:name="_Toc296890984"/>
      <w:bookmarkStart w:id="442" w:name="_Toc296891196"/>
      <w:bookmarkStart w:id="443" w:name="_Toc296346657"/>
      <w:bookmarkStart w:id="444" w:name="_Toc297048342"/>
      <w:bookmarkStart w:id="445" w:name="_Toc296944495"/>
      <w:bookmarkStart w:id="446" w:name="_Toc292559361"/>
      <w:bookmarkStart w:id="447" w:name="_Toc296503156"/>
      <w:bookmarkStart w:id="448" w:name="_Toc296347155"/>
      <w:r>
        <w:rPr>
          <w:rFonts w:hint="eastAsia" w:ascii="宋体" w:hAnsi="宋体" w:eastAsia="宋体" w:cs="宋体"/>
          <w:color w:val="auto"/>
          <w:kern w:val="2"/>
          <w:sz w:val="24"/>
          <w:szCs w:val="24"/>
          <w:highlight w:val="none"/>
        </w:rPr>
        <w:t>. 一般约定</w:t>
      </w:r>
      <w:bookmarkEnd w:id="435"/>
      <w:bookmarkEnd w:id="436"/>
      <w:bookmarkEnd w:id="437"/>
    </w:p>
    <w:bookmarkEnd w:id="439"/>
    <w:bookmarkEnd w:id="440"/>
    <w:bookmarkEnd w:id="441"/>
    <w:bookmarkEnd w:id="442"/>
    <w:bookmarkEnd w:id="443"/>
    <w:bookmarkEnd w:id="444"/>
    <w:bookmarkEnd w:id="445"/>
    <w:bookmarkEnd w:id="446"/>
    <w:bookmarkEnd w:id="447"/>
    <w:bookmarkEnd w:id="448"/>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49" w:name="_Toc532377322"/>
      <w:r>
        <w:rPr>
          <w:rFonts w:hint="eastAsia" w:ascii="宋体" w:hAnsi="宋体" w:eastAsia="宋体" w:cs="宋体"/>
          <w:color w:val="auto"/>
          <w:sz w:val="24"/>
          <w:szCs w:val="24"/>
          <w:highlight w:val="none"/>
        </w:rPr>
        <w:t>1.1词语定义与解释</w:t>
      </w:r>
      <w:bookmarkEnd w:id="449"/>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合同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1.1.1.6技术标准和要求：</w:t>
      </w:r>
      <w:r>
        <w:rPr>
          <w:rFonts w:hint="eastAsia" w:ascii="宋体" w:hAnsi="宋体" w:eastAsia="宋体" w:cs="宋体"/>
          <w:color w:val="auto"/>
          <w:kern w:val="0"/>
          <w:sz w:val="24"/>
          <w:szCs w:val="24"/>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1.1.1.8 已标价工程量清单：</w:t>
      </w:r>
      <w:r>
        <w:rPr>
          <w:rFonts w:hint="eastAsia" w:ascii="宋体" w:hAnsi="宋体" w:eastAsia="宋体" w:cs="宋体"/>
          <w:color w:val="auto"/>
          <w:kern w:val="0"/>
          <w:sz w:val="24"/>
          <w:szCs w:val="24"/>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sz w:val="24"/>
          <w:szCs w:val="24"/>
          <w:highlight w:val="none"/>
          <w:u w:val="single"/>
        </w:rPr>
        <w:t>按照合同协议书</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第六条</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约定执行</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本项补充1.1.1.11～1.1.1.16目：</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1.1.1.11 </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u w:val="single"/>
        </w:rPr>
        <w:t>指本工程的</w:t>
      </w:r>
      <w:r>
        <w:rPr>
          <w:rFonts w:hint="eastAsia" w:ascii="宋体" w:hAnsi="宋体" w:eastAsia="宋体" w:cs="宋体"/>
          <w:color w:val="auto"/>
          <w:kern w:val="0"/>
          <w:sz w:val="24"/>
          <w:szCs w:val="24"/>
          <w:highlight w:val="none"/>
          <w:u w:val="single"/>
          <w:lang w:val="en-US" w:eastAsia="zh-CN"/>
        </w:rPr>
        <w:t>磋商</w:t>
      </w:r>
      <w:r>
        <w:rPr>
          <w:rFonts w:hint="eastAsia" w:ascii="宋体" w:hAnsi="宋体" w:eastAsia="宋体" w:cs="宋体"/>
          <w:color w:val="auto"/>
          <w:kern w:val="0"/>
          <w:sz w:val="24"/>
          <w:szCs w:val="24"/>
          <w:highlight w:val="none"/>
          <w:u w:val="single"/>
        </w:rPr>
        <w:t>文件、图纸、其他技术资料及</w:t>
      </w:r>
      <w:r>
        <w:rPr>
          <w:rFonts w:hint="eastAsia" w:ascii="宋体" w:hAnsi="宋体" w:eastAsia="宋体" w:cs="宋体"/>
          <w:color w:val="auto"/>
          <w:kern w:val="0"/>
          <w:sz w:val="24"/>
          <w:szCs w:val="24"/>
          <w:highlight w:val="none"/>
          <w:u w:val="single"/>
          <w:lang w:val="en-US" w:eastAsia="zh-CN"/>
        </w:rPr>
        <w:t>采购</w:t>
      </w:r>
      <w:r>
        <w:rPr>
          <w:rFonts w:hint="eastAsia" w:ascii="宋体" w:hAnsi="宋体" w:eastAsia="宋体" w:cs="宋体"/>
          <w:color w:val="auto"/>
          <w:kern w:val="0"/>
          <w:sz w:val="24"/>
          <w:szCs w:val="24"/>
          <w:highlight w:val="none"/>
          <w:u w:val="single"/>
        </w:rPr>
        <w:t>人发出的对</w:t>
      </w:r>
      <w:r>
        <w:rPr>
          <w:rFonts w:hint="eastAsia" w:ascii="宋体" w:hAnsi="宋体" w:eastAsia="宋体" w:cs="宋体"/>
          <w:color w:val="auto"/>
          <w:kern w:val="0"/>
          <w:sz w:val="24"/>
          <w:szCs w:val="24"/>
          <w:highlight w:val="none"/>
          <w:u w:val="single"/>
          <w:lang w:val="en-US" w:eastAsia="zh-CN"/>
        </w:rPr>
        <w:t>磋商</w:t>
      </w:r>
      <w:r>
        <w:rPr>
          <w:rFonts w:hint="eastAsia" w:ascii="宋体" w:hAnsi="宋体" w:eastAsia="宋体" w:cs="宋体"/>
          <w:color w:val="auto"/>
          <w:kern w:val="0"/>
          <w:sz w:val="24"/>
          <w:szCs w:val="24"/>
          <w:highlight w:val="none"/>
          <w:u w:val="single"/>
        </w:rPr>
        <w:t>文件所作的澄清、修改等资料</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1.1.1.12 工作：</w:t>
      </w:r>
      <w:r>
        <w:rPr>
          <w:rFonts w:hint="eastAsia" w:ascii="宋体" w:hAnsi="宋体" w:eastAsia="宋体" w:cs="宋体"/>
          <w:color w:val="auto"/>
          <w:kern w:val="0"/>
          <w:sz w:val="24"/>
          <w:szCs w:val="24"/>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1.1.1.13 重大设计变更：按照规定需要重新报建设行政主管部门批准的设计变更。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1.1.1.14 公章：专指法定单位名称章。</w:t>
      </w:r>
    </w:p>
    <w:bookmarkEnd w:id="438"/>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1.1.1.15 到岗：指承包人按照到岗履职承诺安排满足办理施工许可手续相关要求的项目主要管理人员实际到施工现场就职履约的行为。</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1.1.1.16 项目法人：指具有民事权利能力和民事行为能力，依法独立享有民事权利和承担民事义务，以建设项目为目的，从事项目管理的机构、单位或组织。</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监理人：</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1.1.3.7 作为施工现场组成部分的其他场所包括：</w:t>
      </w:r>
      <w:r>
        <w:rPr>
          <w:rFonts w:hint="eastAsia" w:ascii="宋体" w:hAnsi="宋体" w:eastAsia="宋体" w:cs="宋体"/>
          <w:color w:val="auto"/>
          <w:kern w:val="0"/>
          <w:sz w:val="24"/>
          <w:szCs w:val="24"/>
          <w:highlight w:val="none"/>
          <w:u w:val="single"/>
        </w:rPr>
        <w:t>永久占地、临时占地以及为修建临时工程而租用、占用的土地</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kern w:val="0"/>
          <w:sz w:val="24"/>
          <w:szCs w:val="24"/>
          <w:highlight w:val="none"/>
          <w:u w:val="single"/>
        </w:rPr>
        <w:t>为实施合同工程而需要的一切永久占用的土地，即合同工程</w:t>
      </w:r>
      <w:r>
        <w:rPr>
          <w:rFonts w:hint="eastAsia" w:ascii="宋体" w:hAnsi="宋体" w:eastAsia="宋体" w:cs="宋体"/>
          <w:color w:val="auto"/>
          <w:sz w:val="24"/>
          <w:szCs w:val="24"/>
          <w:highlight w:val="none"/>
          <w:u w:val="single"/>
        </w:rPr>
        <w:t>用地红线范围内的土地</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为实施合同工程而需要</w:t>
      </w:r>
      <w:r>
        <w:rPr>
          <w:rFonts w:hint="eastAsia" w:ascii="宋体" w:hAnsi="宋体" w:eastAsia="宋体" w:cs="宋体"/>
          <w:color w:val="auto"/>
          <w:kern w:val="0"/>
          <w:sz w:val="24"/>
          <w:szCs w:val="24"/>
          <w:highlight w:val="none"/>
          <w:u w:val="single"/>
        </w:rPr>
        <w:t>的一切</w:t>
      </w:r>
      <w:r>
        <w:rPr>
          <w:rFonts w:hint="eastAsia" w:ascii="宋体" w:hAnsi="宋体" w:eastAsia="宋体" w:cs="宋体"/>
          <w:color w:val="auto"/>
          <w:sz w:val="24"/>
          <w:szCs w:val="24"/>
          <w:highlight w:val="none"/>
          <w:u w:val="single"/>
        </w:rPr>
        <w:t>临时占用的土地，包括施工所用的临时便道等的临时出入道，以及生产（办公）、生活等临时设施用地</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bookmarkStart w:id="450" w:name="_Hlk528927262"/>
      <w:r>
        <w:rPr>
          <w:rFonts w:hint="eastAsia" w:ascii="宋体" w:hAnsi="宋体" w:eastAsia="宋体" w:cs="宋体"/>
          <w:color w:val="auto"/>
          <w:sz w:val="24"/>
          <w:szCs w:val="24"/>
          <w:highlight w:val="none"/>
        </w:rPr>
        <w:t>本项补充1.1.6.2～1.1.6.3目：</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eastAsia="宋体" w:cs="宋体"/>
          <w:color w:val="auto"/>
          <w:kern w:val="0"/>
          <w:sz w:val="24"/>
          <w:szCs w:val="24"/>
          <w:highlight w:val="none"/>
        </w:rPr>
        <w:t>违法行为</w:t>
      </w:r>
      <w:r>
        <w:rPr>
          <w:rFonts w:hint="eastAsia" w:ascii="宋体" w:hAnsi="宋体" w:eastAsia="宋体" w:cs="宋体"/>
          <w:color w:val="auto"/>
          <w:sz w:val="24"/>
          <w:szCs w:val="24"/>
          <w:highlight w:val="none"/>
        </w:rPr>
        <w:t>。</w:t>
      </w:r>
    </w:p>
    <w:bookmarkEnd w:id="450"/>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51" w:name="_Toc532377323"/>
      <w:r>
        <w:rPr>
          <w:rFonts w:hint="eastAsia" w:ascii="宋体" w:hAnsi="宋体" w:eastAsia="宋体" w:cs="宋体"/>
          <w:color w:val="auto"/>
          <w:sz w:val="24"/>
          <w:szCs w:val="24"/>
          <w:highlight w:val="none"/>
        </w:rPr>
        <w:t>1.4 标准和规范</w:t>
      </w:r>
      <w:bookmarkEnd w:id="451"/>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适用于工程的标准规范包括：</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（1）施工图所涉及的技术标准、规范、规程、图集等；</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（2）国家、行业或重庆市与本工程有关的标准，以及相应的规范、规程等，当这些标准、规范、规程不一致时，以标准、规范、规程要求最高的为准。</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发包人对工程的技术标准和功能要求的特殊要求：</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52" w:name="_Toc532377324"/>
      <w:r>
        <w:rPr>
          <w:rFonts w:hint="eastAsia" w:ascii="宋体" w:hAnsi="宋体" w:eastAsia="宋体" w:cs="宋体"/>
          <w:color w:val="auto"/>
          <w:sz w:val="24"/>
          <w:szCs w:val="24"/>
          <w:highlight w:val="none"/>
        </w:rPr>
        <w:t>1.5 合同文件的优先顺序</w:t>
      </w:r>
      <w:bookmarkEnd w:id="452"/>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按照合同协议书</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第六条</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约定执行</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53" w:name="_Toc532377325"/>
      <w:r>
        <w:rPr>
          <w:rFonts w:hint="eastAsia" w:ascii="宋体" w:hAnsi="宋体" w:eastAsia="宋体" w:cs="宋体"/>
          <w:color w:val="auto"/>
          <w:sz w:val="24"/>
          <w:szCs w:val="24"/>
          <w:highlight w:val="none"/>
        </w:rPr>
        <w:t>1.6 图纸和承包人文件</w:t>
      </w:r>
      <w:bookmarkEnd w:id="453"/>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图纸的提供和交底</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通用合同条款第7.3.2款</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开工通知</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载明的开工日期前14天</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 xml:space="preserve">  套</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工程承包范围内工程的施工图设计文件</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发包人组织承包人、监理人和设计人进行图纸会审和设计交底的时间：</w:t>
      </w:r>
      <w:r>
        <w:rPr>
          <w:rFonts w:hint="eastAsia" w:ascii="宋体" w:hAnsi="宋体" w:eastAsia="宋体" w:cs="宋体"/>
          <w:color w:val="auto"/>
          <w:sz w:val="24"/>
          <w:szCs w:val="24"/>
          <w:highlight w:val="none"/>
          <w:u w:val="single"/>
        </w:rPr>
        <w:t>提供施工图后7天内</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承包人可以书面方式通过监理人向发包人申请进行紧急的设计交底，发包人认为确有必要且条件许可时，应尽快组织实施承包人申请的设计交底。</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图纸的错误</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承包人不得利用图纸的差错、遗漏或缺陷，从中获得不正当的利益。</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需要由承包人提供的书面文件，包括：</w:t>
      </w:r>
      <w:r>
        <w:rPr>
          <w:rFonts w:hint="eastAsia" w:ascii="宋体" w:hAnsi="宋体" w:eastAsia="宋体" w:cs="宋体"/>
          <w:color w:val="auto"/>
          <w:sz w:val="24"/>
          <w:szCs w:val="24"/>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承包人提供文件的期限、数量：</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每月  日前报送月工程进度完成报表</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（3）合同另有约定的，按照其约定。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承包人提供的文件的形式：□采用电子招标的，投标文件以电子文档为准，其他文件以书面文件为准；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采用纸质招标的，当书面文件与电子文档不一致的，以书面文件为准。监理人审批承包人文件的期限：</w:t>
      </w:r>
      <w:r>
        <w:rPr>
          <w:rFonts w:hint="eastAsia" w:ascii="宋体" w:hAnsi="宋体" w:eastAsia="宋体" w:cs="宋体"/>
          <w:color w:val="auto"/>
          <w:sz w:val="24"/>
          <w:szCs w:val="24"/>
          <w:highlight w:val="none"/>
          <w:u w:val="single"/>
        </w:rPr>
        <w:t>收到施工组织设计和工程总体进度计划及当年年度施工进度计划后7天内；合同另有约定的，从其约定</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承包人提供的文件的费用：</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收到后14天内；合同另有约定的，从其约定</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监理人、发包人的修改意见和审批，不免除或减轻承包人对该工作、工程、材料、工程设备等应承担的责任和义务</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54" w:name="_Toc532377326"/>
      <w:r>
        <w:rPr>
          <w:rFonts w:hint="eastAsia" w:ascii="宋体" w:hAnsi="宋体" w:eastAsia="宋体" w:cs="宋体"/>
          <w:color w:val="auto"/>
          <w:sz w:val="24"/>
          <w:szCs w:val="24"/>
          <w:highlight w:val="none"/>
        </w:rPr>
        <w:t>1.7 联络</w:t>
      </w:r>
      <w:bookmarkEnd w:id="454"/>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发包人和承包人应当在</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天内将与合同有关的通知、批准、证明、证书、指示、指令、要求、请求、同意、意见、确定和决定等书面函件送达对方当事人，并办理书面签收手续。</w:t>
      </w:r>
    </w:p>
    <w:p>
      <w:pPr>
        <w:pageBreakBefore w:val="0"/>
        <w:widowControl w:val="0"/>
        <w:tabs>
          <w:tab w:val="left" w:pos="7513"/>
        </w:tabs>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w:t>
      </w:r>
      <w:bookmarkStart w:id="455" w:name="_Hlk528493983"/>
      <w:bookmarkEnd w:id="455"/>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val="0"/>
        <w:tabs>
          <w:tab w:val="left" w:pos="7513"/>
        </w:tabs>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val="0"/>
        <w:tabs>
          <w:tab w:val="left" w:pos="7371"/>
        </w:tabs>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56" w:name="_Toc532377327"/>
      <w:r>
        <w:rPr>
          <w:rFonts w:hint="eastAsia" w:ascii="宋体" w:hAnsi="宋体" w:eastAsia="宋体" w:cs="宋体"/>
          <w:color w:val="auto"/>
          <w:sz w:val="24"/>
          <w:szCs w:val="24"/>
          <w:highlight w:val="none"/>
        </w:rPr>
        <w:t>1.8 严禁贿赂</w:t>
      </w:r>
      <w:bookmarkEnd w:id="456"/>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本款补充以下内容：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在合同执行过程中，合同当事人应严格履行附件8《廉洁从业协议》。</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57" w:name="_Toc532377328"/>
      <w:r>
        <w:rPr>
          <w:rFonts w:hint="eastAsia" w:ascii="宋体" w:hAnsi="宋体" w:eastAsia="宋体" w:cs="宋体"/>
          <w:color w:val="auto"/>
          <w:sz w:val="24"/>
          <w:szCs w:val="24"/>
          <w:highlight w:val="none"/>
        </w:rPr>
        <w:t>1.10 交通运输</w:t>
      </w:r>
      <w:bookmarkEnd w:id="457"/>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58" w:name="_Toc303539100"/>
      <w:bookmarkStart w:id="459" w:name="_Toc318581155"/>
      <w:bookmarkStart w:id="460" w:name="_Toc312677986"/>
      <w:bookmarkStart w:id="461" w:name="_Toc300934943"/>
      <w:bookmarkStart w:id="462" w:name="_Toc304295521"/>
      <w:r>
        <w:rPr>
          <w:rFonts w:hint="eastAsia" w:ascii="宋体" w:hAnsi="宋体" w:eastAsia="宋体" w:cs="宋体"/>
          <w:color w:val="auto"/>
          <w:sz w:val="24"/>
          <w:szCs w:val="24"/>
          <w:highlight w:val="none"/>
        </w:rPr>
        <w:t>.10.1 出入现场的权利</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458"/>
    <w:bookmarkEnd w:id="459"/>
    <w:bookmarkEnd w:id="460"/>
    <w:bookmarkEnd w:id="461"/>
    <w:bookmarkEnd w:id="462"/>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场外交通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承包人应遵守有关交通法规，执行有关道路限速、限行、禁止超载的规定，并配合交通管理部门的监督和检查。场外交通以施工场地移交时的现状为准。</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63" w:name="_Toc318581156"/>
      <w:bookmarkStart w:id="464" w:name="_Toc300934944"/>
      <w:bookmarkStart w:id="465" w:name="_Toc303539101"/>
      <w:bookmarkStart w:id="466" w:name="_Toc312677987"/>
      <w:bookmarkStart w:id="467" w:name="_Toc304295522"/>
      <w:r>
        <w:rPr>
          <w:rFonts w:hint="eastAsia" w:ascii="宋体" w:hAnsi="宋体" w:eastAsia="宋体" w:cs="宋体"/>
          <w:color w:val="auto"/>
          <w:sz w:val="24"/>
          <w:szCs w:val="24"/>
          <w:highlight w:val="none"/>
        </w:rPr>
        <w:t>.10.3 场内交通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关于发包人向承包人免费提供满足工程施工需要的场内道路和交通设施的约定：</w:t>
      </w:r>
      <w:r>
        <w:rPr>
          <w:rFonts w:hint="eastAsia" w:ascii="宋体" w:hAnsi="宋体" w:eastAsia="宋体" w:cs="宋体"/>
          <w:color w:val="auto"/>
          <w:kern w:val="0"/>
          <w:sz w:val="24"/>
          <w:szCs w:val="24"/>
          <w:highlight w:val="none"/>
          <w:u w:val="single"/>
        </w:rPr>
        <w:t>以施工场地移交时的现状为准</w:t>
      </w:r>
      <w:r>
        <w:rPr>
          <w:rFonts w:hint="eastAsia" w:ascii="宋体" w:hAnsi="宋体" w:eastAsia="宋体" w:cs="宋体"/>
          <w:color w:val="auto"/>
          <w:sz w:val="24"/>
          <w:szCs w:val="24"/>
          <w:highlight w:val="none"/>
        </w:rPr>
        <w:t>。</w:t>
      </w:r>
    </w:p>
    <w:bookmarkEnd w:id="463"/>
    <w:bookmarkEnd w:id="464"/>
    <w:bookmarkEnd w:id="465"/>
    <w:bookmarkEnd w:id="466"/>
    <w:bookmarkEnd w:id="467"/>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bookmarkStart w:id="468" w:name="_Toc318581157"/>
      <w:r>
        <w:rPr>
          <w:rFonts w:hint="eastAsia" w:ascii="宋体" w:hAnsi="宋体" w:eastAsia="宋体" w:cs="宋体"/>
          <w:color w:val="auto"/>
          <w:sz w:val="24"/>
          <w:szCs w:val="24"/>
          <w:highlight w:val="none"/>
        </w:rPr>
        <w:t>1.10.4 超大件和超重件的运输</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kern w:val="0"/>
          <w:sz w:val="24"/>
          <w:szCs w:val="24"/>
          <w:highlight w:val="none"/>
          <w:u w:val="single"/>
        </w:rPr>
        <w:t>承包人</w:t>
      </w:r>
      <w:r>
        <w:rPr>
          <w:rFonts w:hint="eastAsia" w:ascii="宋体" w:hAnsi="宋体" w:eastAsia="宋体" w:cs="宋体"/>
          <w:color w:val="auto"/>
          <w:sz w:val="24"/>
          <w:szCs w:val="24"/>
          <w:highlight w:val="none"/>
        </w:rPr>
        <w:t>承担。</w:t>
      </w:r>
    </w:p>
    <w:bookmarkEnd w:id="468"/>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69" w:name="_Toc532377329"/>
      <w:r>
        <w:rPr>
          <w:rFonts w:hint="eastAsia" w:ascii="宋体" w:hAnsi="宋体" w:eastAsia="宋体" w:cs="宋体"/>
          <w:color w:val="auto"/>
          <w:sz w:val="24"/>
          <w:szCs w:val="24"/>
          <w:highlight w:val="none"/>
        </w:rPr>
        <w:t>1.11 知识产权</w:t>
      </w:r>
      <w:bookmarkEnd w:id="469"/>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属于发包人</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按通用合同条款执行</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承包人</w:t>
      </w:r>
      <w:r>
        <w:rPr>
          <w:rFonts w:hint="eastAsia" w:ascii="宋体" w:hAnsi="宋体" w:eastAsia="宋体" w:cs="宋体"/>
          <w:color w:val="auto"/>
          <w:kern w:val="0"/>
          <w:sz w:val="24"/>
          <w:szCs w:val="24"/>
          <w:highlight w:val="none"/>
          <w:u w:val="single"/>
          <w:lang w:val="en-US" w:eastAsia="zh-CN"/>
        </w:rPr>
        <w:t>自行</w:t>
      </w:r>
      <w:r>
        <w:rPr>
          <w:rFonts w:hint="eastAsia" w:ascii="宋体" w:hAnsi="宋体" w:eastAsia="宋体" w:cs="宋体"/>
          <w:color w:val="auto"/>
          <w:sz w:val="24"/>
          <w:szCs w:val="24"/>
          <w:highlight w:val="none"/>
          <w:u w:val="single"/>
        </w:rPr>
        <w:t>承担</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70" w:name="_Toc532377330"/>
      <w:r>
        <w:rPr>
          <w:rFonts w:hint="eastAsia" w:ascii="宋体" w:hAnsi="宋体" w:eastAsia="宋体" w:cs="宋体"/>
          <w:color w:val="auto"/>
          <w:sz w:val="24"/>
          <w:szCs w:val="24"/>
          <w:highlight w:val="none"/>
        </w:rPr>
        <w:t>1.13工程量清单错误的修正</w:t>
      </w:r>
      <w:bookmarkEnd w:id="470"/>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出现工程量清单错误时，责任和权利划分：</w:t>
      </w:r>
      <w:r>
        <w:rPr>
          <w:rFonts w:hint="eastAsia" w:ascii="宋体" w:hAnsi="宋体" w:eastAsia="宋体" w:cs="宋体"/>
          <w:color w:val="auto"/>
          <w:sz w:val="24"/>
          <w:szCs w:val="24"/>
          <w:highlight w:val="none"/>
          <w:u w:val="single"/>
        </w:rPr>
        <w:t xml:space="preserve"> 按</w:t>
      </w:r>
      <w:r>
        <w:rPr>
          <w:rFonts w:hint="eastAsia" w:ascii="宋体" w:hAnsi="宋体" w:eastAsia="宋体" w:cs="宋体"/>
          <w:color w:val="auto"/>
          <w:sz w:val="24"/>
          <w:szCs w:val="24"/>
          <w:highlight w:val="none"/>
          <w:u w:val="single"/>
          <w:lang w:val="en-US" w:eastAsia="zh-CN"/>
        </w:rPr>
        <w:t>磋商</w:t>
      </w:r>
      <w:r>
        <w:rPr>
          <w:rFonts w:hint="eastAsia" w:ascii="宋体" w:hAnsi="宋体" w:eastAsia="宋体" w:cs="宋体"/>
          <w:color w:val="auto"/>
          <w:sz w:val="24"/>
          <w:szCs w:val="24"/>
          <w:highlight w:val="none"/>
          <w:u w:val="single"/>
          <w:lang w:eastAsia="zh-CN"/>
        </w:rPr>
        <w:t>文件</w:t>
      </w:r>
      <w:r>
        <w:rPr>
          <w:rFonts w:hint="eastAsia" w:ascii="宋体" w:hAnsi="宋体" w:eastAsia="宋体" w:cs="宋体"/>
          <w:color w:val="auto"/>
          <w:sz w:val="24"/>
          <w:szCs w:val="24"/>
          <w:highlight w:val="none"/>
          <w:u w:val="single"/>
        </w:rPr>
        <w:t xml:space="preserve">执行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按</w:t>
      </w:r>
      <w:r>
        <w:rPr>
          <w:rFonts w:hint="eastAsia" w:ascii="宋体" w:hAnsi="宋体" w:eastAsia="宋体" w:cs="宋体"/>
          <w:color w:val="auto"/>
          <w:sz w:val="24"/>
          <w:szCs w:val="24"/>
          <w:highlight w:val="none"/>
          <w:u w:val="single"/>
          <w:lang w:val="en-US" w:eastAsia="zh-CN"/>
        </w:rPr>
        <w:t>磋商</w:t>
      </w:r>
      <w:r>
        <w:rPr>
          <w:rFonts w:hint="eastAsia" w:ascii="宋体" w:hAnsi="宋体" w:eastAsia="宋体" w:cs="宋体"/>
          <w:color w:val="auto"/>
          <w:sz w:val="24"/>
          <w:szCs w:val="24"/>
          <w:highlight w:val="none"/>
          <w:u w:val="single"/>
          <w:lang w:eastAsia="zh-CN"/>
        </w:rPr>
        <w:t>文件</w:t>
      </w:r>
      <w:r>
        <w:rPr>
          <w:rFonts w:hint="eastAsia" w:ascii="宋体" w:hAnsi="宋体" w:eastAsia="宋体" w:cs="宋体"/>
          <w:color w:val="auto"/>
          <w:sz w:val="24"/>
          <w:szCs w:val="24"/>
          <w:highlight w:val="none"/>
          <w:u w:val="single"/>
        </w:rPr>
        <w:t xml:space="preserve">执行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按</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 xml:space="preserve">执行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471" w:name="_Toc532375609"/>
      <w:bookmarkStart w:id="472" w:name="_Toc532377331"/>
      <w:bookmarkStart w:id="473" w:name="_Toc351203634"/>
      <w:r>
        <w:rPr>
          <w:rFonts w:hint="eastAsia" w:ascii="宋体" w:hAnsi="宋体" w:eastAsia="宋体" w:cs="宋体"/>
          <w:color w:val="auto"/>
          <w:kern w:val="2"/>
          <w:sz w:val="24"/>
          <w:szCs w:val="24"/>
          <w:highlight w:val="none"/>
        </w:rPr>
        <w:t>2</w:t>
      </w:r>
      <w:bookmarkStart w:id="474" w:name="_Toc296891197"/>
      <w:bookmarkStart w:id="475" w:name="_Toc296503157"/>
      <w:bookmarkStart w:id="476" w:name="_Toc296944496"/>
      <w:bookmarkStart w:id="477" w:name="_Toc292559867"/>
      <w:bookmarkStart w:id="478" w:name="_Toc296346658"/>
      <w:bookmarkStart w:id="479" w:name="_Toc292559362"/>
      <w:bookmarkStart w:id="480" w:name="_Toc297048343"/>
      <w:bookmarkStart w:id="481" w:name="_Toc296890985"/>
      <w:bookmarkStart w:id="482" w:name="_Toc297120457"/>
      <w:bookmarkStart w:id="483" w:name="_Toc296347156"/>
      <w:r>
        <w:rPr>
          <w:rFonts w:hint="eastAsia" w:ascii="宋体" w:hAnsi="宋体" w:eastAsia="宋体" w:cs="宋体"/>
          <w:color w:val="auto"/>
          <w:kern w:val="2"/>
          <w:sz w:val="24"/>
          <w:szCs w:val="24"/>
          <w:highlight w:val="none"/>
        </w:rPr>
        <w:t>. 发包人</w:t>
      </w:r>
      <w:bookmarkEnd w:id="471"/>
      <w:bookmarkEnd w:id="472"/>
      <w:bookmarkEnd w:id="473"/>
    </w:p>
    <w:bookmarkEnd w:id="474"/>
    <w:bookmarkEnd w:id="475"/>
    <w:bookmarkEnd w:id="476"/>
    <w:bookmarkEnd w:id="477"/>
    <w:bookmarkEnd w:id="478"/>
    <w:bookmarkEnd w:id="479"/>
    <w:bookmarkEnd w:id="480"/>
    <w:bookmarkEnd w:id="481"/>
    <w:bookmarkEnd w:id="482"/>
    <w:bookmarkEnd w:id="483"/>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发包人代表</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84" w:name="_Toc532377332"/>
      <w:r>
        <w:rPr>
          <w:rFonts w:hint="eastAsia" w:ascii="宋体" w:hAnsi="宋体" w:eastAsia="宋体" w:cs="宋体"/>
          <w:color w:val="auto"/>
          <w:sz w:val="24"/>
          <w:szCs w:val="24"/>
          <w:highlight w:val="none"/>
        </w:rPr>
        <w:t>2.4 施工现场、施工条件和基础资料的提供</w:t>
      </w:r>
      <w:bookmarkEnd w:id="484"/>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 提供场地：</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施工场地的提供采用以下第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（1）一次提供全部施工场地：发包人于</w:t>
      </w:r>
      <w:r>
        <w:rPr>
          <w:rFonts w:hint="eastAsia" w:ascii="宋体" w:hAnsi="宋体" w:eastAsia="宋体" w:cs="宋体"/>
          <w:color w:val="auto"/>
          <w:sz w:val="24"/>
          <w:szCs w:val="24"/>
          <w:highlight w:val="none"/>
          <w:u w:val="single"/>
        </w:rPr>
        <w:t>开工</w:t>
      </w:r>
      <w:r>
        <w:rPr>
          <w:rFonts w:hint="eastAsia" w:ascii="宋体" w:hAnsi="宋体" w:eastAsia="宋体" w:cs="宋体"/>
          <w:color w:val="auto"/>
          <w:sz w:val="24"/>
          <w:szCs w:val="24"/>
          <w:highlight w:val="none"/>
        </w:rPr>
        <w:t>前向承包人提供合同工程用地红线范围内的施工场地。</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（2）分次提供全部施工场地：</w:t>
      </w:r>
      <w:r>
        <w:rPr>
          <w:rFonts w:hint="eastAsia" w:ascii="宋体" w:hAnsi="宋体" w:eastAsia="宋体" w:cs="宋体"/>
          <w:color w:val="auto"/>
          <w:sz w:val="24"/>
          <w:szCs w:val="24"/>
          <w:highlight w:val="none"/>
          <w:u w:val="single"/>
        </w:rPr>
        <w:t>发包人按约定的时间分次向承包人提供合同工程用地红线范围内的施工场地</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承包人编制的施工组织计划已充分考虑了施工场地提供的因素</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85" w:name="_Toc532377333"/>
      <w:r>
        <w:rPr>
          <w:rFonts w:hint="eastAsia" w:ascii="宋体" w:hAnsi="宋体" w:eastAsia="宋体" w:cs="宋体"/>
          <w:color w:val="auto"/>
          <w:sz w:val="24"/>
          <w:szCs w:val="24"/>
          <w:highlight w:val="none"/>
        </w:rPr>
        <w:t>2.5 资金来源证明及支付担保</w:t>
      </w:r>
      <w:bookmarkEnd w:id="485"/>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不采用</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lang w:val="en-US" w:eastAsia="zh-CN"/>
        </w:rPr>
        <w:t xml:space="preserve"> 不提供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支付担保的退还时间：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486" w:name="_Toc532375610"/>
      <w:bookmarkStart w:id="487" w:name="_Toc351203635"/>
      <w:bookmarkStart w:id="488" w:name="_Toc532377334"/>
      <w:r>
        <w:rPr>
          <w:rFonts w:hint="eastAsia" w:ascii="宋体" w:hAnsi="宋体" w:eastAsia="宋体" w:cs="宋体"/>
          <w:color w:val="auto"/>
          <w:kern w:val="2"/>
          <w:sz w:val="24"/>
          <w:szCs w:val="24"/>
          <w:highlight w:val="none"/>
        </w:rPr>
        <w:t>3</w:t>
      </w:r>
      <w:bookmarkStart w:id="489" w:name="_Toc292559363"/>
      <w:bookmarkStart w:id="490" w:name="_Toc292559868"/>
      <w:bookmarkStart w:id="491" w:name="_Toc296503158"/>
      <w:bookmarkStart w:id="492" w:name="_Toc296890986"/>
      <w:bookmarkStart w:id="493" w:name="_Toc296347157"/>
      <w:bookmarkStart w:id="494" w:name="_Toc296891198"/>
      <w:bookmarkStart w:id="495" w:name="_Toc297120458"/>
      <w:bookmarkStart w:id="496" w:name="_Toc296944497"/>
      <w:bookmarkStart w:id="497" w:name="_Toc297048344"/>
      <w:bookmarkStart w:id="498" w:name="_Toc296346659"/>
      <w:r>
        <w:rPr>
          <w:rFonts w:hint="eastAsia" w:ascii="宋体" w:hAnsi="宋体" w:eastAsia="宋体" w:cs="宋体"/>
          <w:color w:val="auto"/>
          <w:kern w:val="2"/>
          <w:sz w:val="24"/>
          <w:szCs w:val="24"/>
          <w:highlight w:val="none"/>
        </w:rPr>
        <w:t>. 承包人</w:t>
      </w:r>
      <w:bookmarkEnd w:id="486"/>
      <w:bookmarkEnd w:id="487"/>
      <w:bookmarkEnd w:id="488"/>
    </w:p>
    <w:bookmarkEnd w:id="489"/>
    <w:bookmarkEnd w:id="490"/>
    <w:bookmarkEnd w:id="491"/>
    <w:bookmarkEnd w:id="492"/>
    <w:bookmarkEnd w:id="493"/>
    <w:bookmarkEnd w:id="494"/>
    <w:bookmarkEnd w:id="495"/>
    <w:bookmarkEnd w:id="496"/>
    <w:bookmarkEnd w:id="497"/>
    <w:bookmarkEnd w:id="498"/>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499" w:name="_Toc532377335"/>
      <w:r>
        <w:rPr>
          <w:rFonts w:hint="eastAsia" w:ascii="宋体" w:hAnsi="宋体" w:eastAsia="宋体" w:cs="宋体"/>
          <w:color w:val="auto"/>
          <w:sz w:val="24"/>
          <w:szCs w:val="24"/>
          <w:highlight w:val="none"/>
        </w:rPr>
        <w:t>3.1 承包人的一般义务</w:t>
      </w:r>
      <w:bookmarkEnd w:id="499"/>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本款细化为3.1.1～3.1.10项：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3.1.1办理法律规定和合同约定应由承包人办理的许可和批准，并将办理结果书面报送发包人留存；协助发包人办理施工所需的工程质量监督、安全监督、施工许可证等相关证件及手续。</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3.1.6按照第6.3款〔环境保护〕约定负责施工场地及其周边环境与生态的保护工作。</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3.1.7按照第6.1款〔安全文明施工〕约定采取施工安全措施，确保工程及其人员、材料、设备和设施的安全，防止因工程施工造成的人身伤害和财产损失。</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3.1.8将发包人按合同约定支付的各项价款专用于合同工程，且应及时支付其雇用人员工资，并及时向分包人支付合同价款。</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3.1.9承包人提交的竣工资料的内容：</w:t>
      </w:r>
      <w:r>
        <w:rPr>
          <w:rFonts w:hint="eastAsia" w:ascii="宋体" w:hAnsi="宋体" w:eastAsia="宋体" w:cs="宋体"/>
          <w:color w:val="auto"/>
          <w:sz w:val="24"/>
          <w:szCs w:val="24"/>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承包人需要提交的竣工资料套数：完整竣工资料一式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套（含电子文档）。</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工程竣工验收合格后  个月内移交给发包人</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完整的书面文件及电子文档</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3.1.10承包人应履行的其他义务：</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3.1.10.1在开始施工之前，承包人应核查、复测本工程的各种基准标志。承包人应及时将上述基准标志中存在的错误、不完整或其他缺陷通知发包人，以便发包人核实后重新确认。</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3.1.10.4承包人应服从发包人要求的管理模式、工作方式和工作要求，同时接受监理人、</w:t>
      </w:r>
      <w:r>
        <w:rPr>
          <w:rFonts w:hint="eastAsia" w:ascii="宋体" w:hAnsi="宋体" w:eastAsia="宋体" w:cs="宋体"/>
          <w:color w:val="auto"/>
          <w:sz w:val="24"/>
          <w:szCs w:val="24"/>
          <w:highlight w:val="none"/>
          <w:lang w:eastAsia="zh-CN"/>
        </w:rPr>
        <w:t>跟审单位（如有）</w:t>
      </w:r>
      <w:r>
        <w:rPr>
          <w:rFonts w:hint="eastAsia" w:ascii="宋体" w:hAnsi="宋体" w:eastAsia="宋体" w:cs="宋体"/>
          <w:color w:val="auto"/>
          <w:sz w:val="24"/>
          <w:szCs w:val="24"/>
          <w:highlight w:val="none"/>
        </w:rPr>
        <w:t>的管理和全程监督，配合项目结、决算的办理。</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3.1.10.5</w:t>
      </w:r>
      <w:r>
        <w:rPr>
          <w:rFonts w:hint="eastAsia" w:ascii="宋体" w:hAnsi="宋体" w:eastAsia="宋体" w:cs="宋体"/>
          <w:color w:val="auto"/>
          <w:sz w:val="24"/>
          <w:szCs w:val="24"/>
          <w:highlight w:val="none"/>
          <w:u w:val="single"/>
        </w:rPr>
        <w:t>承包人应为本工程开立专用账户，接受发包人的监管</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3.1.10.6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00" w:name="_Toc532377336"/>
      <w:r>
        <w:rPr>
          <w:rFonts w:hint="eastAsia" w:ascii="宋体" w:hAnsi="宋体" w:eastAsia="宋体" w:cs="宋体"/>
          <w:color w:val="auto"/>
          <w:sz w:val="24"/>
          <w:szCs w:val="24"/>
          <w:highlight w:val="none"/>
        </w:rPr>
        <w:t>3.2 项目经理</w:t>
      </w:r>
      <w:bookmarkEnd w:id="500"/>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不少于22天，由监理人负责项目经理的考勤</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技术负责人</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     业：</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证书名称及号码：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Style w:val="23"/>
        <w:pageBreakBefore w:val="0"/>
        <w:widowControl w:val="0"/>
        <w:kinsoku/>
        <w:wordWrap/>
        <w:overflowPunct/>
        <w:topLinePunct w:val="0"/>
        <w:bidi w:val="0"/>
        <w:adjustRightInd/>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联系方式：</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关于技</w:t>
      </w:r>
      <w:r>
        <w:rPr>
          <w:rFonts w:hint="eastAsia" w:ascii="宋体" w:hAnsi="宋体" w:eastAsia="宋体" w:cs="宋体"/>
          <w:color w:val="auto"/>
          <w:sz w:val="24"/>
          <w:szCs w:val="24"/>
          <w:highlight w:val="none"/>
        </w:rPr>
        <w:t>术负责人每月在施工现场的时间要求：</w:t>
      </w:r>
      <w:r>
        <w:rPr>
          <w:rFonts w:hint="eastAsia" w:ascii="宋体" w:hAnsi="宋体" w:eastAsia="宋体" w:cs="宋体"/>
          <w:color w:val="auto"/>
          <w:sz w:val="24"/>
          <w:szCs w:val="24"/>
          <w:highlight w:val="none"/>
          <w:u w:val="single"/>
        </w:rPr>
        <w:t>不少于22天，由监理人负责技术负责人的考勤</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eastAsia="宋体" w:cs="宋体"/>
          <w:color w:val="auto"/>
          <w:sz w:val="24"/>
          <w:szCs w:val="24"/>
          <w:highlight w:val="none"/>
        </w:rPr>
        <w:t>。</w:t>
      </w:r>
      <w:bookmarkStart w:id="501" w:name="_Hlk528927599"/>
    </w:p>
    <w:bookmarkEnd w:id="501"/>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bookmarkStart w:id="502" w:name="_Hlk528927718"/>
      <w:r>
        <w:rPr>
          <w:rFonts w:hint="eastAsia" w:ascii="宋体" w:hAnsi="宋体" w:eastAsia="宋体" w:cs="宋体"/>
          <w:color w:val="auto"/>
          <w:sz w:val="24"/>
          <w:szCs w:val="24"/>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502"/>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若项目经理和技术负责人出现下列情形需更换的，承包人按通用条款第3.2.3项的规定向发包人发出通知，经发包人领导班子集体决策同意后予以批准，并将变更信息推送给行业主管部门：</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1、死亡；</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2、非承包人原因导致工期延长，而致使项目经理和技术负责人达到法定退休年龄且确需退休；</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3、按《职工非因工伤残或因病丧失劳动能力程度鉴定标准（试行）》规定鉴定为完全丧失劳动能力和大部分丧失劳动能力；</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4、非承包人原因导致中标3个月不能开工；</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5、被公安或者司法机关限制人身自由；</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6、被取消职称或者执业资格，不满足项目管理要求；</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7、非承包人原因导致确需变更的其它情形。</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本款补充3.2.6项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 国有资金投资项目其他主要人员变更参照《重庆市政府投资项目合同变更管理暂行办法》的规定。</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03" w:name="_Toc532377337"/>
      <w:r>
        <w:rPr>
          <w:rFonts w:hint="eastAsia" w:ascii="宋体" w:hAnsi="宋体" w:eastAsia="宋体" w:cs="宋体"/>
          <w:color w:val="auto"/>
          <w:sz w:val="24"/>
          <w:szCs w:val="24"/>
          <w:highlight w:val="none"/>
        </w:rPr>
        <w:t>3.3 承包人人员</w:t>
      </w:r>
      <w:bookmarkEnd w:id="503"/>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承包人应按建设行政主管部门现行规定配备现场施工从业人员，具体要求如下：</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承包人主要施工管理人员离开施工现场，指定的临时人员需满足：</w:t>
      </w:r>
      <w:r>
        <w:rPr>
          <w:rFonts w:hint="eastAsia" w:ascii="宋体" w:hAnsi="宋体" w:eastAsia="宋体" w:cs="宋体"/>
          <w:color w:val="auto"/>
          <w:sz w:val="24"/>
          <w:szCs w:val="24"/>
          <w:highlight w:val="none"/>
          <w:u w:val="single"/>
        </w:rPr>
        <w:t>《重庆市房屋建筑与市政基础设施工程现场施工从业人员配备标准》（DBJ50-157-2013）的相应要求</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04" w:name="_Toc532377338"/>
      <w:r>
        <w:rPr>
          <w:rFonts w:hint="eastAsia" w:ascii="宋体" w:hAnsi="宋体" w:eastAsia="宋体" w:cs="宋体"/>
          <w:color w:val="auto"/>
          <w:sz w:val="24"/>
          <w:szCs w:val="24"/>
          <w:highlight w:val="none"/>
        </w:rPr>
        <w:t>3</w:t>
      </w:r>
      <w:bookmarkStart w:id="505" w:name="_Toc296346660"/>
      <w:bookmarkStart w:id="506" w:name="_Toc297216151"/>
      <w:bookmarkStart w:id="507" w:name="_Toc296503159"/>
      <w:bookmarkStart w:id="508" w:name="_Toc292559364"/>
      <w:bookmarkStart w:id="509" w:name="_Toc296347158"/>
      <w:bookmarkStart w:id="510" w:name="_Toc296890987"/>
      <w:bookmarkStart w:id="511" w:name="_Toc292559869"/>
      <w:bookmarkStart w:id="512" w:name="_Toc297048345"/>
      <w:bookmarkStart w:id="513" w:name="_Toc297123492"/>
      <w:bookmarkStart w:id="514" w:name="_Toc296944498"/>
      <w:bookmarkStart w:id="515" w:name="_Toc296891199"/>
      <w:bookmarkStart w:id="516" w:name="_Toc304295523"/>
      <w:bookmarkStart w:id="517" w:name="_Toc303539102"/>
      <w:bookmarkStart w:id="518" w:name="_Toc312677988"/>
      <w:bookmarkStart w:id="519" w:name="_Toc300934945"/>
      <w:bookmarkStart w:id="520" w:name="_Toc297120459"/>
      <w:r>
        <w:rPr>
          <w:rFonts w:hint="eastAsia" w:ascii="宋体" w:hAnsi="宋体" w:eastAsia="宋体" w:cs="宋体"/>
          <w:color w:val="auto"/>
          <w:sz w:val="24"/>
          <w:szCs w:val="24"/>
          <w:highlight w:val="none"/>
        </w:rPr>
        <w:t>.5 分包</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521" w:name="_Toc296503160"/>
      <w:bookmarkStart w:id="522" w:name="_Toc296890988"/>
      <w:bookmarkStart w:id="523" w:name="_Toc303539103"/>
      <w:bookmarkStart w:id="524" w:name="_Toc296347159"/>
      <w:bookmarkStart w:id="525" w:name="_Toc296944499"/>
      <w:bookmarkStart w:id="526" w:name="_Toc292559365"/>
      <w:bookmarkStart w:id="527" w:name="_Toc312677989"/>
      <w:bookmarkStart w:id="528" w:name="_Toc300934946"/>
      <w:bookmarkStart w:id="529" w:name="_Toc297216152"/>
      <w:bookmarkStart w:id="530" w:name="_Toc296891200"/>
      <w:bookmarkStart w:id="531" w:name="_Toc296346661"/>
      <w:bookmarkStart w:id="532" w:name="_Toc304295524"/>
      <w:bookmarkStart w:id="533" w:name="_Toc297048346"/>
      <w:bookmarkStart w:id="534" w:name="_Toc318581158"/>
      <w:bookmarkStart w:id="535" w:name="_Toc297120460"/>
      <w:bookmarkStart w:id="536" w:name="_Toc297123493"/>
      <w:bookmarkStart w:id="537" w:name="_Toc292559870"/>
      <w:r>
        <w:rPr>
          <w:rFonts w:hint="eastAsia" w:ascii="宋体" w:hAnsi="宋体" w:eastAsia="宋体" w:cs="宋体"/>
          <w:color w:val="auto"/>
          <w:sz w:val="24"/>
          <w:szCs w:val="24"/>
          <w:highlight w:val="none"/>
        </w:rPr>
        <w:t>.5.1 分包的一般约定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禁止分包的工程包括：主体结构、关键性工作等国家法律、法规禁止分包的工程。</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主体结构、关键性工作的范围：国家法律、法规、规范、标准等所约束的范围。如房建工程主体结构指混凝土工程、砌体工程、钢结构工程（具体有基础、梁、板、柱、砼墙、楼梯工程等）</w:t>
      </w:r>
      <w:bookmarkStart w:id="538" w:name="_Toc297120461"/>
      <w:bookmarkStart w:id="539" w:name="_Toc296890989"/>
      <w:bookmarkStart w:id="540" w:name="_Toc296503161"/>
      <w:bookmarkStart w:id="541" w:name="_Toc297123494"/>
      <w:bookmarkStart w:id="542" w:name="_Toc297216153"/>
      <w:bookmarkStart w:id="543" w:name="_Toc297048347"/>
      <w:bookmarkStart w:id="544" w:name="_Toc304295525"/>
      <w:bookmarkStart w:id="545" w:name="_Toc296347160"/>
      <w:bookmarkStart w:id="546" w:name="_Toc303539104"/>
      <w:bookmarkStart w:id="547" w:name="_Toc296891201"/>
      <w:bookmarkStart w:id="548" w:name="_Toc296346662"/>
      <w:bookmarkStart w:id="549" w:name="_Toc300934947"/>
      <w:bookmarkStart w:id="550" w:name="_Toc296944500"/>
      <w:r>
        <w:rPr>
          <w:rFonts w:hint="eastAsia" w:ascii="宋体" w:hAnsi="宋体" w:eastAsia="宋体" w:cs="宋体"/>
          <w:color w:val="auto"/>
          <w:sz w:val="24"/>
          <w:szCs w:val="24"/>
          <w:highlight w:val="none"/>
        </w:rPr>
        <w:t>；关键性工作指梁、板、柱等部位。</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551" w:name="_Toc318581159"/>
      <w:bookmarkStart w:id="552" w:name="_Toc312677990"/>
      <w:r>
        <w:rPr>
          <w:rFonts w:hint="eastAsia" w:ascii="宋体" w:hAnsi="宋体" w:eastAsia="宋体" w:cs="宋体"/>
          <w:color w:val="auto"/>
          <w:sz w:val="24"/>
          <w:szCs w:val="24"/>
          <w:highlight w:val="none"/>
        </w:rPr>
        <w:t>.5.2分包的确定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bookmarkEnd w:id="551"/>
      <w:bookmarkEnd w:id="552"/>
      <w:r>
        <w:rPr>
          <w:rFonts w:hint="eastAsia" w:ascii="宋体" w:hAnsi="宋体" w:eastAsia="宋体" w:cs="宋体"/>
          <w:color w:val="auto"/>
          <w:sz w:val="24"/>
          <w:szCs w:val="24"/>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本款补充3.5.6项：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3.5.6严禁违法分包</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53" w:name="_Toc532377339"/>
      <w:r>
        <w:rPr>
          <w:rFonts w:hint="eastAsia" w:ascii="宋体" w:hAnsi="宋体" w:eastAsia="宋体" w:cs="宋体"/>
          <w:color w:val="auto"/>
          <w:sz w:val="24"/>
          <w:szCs w:val="24"/>
          <w:highlight w:val="none"/>
        </w:rPr>
        <w:t>3.7 履约担保</w:t>
      </w:r>
      <w:bookmarkEnd w:id="553"/>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3.7.1承包人是否提供履约担保：</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3.7.2承包人提供履约担保的形式、金额及期限：</w:t>
      </w:r>
    </w:p>
    <w:p>
      <w:pPr>
        <w:pageBreakBefore w:val="0"/>
        <w:widowControl w:val="0"/>
        <w:kinsoku/>
        <w:wordWrap/>
        <w:overflowPunct/>
        <w:topLinePunct w:val="0"/>
        <w:autoSpaceDE/>
        <w:autoSpaceDN/>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bookmarkStart w:id="554" w:name="_Toc532377340"/>
      <w:bookmarkStart w:id="555" w:name="_Toc351203636"/>
      <w:bookmarkStart w:id="556" w:name="_Toc532375611"/>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履约担保的形式：</w:t>
      </w:r>
      <w:r>
        <w:rPr>
          <w:rFonts w:hint="eastAsia" w:ascii="宋体" w:hAnsi="宋体" w:eastAsia="宋体" w:cs="宋体"/>
          <w:color w:val="auto"/>
          <w:sz w:val="24"/>
          <w:szCs w:val="24"/>
          <w:highlight w:val="none"/>
          <w:lang w:val="en-US" w:eastAsia="zh-CN"/>
        </w:rPr>
        <w:t>履约保证金。</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lang w:val="zh-CN" w:eastAsia="zh-CN"/>
        </w:rPr>
        <w:t>2履约保证金金额：签约合同价格的10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3.7.2.3履约保证金的缴纳方式：以支票、汇票、本票或者金融机构、担保机构出具的见索即付保函等非现金形式提交。</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3.7.2.4</w:t>
      </w:r>
      <w:r>
        <w:rPr>
          <w:rFonts w:hint="eastAsia" w:ascii="宋体" w:hAnsi="宋体" w:eastAsia="宋体" w:cs="宋体"/>
          <w:color w:val="auto"/>
          <w:sz w:val="24"/>
          <w:szCs w:val="24"/>
          <w:highlight w:val="none"/>
          <w:lang w:val="zh-CN" w:eastAsia="zh-CN"/>
        </w:rPr>
        <w:t>履约保证金的递交时间：自成交通知书发出之日起10个工作日内书面合同签订前递交至采购人指定账户。</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3.7.2.5</w:t>
      </w:r>
      <w:r>
        <w:rPr>
          <w:rFonts w:hint="eastAsia" w:ascii="宋体" w:hAnsi="宋体" w:eastAsia="宋体" w:cs="宋体"/>
          <w:color w:val="auto"/>
          <w:sz w:val="24"/>
          <w:szCs w:val="24"/>
          <w:highlight w:val="none"/>
          <w:lang w:val="zh-CN" w:eastAsia="zh-CN"/>
        </w:rPr>
        <w:t>履约保证金返还：竣工验收合格后一次性无息退还。（履约保证金不计息）。</w:t>
      </w:r>
    </w:p>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r>
        <w:rPr>
          <w:rFonts w:hint="eastAsia" w:ascii="宋体" w:hAnsi="宋体" w:eastAsia="宋体" w:cs="宋体"/>
          <w:color w:val="auto"/>
          <w:kern w:val="2"/>
          <w:sz w:val="24"/>
          <w:szCs w:val="24"/>
          <w:highlight w:val="none"/>
        </w:rPr>
        <w:t>4</w:t>
      </w:r>
      <w:bookmarkStart w:id="557" w:name="_Toc297048348"/>
      <w:bookmarkStart w:id="558" w:name="_Toc296944501"/>
      <w:bookmarkStart w:id="559" w:name="_Toc296346663"/>
      <w:bookmarkStart w:id="560" w:name="_Toc296890990"/>
      <w:bookmarkStart w:id="561" w:name="_Toc292559871"/>
      <w:bookmarkStart w:id="562" w:name="_Toc297120462"/>
      <w:bookmarkStart w:id="563" w:name="_Toc296347161"/>
      <w:bookmarkStart w:id="564" w:name="_Toc267251413"/>
      <w:bookmarkStart w:id="565" w:name="_Toc296891202"/>
      <w:bookmarkStart w:id="566" w:name="_Toc296503162"/>
      <w:bookmarkStart w:id="567" w:name="_Toc292559366"/>
      <w:r>
        <w:rPr>
          <w:rFonts w:hint="eastAsia" w:ascii="宋体" w:hAnsi="宋体" w:eastAsia="宋体" w:cs="宋体"/>
          <w:color w:val="auto"/>
          <w:kern w:val="2"/>
          <w:sz w:val="24"/>
          <w:szCs w:val="24"/>
          <w:highlight w:val="none"/>
        </w:rPr>
        <w:t>. 监</w:t>
      </w:r>
      <w:bookmarkEnd w:id="557"/>
      <w:bookmarkEnd w:id="558"/>
      <w:bookmarkEnd w:id="559"/>
      <w:bookmarkEnd w:id="560"/>
      <w:bookmarkEnd w:id="561"/>
      <w:bookmarkEnd w:id="562"/>
      <w:bookmarkEnd w:id="563"/>
      <w:bookmarkEnd w:id="564"/>
      <w:bookmarkEnd w:id="565"/>
      <w:bookmarkEnd w:id="566"/>
      <w:bookmarkEnd w:id="567"/>
      <w:r>
        <w:rPr>
          <w:rFonts w:hint="eastAsia" w:ascii="宋体" w:hAnsi="宋体" w:eastAsia="宋体" w:cs="宋体"/>
          <w:color w:val="auto"/>
          <w:kern w:val="2"/>
          <w:sz w:val="24"/>
          <w:szCs w:val="24"/>
          <w:highlight w:val="none"/>
        </w:rPr>
        <w:t>理人</w:t>
      </w:r>
      <w:bookmarkEnd w:id="554"/>
      <w:bookmarkEnd w:id="555"/>
      <w:bookmarkEnd w:id="556"/>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68" w:name="_Toc532377341"/>
      <w:r>
        <w:rPr>
          <w:rFonts w:hint="eastAsia" w:ascii="宋体" w:hAnsi="宋体" w:eastAsia="宋体" w:cs="宋体"/>
          <w:color w:val="auto"/>
          <w:sz w:val="24"/>
          <w:szCs w:val="24"/>
          <w:highlight w:val="none"/>
        </w:rPr>
        <w:t>4.1 监理人的一般规定</w:t>
      </w:r>
      <w:bookmarkEnd w:id="568"/>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见发包人与监理人就本工程签订的监理合同</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见发包人与监理人就本工程签订的监理合同  </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69" w:name="_Toc532377342"/>
      <w:r>
        <w:rPr>
          <w:rFonts w:hint="eastAsia" w:ascii="宋体" w:hAnsi="宋体" w:eastAsia="宋体" w:cs="宋体"/>
          <w:color w:val="auto"/>
          <w:sz w:val="24"/>
          <w:szCs w:val="24"/>
          <w:highlight w:val="none"/>
        </w:rPr>
        <w:t>4.2 监理人员</w:t>
      </w:r>
      <w:bookmarkEnd w:id="569"/>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见发包人与监理人就本工程签订的监理合同</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b w:val="0"/>
          <w:color w:val="auto"/>
          <w:sz w:val="24"/>
          <w:szCs w:val="24"/>
          <w:highlight w:val="none"/>
        </w:rPr>
      </w:pPr>
      <w:bookmarkStart w:id="570" w:name="_Toc532377343"/>
      <w:r>
        <w:rPr>
          <w:rFonts w:hint="eastAsia" w:ascii="宋体" w:hAnsi="宋体" w:eastAsia="宋体" w:cs="宋体"/>
          <w:b w:val="0"/>
          <w:color w:val="auto"/>
          <w:sz w:val="24"/>
          <w:szCs w:val="24"/>
          <w:highlight w:val="none"/>
        </w:rPr>
        <w:t>4.4 商定或确定</w:t>
      </w:r>
      <w:bookmarkEnd w:id="570"/>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bookmarkStart w:id="571"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572" w:name="_Toc532377344"/>
      <w:bookmarkStart w:id="573" w:name="_Toc532375612"/>
      <w:bookmarkStart w:id="574" w:name="_Toc351203637"/>
      <w:r>
        <w:rPr>
          <w:rFonts w:hint="eastAsia" w:ascii="宋体" w:hAnsi="宋体" w:eastAsia="宋体" w:cs="宋体"/>
          <w:color w:val="auto"/>
          <w:kern w:val="2"/>
          <w:sz w:val="24"/>
          <w:szCs w:val="24"/>
          <w:highlight w:val="none"/>
        </w:rPr>
        <w:t>5</w:t>
      </w:r>
      <w:bookmarkEnd w:id="571"/>
      <w:bookmarkStart w:id="575" w:name="_Toc296944502"/>
      <w:bookmarkStart w:id="576" w:name="_Toc292559367"/>
      <w:bookmarkStart w:id="577" w:name="_Toc296890991"/>
      <w:bookmarkStart w:id="578" w:name="_Toc292559872"/>
      <w:bookmarkStart w:id="579" w:name="_Toc296503163"/>
      <w:bookmarkStart w:id="580" w:name="_Toc297048349"/>
      <w:bookmarkStart w:id="581" w:name="_Toc296347162"/>
      <w:bookmarkStart w:id="582" w:name="_Toc296891203"/>
      <w:bookmarkStart w:id="583" w:name="_Toc296346664"/>
      <w:bookmarkStart w:id="584" w:name="_Toc297120463"/>
      <w:r>
        <w:rPr>
          <w:rFonts w:hint="eastAsia" w:ascii="宋体" w:hAnsi="宋体" w:eastAsia="宋体" w:cs="宋体"/>
          <w:color w:val="auto"/>
          <w:kern w:val="2"/>
          <w:sz w:val="24"/>
          <w:szCs w:val="24"/>
          <w:highlight w:val="none"/>
        </w:rPr>
        <w:t>. 工程质量</w:t>
      </w:r>
      <w:bookmarkEnd w:id="572"/>
      <w:bookmarkEnd w:id="573"/>
      <w:bookmarkEnd w:id="574"/>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85" w:name="_Toc532377345"/>
      <w:r>
        <w:rPr>
          <w:rFonts w:hint="eastAsia" w:ascii="宋体" w:hAnsi="宋体" w:eastAsia="宋体" w:cs="宋体"/>
          <w:color w:val="auto"/>
          <w:sz w:val="24"/>
          <w:szCs w:val="24"/>
          <w:highlight w:val="none"/>
        </w:rPr>
        <w:t>5.1 质量要求</w:t>
      </w:r>
      <w:bookmarkEnd w:id="585"/>
      <w:bookmarkStart w:id="586" w:name="_Hlk528909888"/>
      <w:bookmarkStart w:id="587" w:name="_Toc318581164"/>
      <w:bookmarkStart w:id="588" w:name="_Toc303539106"/>
      <w:bookmarkStart w:id="589" w:name="_Toc312677997"/>
      <w:bookmarkStart w:id="590" w:name="_Toc297123496"/>
      <w:bookmarkStart w:id="591" w:name="_Toc300934949"/>
      <w:bookmarkStart w:id="592" w:name="_Toc297216155"/>
      <w:bookmarkStart w:id="593" w:name="_Toc304295527"/>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工程质量符合强制性质量标准，</w:t>
      </w:r>
      <w:r>
        <w:rPr>
          <w:rFonts w:hint="eastAsia" w:ascii="宋体" w:hAnsi="宋体" w:eastAsia="宋体" w:cs="宋体"/>
          <w:color w:val="auto"/>
          <w:sz w:val="24"/>
          <w:szCs w:val="24"/>
          <w:highlight w:val="none"/>
          <w:u w:val="single"/>
        </w:rPr>
        <w:t>符合国家和重庆市现行有关施工质量验收规范要求，并达到合格标准</w:t>
      </w:r>
      <w:r>
        <w:rPr>
          <w:rFonts w:hint="eastAsia" w:ascii="宋体" w:hAnsi="宋体" w:eastAsia="宋体" w:cs="宋体"/>
          <w:color w:val="auto"/>
          <w:sz w:val="24"/>
          <w:szCs w:val="24"/>
          <w:highlight w:val="none"/>
        </w:rPr>
        <w:t>。强制性质量标准有（包括但不限于）：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586"/>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94" w:name="_Toc532377346"/>
      <w:r>
        <w:rPr>
          <w:rFonts w:hint="eastAsia" w:ascii="宋体" w:hAnsi="宋体" w:eastAsia="宋体" w:cs="宋体"/>
          <w:color w:val="auto"/>
          <w:sz w:val="24"/>
          <w:szCs w:val="24"/>
          <w:highlight w:val="none"/>
        </w:rPr>
        <w:t>5.2 质量保证措施</w:t>
      </w:r>
      <w:bookmarkEnd w:id="594"/>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本款补充5.2.4项：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 在工程建设中，参建各方应严格执行以下规定（包括但不限于）：</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《建筑工程施工质量验收统一标准》（GB50300-2013）</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《住房城乡建设部关于印发工程质量安全提升行动方案的通知》（建质〔2017〕57号）</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《房屋建筑和市政基础设施工程竣工验收规定》（建质〔2013〕171号）</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《建设部关于贯彻执行建筑工程勘察设计及施工质量验收规范若干问题的通知》（建标〔2002〕212号）</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《重庆市住房和城乡建设委员会关于印发&lt;重庆市房屋建筑和市政基础设施工程质量常见问题防治要点（2019年版）&gt;的通知》（渝建〔2019〕198号）</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《关于印发&lt;重庆市房屋建筑和市政基础设施工程预拌商品砂浆应用推进工作方案&gt;的通知》（渝建〔2018〕375号）</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《重庆市城乡建设委员会关于印发2018年房屋建筑和市政基础设施工程质量要点的通知》（渝建〔2018〕94号）</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《重庆市城乡建设委员会关于进一步推广应用预拌商品砂浆的通知》（渝建〔2016〕318号）</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u w:val="single"/>
        </w:rPr>
        <w:t>国家和本市现行有关建设工程质量验收标准、规范和要求</w:t>
      </w:r>
      <w:r>
        <w:rPr>
          <w:rFonts w:hint="eastAsia" w:ascii="宋体" w:hAnsi="宋体" w:eastAsia="宋体" w:cs="宋体"/>
          <w:color w:val="auto"/>
          <w:sz w:val="24"/>
          <w:szCs w:val="24"/>
          <w:highlight w:val="none"/>
        </w:rPr>
        <w:t>；</w:t>
      </w:r>
    </w:p>
    <w:p>
      <w:pPr>
        <w:pStyle w:val="23"/>
        <w:pageBreakBefore w:val="0"/>
        <w:widowControl w:val="0"/>
        <w:kinsoku/>
        <w:wordWrap/>
        <w:overflowPunct/>
        <w:topLinePunct w:val="0"/>
        <w:bidi w:val="0"/>
        <w:adjustRightInd/>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承包人、监理人和发包人在工程建设中，应严格执行国家及重庆市现行标准，如上述标准及规范要求有出入则以较严格者为准。</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95" w:name="_Toc351203536"/>
      <w:bookmarkStart w:id="596" w:name="_Toc532377347"/>
      <w:bookmarkStart w:id="597" w:name="_Hlk528927873"/>
      <w:r>
        <w:rPr>
          <w:rFonts w:hint="eastAsia" w:ascii="宋体" w:hAnsi="宋体" w:eastAsia="宋体" w:cs="宋体"/>
          <w:color w:val="auto"/>
          <w:sz w:val="24"/>
          <w:szCs w:val="24"/>
          <w:highlight w:val="none"/>
        </w:rPr>
        <w:t>5.3隐蔽工程检查</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5.3.2检查程序</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工程隐蔽部位经承包人自检确认具备覆盖条件的，承包人应在共同检查前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小时书面通知监理人检查，通知中应载明隐蔽检查的内容、时间和地点，并应附有自检记录和必要的检查资料。</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598" w:name="_Toc337558762"/>
      <w:r>
        <w:rPr>
          <w:rFonts w:hint="eastAsia" w:ascii="宋体" w:hAnsi="宋体" w:eastAsia="宋体" w:cs="宋体"/>
          <w:color w:val="auto"/>
          <w:sz w:val="24"/>
          <w:szCs w:val="24"/>
          <w:highlight w:val="none"/>
        </w:rPr>
        <w:t>.4 不合格工程的处理</w:t>
      </w:r>
      <w:bookmarkEnd w:id="595"/>
      <w:bookmarkEnd w:id="596"/>
    </w:p>
    <w:bookmarkEnd w:id="598"/>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本款补充5.4.3项：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 承包人在收到监理人发出的《不合格分项报告》或监理通知单后，必须在监理人规定时间内按要求完成整改，未能在限定时间内完成整改的，须承担相应违约责任。</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本条补充5.6款：</w:t>
      </w:r>
    </w:p>
    <w:bookmarkEnd w:id="597"/>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599" w:name="_Toc532377348"/>
      <w:r>
        <w:rPr>
          <w:rFonts w:hint="eastAsia" w:ascii="宋体" w:hAnsi="宋体" w:eastAsia="宋体" w:cs="宋体"/>
          <w:color w:val="auto"/>
          <w:sz w:val="24"/>
          <w:szCs w:val="24"/>
          <w:highlight w:val="none"/>
        </w:rPr>
        <w:t>5.6 质量事故的处理</w:t>
      </w:r>
      <w:bookmarkEnd w:id="599"/>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 合同履行过程中，发生工程质量事故的调查处理按照国家及重庆市现行规定处理。</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575"/>
    <w:bookmarkEnd w:id="576"/>
    <w:bookmarkEnd w:id="577"/>
    <w:bookmarkEnd w:id="578"/>
    <w:bookmarkEnd w:id="579"/>
    <w:bookmarkEnd w:id="580"/>
    <w:bookmarkEnd w:id="581"/>
    <w:bookmarkEnd w:id="582"/>
    <w:bookmarkEnd w:id="583"/>
    <w:bookmarkEnd w:id="584"/>
    <w:bookmarkEnd w:id="587"/>
    <w:bookmarkEnd w:id="588"/>
    <w:bookmarkEnd w:id="589"/>
    <w:bookmarkEnd w:id="590"/>
    <w:bookmarkEnd w:id="591"/>
    <w:bookmarkEnd w:id="592"/>
    <w:bookmarkEnd w:id="593"/>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600" w:name="_Toc532377349"/>
      <w:bookmarkStart w:id="601" w:name="_Toc532375613"/>
      <w:bookmarkStart w:id="602" w:name="_Toc351203638"/>
      <w:bookmarkStart w:id="603" w:name="_Toc267251427"/>
      <w:bookmarkStart w:id="604" w:name="_Toc292559883"/>
      <w:bookmarkStart w:id="605" w:name="_Toc296503173"/>
      <w:bookmarkStart w:id="606" w:name="_Toc296347172"/>
      <w:bookmarkStart w:id="607" w:name="_Toc296346674"/>
      <w:bookmarkStart w:id="608" w:name="_Toc296891001"/>
      <w:bookmarkStart w:id="609" w:name="_Toc267251428"/>
      <w:bookmarkStart w:id="610" w:name="_Toc292559378"/>
      <w:bookmarkStart w:id="611" w:name="_Toc297120473"/>
      <w:bookmarkStart w:id="612" w:name="_Toc297048359"/>
      <w:bookmarkStart w:id="613" w:name="_Toc296944512"/>
      <w:bookmarkStart w:id="614" w:name="_Toc351203642"/>
      <w:bookmarkStart w:id="615" w:name="_Toc296891213"/>
      <w:r>
        <w:rPr>
          <w:rFonts w:hint="eastAsia" w:ascii="宋体" w:hAnsi="宋体" w:eastAsia="宋体" w:cs="宋体"/>
          <w:color w:val="auto"/>
          <w:kern w:val="2"/>
          <w:sz w:val="24"/>
          <w:szCs w:val="24"/>
          <w:highlight w:val="none"/>
        </w:rPr>
        <w:t>6. 安全文明施工与环境保护</w:t>
      </w:r>
      <w:bookmarkEnd w:id="600"/>
      <w:bookmarkEnd w:id="601"/>
      <w:bookmarkEnd w:id="602"/>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16" w:name="_Toc532375614"/>
      <w:bookmarkStart w:id="617" w:name="_Toc532377350"/>
      <w:r>
        <w:rPr>
          <w:rFonts w:hint="eastAsia" w:ascii="宋体" w:hAnsi="宋体" w:eastAsia="宋体" w:cs="宋体"/>
          <w:color w:val="auto"/>
          <w:sz w:val="24"/>
          <w:szCs w:val="24"/>
          <w:highlight w:val="none"/>
        </w:rPr>
        <w:t>6.1 安全文明施工</w:t>
      </w:r>
      <w:bookmarkEnd w:id="616"/>
      <w:bookmarkEnd w:id="617"/>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达到《建筑施工安全检查标准》（JGJ59-2011）的要求</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（1）按现行安全文明施工费计取及使用管理的政策文件规定及发包人制订的安全管理制度执行</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（2）承包人的原因造成事故，由此产生的法律责任和事故责任及费用由承包人全部承担</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（3）承包人向发包人做出安全承诺，并签订《安全生产目标责任书》和《安全承诺书》</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（4）承包人在施工过程中，必须严格执行安全生产法的相关规定，制定切实可靠的安全技术措施</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（5）接受发包人安全监督和管理，在施工中违反安全管理规定和操作规程、违章作业的，承担违约责任</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承包人负责组建施工现场治安管理机构或联防组织；承包人负责编制施工场地治安管理计划和突发治安事件紧急预案</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由承包人负责</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安全文明施工费的要求与内容、提取支付方法以及违反约定造成损失的赔偿等条款，按照现行规范要求执行，做到专款专用。</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18" w:name="_Toc532377351"/>
      <w:bookmarkStart w:id="619" w:name="_Toc532375615"/>
      <w:r>
        <w:rPr>
          <w:rFonts w:hint="eastAsia" w:ascii="宋体" w:hAnsi="宋体" w:eastAsia="宋体" w:cs="宋体"/>
          <w:color w:val="auto"/>
          <w:sz w:val="24"/>
          <w:szCs w:val="24"/>
          <w:highlight w:val="none"/>
        </w:rPr>
        <w:t>6.3 环境保护</w:t>
      </w:r>
      <w:bookmarkEnd w:id="618"/>
      <w:bookmarkEnd w:id="619"/>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本款补充6.3.1～6.3.8项：</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承包人应加强生态环境保护工作。施工期间，采取边坡防护，挡渣坝、排水沟、沉淀池、表土剥离和绿化恢复等水土保持措施减少水土流失量，绿化恢复宜采用适于当地生长的植物。</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6.3.5 承包人应重视大气污染物污染防治措施。施工期间，严格执行市政府“蓝天行动”方案等有关规定，通过洒水防尘，严格控制施工场地扬尘和运输扬尘污染。</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6.3.7 承包人应认真落实噪声污染防治措施。施工期间，优选低噪声设备，合理安排施工时间，严格控制夜间施工，昼、夜施工场界需满足《建筑施工场界环境噪声排放标准》（GB12523-2011）。</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6.3.8 承包人自行负责办理有关施工场地交通、环卫和施工噪音管理等手续，并应按要求结合自身实际和重庆市相关规定，考虑不低于以上标准的此类工作。</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6.3.9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620" w:name="_Toc351203639"/>
      <w:bookmarkStart w:id="621" w:name="_Toc532375616"/>
      <w:bookmarkStart w:id="622" w:name="_Toc532377352"/>
      <w:r>
        <w:rPr>
          <w:rFonts w:hint="eastAsia" w:ascii="宋体" w:hAnsi="宋体" w:eastAsia="宋体" w:cs="宋体"/>
          <w:color w:val="auto"/>
          <w:kern w:val="2"/>
          <w:sz w:val="24"/>
          <w:szCs w:val="24"/>
          <w:highlight w:val="none"/>
        </w:rPr>
        <w:t>7. 工期和进度</w:t>
      </w:r>
      <w:bookmarkEnd w:id="620"/>
      <w:bookmarkEnd w:id="621"/>
      <w:bookmarkEnd w:id="622"/>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23" w:name="_Toc532377353"/>
      <w:bookmarkStart w:id="624" w:name="_Toc532375617"/>
      <w:r>
        <w:rPr>
          <w:rFonts w:hint="eastAsia" w:ascii="宋体" w:hAnsi="宋体" w:eastAsia="宋体" w:cs="宋体"/>
          <w:color w:val="auto"/>
          <w:sz w:val="24"/>
          <w:szCs w:val="24"/>
          <w:highlight w:val="none"/>
        </w:rPr>
        <w:t>7.1 施工组织设计</w:t>
      </w:r>
      <w:bookmarkEnd w:id="623"/>
      <w:bookmarkEnd w:id="624"/>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color w:val="auto"/>
          <w:sz w:val="24"/>
          <w:szCs w:val="24"/>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天内，但最迟不得晚于开工通知载明的开工日期前7天</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收到施工组织设计后  天内</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25" w:name="_Toc532375618"/>
      <w:bookmarkStart w:id="626" w:name="_Toc532377354"/>
      <w:r>
        <w:rPr>
          <w:rFonts w:hint="eastAsia" w:ascii="宋体" w:hAnsi="宋体" w:eastAsia="宋体" w:cs="宋体"/>
          <w:color w:val="auto"/>
          <w:sz w:val="24"/>
          <w:szCs w:val="24"/>
          <w:highlight w:val="none"/>
        </w:rPr>
        <w:t>7.2 施工进度计划</w:t>
      </w:r>
      <w:bookmarkEnd w:id="625"/>
      <w:bookmarkEnd w:id="626"/>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收到修订的施工进度计划后  天内</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27" w:name="_Toc532375619"/>
      <w:bookmarkStart w:id="628" w:name="_Toc532377355"/>
      <w:bookmarkStart w:id="629" w:name="_Toc312678005"/>
      <w:bookmarkStart w:id="630" w:name="_Toc303539123"/>
      <w:bookmarkStart w:id="631" w:name="_Toc304295541"/>
      <w:bookmarkStart w:id="632" w:name="_Toc297123514"/>
      <w:bookmarkStart w:id="633" w:name="_Toc312677479"/>
      <w:bookmarkStart w:id="634" w:name="_Toc297216173"/>
      <w:bookmarkStart w:id="635" w:name="_Toc300934966"/>
      <w:r>
        <w:rPr>
          <w:rFonts w:hint="eastAsia" w:ascii="宋体" w:hAnsi="宋体" w:eastAsia="宋体" w:cs="宋体"/>
          <w:color w:val="auto"/>
          <w:sz w:val="24"/>
          <w:szCs w:val="24"/>
          <w:highlight w:val="none"/>
        </w:rPr>
        <w:t>7.3 开工</w:t>
      </w:r>
      <w:bookmarkEnd w:id="627"/>
      <w:bookmarkEnd w:id="628"/>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不晚于开工前  天</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不晚于开工前  天</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不晚于开工前  天</w:t>
      </w:r>
      <w:r>
        <w:rPr>
          <w:rFonts w:hint="eastAsia" w:ascii="宋体" w:hAnsi="宋体" w:eastAsia="宋体" w:cs="宋体"/>
          <w:color w:val="auto"/>
          <w:sz w:val="24"/>
          <w:szCs w:val="24"/>
          <w:highlight w:val="none"/>
        </w:rPr>
        <w:t>。</w:t>
      </w:r>
    </w:p>
    <w:bookmarkEnd w:id="629"/>
    <w:bookmarkEnd w:id="630"/>
    <w:bookmarkEnd w:id="631"/>
    <w:bookmarkEnd w:id="632"/>
    <w:bookmarkEnd w:id="633"/>
    <w:bookmarkEnd w:id="634"/>
    <w:bookmarkEnd w:id="635"/>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36" w:name="_Toc532375620"/>
      <w:bookmarkStart w:id="637" w:name="_Toc532377356"/>
      <w:r>
        <w:rPr>
          <w:rFonts w:hint="eastAsia" w:ascii="宋体" w:hAnsi="宋体" w:eastAsia="宋体" w:cs="宋体"/>
          <w:color w:val="auto"/>
          <w:sz w:val="24"/>
          <w:szCs w:val="24"/>
          <w:highlight w:val="none"/>
        </w:rPr>
        <w:t>7.4 测量放线</w:t>
      </w:r>
      <w:bookmarkEnd w:id="636"/>
      <w:bookmarkEnd w:id="637"/>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发包人通过监理人向承包人提供测量基准点、基准线和水准点及其书面资料的期限：</w:t>
      </w:r>
      <w:r>
        <w:rPr>
          <w:rFonts w:hint="eastAsia" w:ascii="宋体" w:hAnsi="宋体" w:eastAsia="宋体" w:cs="宋体"/>
          <w:color w:val="auto"/>
          <w:sz w:val="24"/>
          <w:szCs w:val="24"/>
          <w:highlight w:val="none"/>
          <w:u w:val="single"/>
        </w:rPr>
        <w:t>不晚于开工前  天</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承包人报监理人审批施工控制网资料的期限：</w:t>
      </w:r>
      <w:r>
        <w:rPr>
          <w:rFonts w:hint="eastAsia" w:ascii="宋体" w:hAnsi="宋体" w:eastAsia="宋体" w:cs="宋体"/>
          <w:color w:val="auto"/>
          <w:sz w:val="24"/>
          <w:szCs w:val="24"/>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38" w:name="_Toc532377357"/>
      <w:bookmarkStart w:id="639" w:name="_Toc532375621"/>
      <w:r>
        <w:rPr>
          <w:rFonts w:hint="eastAsia" w:ascii="宋体" w:hAnsi="宋体" w:eastAsia="宋体" w:cs="宋体"/>
          <w:color w:val="auto"/>
          <w:sz w:val="24"/>
          <w:szCs w:val="24"/>
          <w:highlight w:val="none"/>
        </w:rPr>
        <w:t>7</w:t>
      </w:r>
      <w:bookmarkStart w:id="640" w:name="_Toc312677484"/>
      <w:bookmarkStart w:id="641" w:name="_Toc303539125"/>
      <w:bookmarkStart w:id="642" w:name="_Toc304295546"/>
      <w:bookmarkStart w:id="643" w:name="_Toc300934968"/>
      <w:bookmarkStart w:id="644" w:name="_Toc297123516"/>
      <w:bookmarkStart w:id="645" w:name="_Toc297216175"/>
      <w:bookmarkStart w:id="646" w:name="_Toc312678010"/>
      <w:r>
        <w:rPr>
          <w:rFonts w:hint="eastAsia" w:ascii="宋体" w:hAnsi="宋体" w:eastAsia="宋体" w:cs="宋体"/>
          <w:color w:val="auto"/>
          <w:sz w:val="24"/>
          <w:szCs w:val="24"/>
          <w:highlight w:val="none"/>
        </w:rPr>
        <w:t>.5 工期延误</w:t>
      </w:r>
      <w:bookmarkEnd w:id="638"/>
      <w:bookmarkEnd w:id="639"/>
    </w:p>
    <w:bookmarkEnd w:id="640"/>
    <w:bookmarkEnd w:id="641"/>
    <w:bookmarkEnd w:id="642"/>
    <w:bookmarkEnd w:id="643"/>
    <w:bookmarkEnd w:id="644"/>
    <w:bookmarkEnd w:id="645"/>
    <w:bookmarkEnd w:id="646"/>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bookmarkStart w:id="647" w:name="_Hlk528927940"/>
      <w:r>
        <w:rPr>
          <w:rFonts w:hint="eastAsia" w:ascii="宋体" w:hAnsi="宋体" w:eastAsia="宋体" w:cs="宋体"/>
          <w:color w:val="auto"/>
          <w:sz w:val="24"/>
          <w:szCs w:val="24"/>
          <w:highlight w:val="none"/>
        </w:rPr>
        <w:t>7.5.1 因发包人原因导致工期延误：</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在合同履行过程中，除通用条款约定外，因下列情况导致工期延误和（或）费用增加的，由发包人承担由此延误的工期和（或）增加的费用：</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（1）发包人未能按合同约定提供施工场地，且该未提供开工条件直接影响项目关键线路的；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（2）发包人提供的测量基准点、基准线和水准点及其书面资料存在错误或疏漏，且该错误或疏漏直接影响项目关键线路的；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（3）监理人未按合同约定发出指示、批准等文件，且未按该合同约定发出指示、批准直接影响项目关键线路的；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（4）变更未及时审批，直接影响项目关键线路的；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（5）实施变更直接影响项目关键线路的；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（6）因发包人原因导致工程暂停施工、停建、缓建的；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（7）因征地拆迁、当地群众阻工等情形的；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合同约定的其他情形</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因承包人原因造成工期延误，逾期竣工按16.2.2（6）目执行。</w:t>
      </w:r>
    </w:p>
    <w:bookmarkEnd w:id="647"/>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48" w:name="_Toc532375622"/>
      <w:bookmarkStart w:id="649" w:name="_Toc532377358"/>
      <w:bookmarkStart w:id="650" w:name="_Hlk528927997"/>
      <w:r>
        <w:rPr>
          <w:rFonts w:hint="eastAsia" w:ascii="宋体" w:hAnsi="宋体" w:eastAsia="宋体" w:cs="宋体"/>
          <w:color w:val="auto"/>
          <w:sz w:val="24"/>
          <w:szCs w:val="24"/>
          <w:highlight w:val="none"/>
        </w:rPr>
        <w:t>7</w:t>
      </w:r>
      <w:bookmarkStart w:id="651" w:name="_Toc303539128"/>
      <w:bookmarkStart w:id="652" w:name="_Toc297123519"/>
      <w:bookmarkStart w:id="653" w:name="_Toc312678015"/>
      <w:bookmarkStart w:id="654" w:name="_Toc304295549"/>
      <w:bookmarkStart w:id="655" w:name="_Toc300934971"/>
      <w:bookmarkStart w:id="656" w:name="_Toc297216178"/>
      <w:r>
        <w:rPr>
          <w:rFonts w:hint="eastAsia" w:ascii="宋体" w:hAnsi="宋体" w:eastAsia="宋体" w:cs="宋体"/>
          <w:color w:val="auto"/>
          <w:sz w:val="24"/>
          <w:szCs w:val="24"/>
          <w:highlight w:val="none"/>
        </w:rPr>
        <w:t>.6 不</w:t>
      </w:r>
      <w:bookmarkEnd w:id="651"/>
      <w:bookmarkEnd w:id="652"/>
      <w:bookmarkEnd w:id="653"/>
      <w:bookmarkEnd w:id="654"/>
      <w:bookmarkEnd w:id="655"/>
      <w:bookmarkEnd w:id="656"/>
      <w:r>
        <w:rPr>
          <w:rFonts w:hint="eastAsia" w:ascii="宋体" w:hAnsi="宋体" w:eastAsia="宋体" w:cs="宋体"/>
          <w:color w:val="auto"/>
          <w:sz w:val="24"/>
          <w:szCs w:val="24"/>
          <w:highlight w:val="none"/>
        </w:rPr>
        <w:t>利物质条件</w:t>
      </w:r>
      <w:bookmarkEnd w:id="648"/>
      <w:bookmarkEnd w:id="649"/>
    </w:p>
    <w:bookmarkEnd w:id="650"/>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bCs/>
          <w:color w:val="auto"/>
          <w:sz w:val="24"/>
          <w:szCs w:val="24"/>
          <w:highlight w:val="none"/>
        </w:rPr>
      </w:pPr>
      <w:bookmarkStart w:id="657" w:name="_Toc318581172"/>
      <w:bookmarkStart w:id="658" w:name="_Toc297123520"/>
      <w:bookmarkStart w:id="659" w:name="_Toc300934972"/>
      <w:bookmarkStart w:id="660" w:name="_Toc303539129"/>
      <w:bookmarkStart w:id="661" w:name="_Toc312678016"/>
      <w:bookmarkStart w:id="662" w:name="_Toc304295550"/>
      <w:bookmarkStart w:id="663" w:name="_Toc297216179"/>
      <w:r>
        <w:rPr>
          <w:rFonts w:hint="eastAsia" w:ascii="宋体" w:hAnsi="宋体" w:eastAsia="宋体" w:cs="宋体"/>
          <w:color w:val="auto"/>
          <w:sz w:val="24"/>
          <w:szCs w:val="24"/>
          <w:highlight w:val="none"/>
        </w:rPr>
        <w:t>不利物质条件的其他情形和有关约定：</w:t>
      </w:r>
      <w:bookmarkStart w:id="664" w:name="_Hlk528910274"/>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657"/>
    <w:bookmarkEnd w:id="658"/>
    <w:bookmarkEnd w:id="659"/>
    <w:bookmarkEnd w:id="660"/>
    <w:bookmarkEnd w:id="661"/>
    <w:bookmarkEnd w:id="662"/>
    <w:bookmarkEnd w:id="663"/>
    <w:bookmarkEnd w:id="664"/>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65" w:name="_Toc532375623"/>
      <w:bookmarkStart w:id="666" w:name="_Toc532377359"/>
      <w:r>
        <w:rPr>
          <w:rFonts w:hint="eastAsia" w:ascii="宋体" w:hAnsi="宋体" w:eastAsia="宋体" w:cs="宋体"/>
          <w:color w:val="auto"/>
          <w:sz w:val="24"/>
          <w:szCs w:val="24"/>
          <w:highlight w:val="none"/>
        </w:rPr>
        <w:t>7</w:t>
      </w:r>
      <w:bookmarkStart w:id="667" w:name="_Toc304295551"/>
      <w:bookmarkStart w:id="668" w:name="_Toc312678017"/>
      <w:bookmarkStart w:id="669" w:name="_Toc297216180"/>
      <w:bookmarkStart w:id="670" w:name="_Toc303539130"/>
      <w:bookmarkStart w:id="671" w:name="_Toc300934973"/>
      <w:bookmarkStart w:id="672" w:name="_Toc297123521"/>
      <w:r>
        <w:rPr>
          <w:rFonts w:hint="eastAsia" w:ascii="宋体" w:hAnsi="宋体" w:eastAsia="宋体" w:cs="宋体"/>
          <w:color w:val="auto"/>
          <w:sz w:val="24"/>
          <w:szCs w:val="24"/>
          <w:highlight w:val="none"/>
        </w:rPr>
        <w:t>.7异常恶劣的气候条件</w:t>
      </w:r>
      <w:bookmarkEnd w:id="665"/>
      <w:bookmarkEnd w:id="666"/>
    </w:p>
    <w:bookmarkEnd w:id="667"/>
    <w:bookmarkEnd w:id="668"/>
    <w:bookmarkEnd w:id="669"/>
    <w:bookmarkEnd w:id="670"/>
    <w:bookmarkEnd w:id="671"/>
    <w:bookmarkEnd w:id="672"/>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发包人和承包人同意以下情形视为异常恶劣的气候条件：</w:t>
      </w:r>
      <w:r>
        <w:rPr>
          <w:rFonts w:hint="eastAsia" w:ascii="宋体" w:hAnsi="宋体" w:eastAsia="宋体" w:cs="宋体"/>
          <w:color w:val="auto"/>
          <w:sz w:val="24"/>
          <w:szCs w:val="24"/>
          <w:highlight w:val="none"/>
          <w:u w:val="single"/>
        </w:rPr>
        <w:t xml:space="preserve">    （异常气候是指项目所在地50年以上一遇的罕见气候现象）</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73" w:name="_Toc532377360"/>
      <w:bookmarkStart w:id="674" w:name="_Toc532375624"/>
      <w:r>
        <w:rPr>
          <w:rFonts w:hint="eastAsia" w:ascii="宋体" w:hAnsi="宋体" w:eastAsia="宋体" w:cs="宋体"/>
          <w:color w:val="auto"/>
          <w:sz w:val="24"/>
          <w:szCs w:val="24"/>
          <w:highlight w:val="none"/>
        </w:rPr>
        <w:t>7.9 提前竣工</w:t>
      </w:r>
      <w:bookmarkEnd w:id="673"/>
      <w:bookmarkEnd w:id="674"/>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7.9.1项细化为：</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（2）发包人不得随意要求承包人提前竣工，承包人也不得随意提出提前竣工的建议。如遇特殊情况，确需将工期提前的，发包人和承包人必须采取有效措施，确保工程质量。</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 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675" w:name="_Toc532375625"/>
      <w:bookmarkStart w:id="676" w:name="_Toc532377361"/>
      <w:bookmarkStart w:id="677" w:name="_Toc351203640"/>
      <w:r>
        <w:rPr>
          <w:rFonts w:hint="eastAsia" w:ascii="宋体" w:hAnsi="宋体" w:eastAsia="宋体" w:cs="宋体"/>
          <w:color w:val="auto"/>
          <w:kern w:val="2"/>
          <w:sz w:val="24"/>
          <w:szCs w:val="24"/>
          <w:highlight w:val="none"/>
        </w:rPr>
        <w:t>8. 材料与设备</w:t>
      </w:r>
      <w:bookmarkEnd w:id="675"/>
      <w:bookmarkEnd w:id="676"/>
      <w:bookmarkEnd w:id="677"/>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78" w:name="_Toc532375626"/>
      <w:bookmarkStart w:id="679" w:name="_Toc532377362"/>
      <w:r>
        <w:rPr>
          <w:rFonts w:hint="eastAsia" w:ascii="宋体" w:hAnsi="宋体" w:eastAsia="宋体" w:cs="宋体"/>
          <w:color w:val="auto"/>
          <w:sz w:val="24"/>
          <w:szCs w:val="24"/>
          <w:highlight w:val="none"/>
        </w:rPr>
        <w:t>8.1发包人供应材料与工程设备</w:t>
      </w:r>
      <w:bookmarkEnd w:id="678"/>
      <w:bookmarkEnd w:id="679"/>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材料的名称、规格、数量和价格：</w:t>
      </w:r>
      <w:r>
        <w:rPr>
          <w:rFonts w:hint="eastAsia" w:ascii="宋体" w:hAnsi="宋体" w:eastAsia="宋体" w:cs="宋体"/>
          <w:color w:val="auto"/>
          <w:sz w:val="24"/>
          <w:szCs w:val="24"/>
          <w:highlight w:val="none"/>
          <w:u w:val="single"/>
        </w:rPr>
        <w:t>发包人应提供甲供材料的明细表，结算时按经监理人、承包人共同确认的供应数量乘以招标时甲供材料暂定价格，在支付工程款时扣除</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80" w:name="_Toc532377363"/>
      <w:bookmarkStart w:id="681" w:name="_Toc351203554"/>
      <w:bookmarkStart w:id="682" w:name="_Toc532375627"/>
      <w:r>
        <w:rPr>
          <w:rFonts w:hint="eastAsia" w:ascii="宋体" w:hAnsi="宋体" w:eastAsia="宋体" w:cs="宋体"/>
          <w:color w:val="auto"/>
          <w:sz w:val="24"/>
          <w:szCs w:val="24"/>
          <w:highlight w:val="none"/>
        </w:rPr>
        <w:t>8</w:t>
      </w:r>
      <w:bookmarkStart w:id="683" w:name="_Toc296503060"/>
      <w:bookmarkStart w:id="684" w:name="_Toc337558778"/>
      <w:bookmarkStart w:id="685" w:name="_Toc296346561"/>
      <w:r>
        <w:rPr>
          <w:rFonts w:hint="eastAsia" w:ascii="宋体" w:hAnsi="宋体" w:eastAsia="宋体" w:cs="宋体"/>
          <w:color w:val="auto"/>
          <w:sz w:val="24"/>
          <w:szCs w:val="24"/>
          <w:highlight w:val="none"/>
        </w:rPr>
        <w:t>.2 承包人采购材料与工程设备</w:t>
      </w:r>
      <w:bookmarkEnd w:id="680"/>
      <w:bookmarkEnd w:id="681"/>
      <w:bookmarkEnd w:id="682"/>
    </w:p>
    <w:bookmarkEnd w:id="683"/>
    <w:bookmarkEnd w:id="684"/>
    <w:bookmarkEnd w:id="685"/>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8.2.1承包人负责采购、运输和保管的材料、工程设备：</w:t>
      </w:r>
      <w:r>
        <w:rPr>
          <w:rFonts w:hint="eastAsia" w:ascii="宋体" w:hAnsi="宋体" w:eastAsia="宋体" w:cs="宋体"/>
          <w:color w:val="auto"/>
          <w:sz w:val="24"/>
          <w:szCs w:val="24"/>
          <w:highlight w:val="none"/>
          <w:u w:val="single"/>
        </w:rPr>
        <w:t>由承包人自行采购。承包人采购材料设备必须经监理人和发包人批准，结算时由监理人和发包人按</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规定审核的数量和合同约定价格计算</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8.2.2承包人报送监理人审批的时间：</w:t>
      </w:r>
      <w:r>
        <w:rPr>
          <w:rFonts w:hint="eastAsia" w:ascii="宋体" w:hAnsi="宋体" w:eastAsia="宋体" w:cs="宋体"/>
          <w:color w:val="auto"/>
          <w:sz w:val="24"/>
          <w:szCs w:val="24"/>
          <w:highlight w:val="none"/>
          <w:u w:val="single"/>
        </w:rPr>
        <w:t>按发包人及监理单位的相关规定执行</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8.2.3承包人选择的生产厂家或供应商满足下列条件：</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A.承包人选择的混凝土供应商应满足下列条件</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满足设计要求及相关技术标</w:t>
      </w:r>
      <w:r>
        <w:rPr>
          <w:rFonts w:hint="eastAsia" w:ascii="宋体" w:hAnsi="宋体" w:eastAsia="宋体" w:cs="宋体"/>
          <w:color w:val="auto"/>
          <w:sz w:val="24"/>
          <w:szCs w:val="24"/>
          <w:highlight w:val="none"/>
          <w:u w:val="single"/>
          <w:lang w:val="en-US" w:eastAsia="zh-CN"/>
        </w:rPr>
        <w:t>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B.承包人选择的钢材供应商应满足下列条件：</w:t>
      </w:r>
      <w:r>
        <w:rPr>
          <w:rFonts w:hint="eastAsia" w:ascii="宋体" w:hAnsi="宋体" w:eastAsia="宋体" w:cs="宋体"/>
          <w:color w:val="auto"/>
          <w:sz w:val="24"/>
          <w:szCs w:val="24"/>
          <w:highlight w:val="none"/>
          <w:u w:val="single"/>
        </w:rPr>
        <w:t xml:space="preserve"> 满足设计要求及相关技术标</w:t>
      </w:r>
      <w:r>
        <w:rPr>
          <w:rFonts w:hint="eastAsia" w:ascii="宋体" w:hAnsi="宋体" w:eastAsia="宋体" w:cs="宋体"/>
          <w:color w:val="auto"/>
          <w:sz w:val="24"/>
          <w:szCs w:val="24"/>
          <w:highlight w:val="none"/>
          <w:u w:val="single"/>
          <w:lang w:val="en-US" w:eastAsia="zh-CN"/>
        </w:rPr>
        <w:t>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C.承包人选择的水泥供应商应满足下列条件：</w:t>
      </w:r>
      <w:r>
        <w:rPr>
          <w:rFonts w:hint="eastAsia" w:ascii="宋体" w:hAnsi="宋体" w:eastAsia="宋体" w:cs="宋体"/>
          <w:color w:val="auto"/>
          <w:sz w:val="24"/>
          <w:szCs w:val="24"/>
          <w:highlight w:val="none"/>
          <w:u w:val="single"/>
        </w:rPr>
        <w:t xml:space="preserve"> 满足设计要求及相关技术标准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D.承包人采购的材料与设计或标准要求不符时，承包人应按发包人和监理人要求的时间运出施工场地，并重新采购符合要求的产品，并承担由此发生的费用，因此延误的工期不予顺延。</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E.承包人采购的材料在使用前，应按发包人和监理人的要求进行检验或试验，不合格的不得使用。</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686" w:name="_Toc532375628"/>
      <w:bookmarkStart w:id="687" w:name="_Toc532377364"/>
      <w:r>
        <w:rPr>
          <w:rFonts w:hint="eastAsia" w:ascii="宋体" w:hAnsi="宋体" w:eastAsia="宋体" w:cs="宋体"/>
          <w:color w:val="auto"/>
          <w:sz w:val="24"/>
          <w:szCs w:val="24"/>
          <w:highlight w:val="none"/>
        </w:rPr>
        <w:t>8</w:t>
      </w:r>
      <w:bookmarkStart w:id="688" w:name="_Toc297123527"/>
      <w:bookmarkStart w:id="689" w:name="_Toc296891207"/>
      <w:bookmarkStart w:id="690" w:name="_Toc292559372"/>
      <w:bookmarkStart w:id="691" w:name="_Toc304295556"/>
      <w:bookmarkStart w:id="692" w:name="_Toc296347166"/>
      <w:bookmarkStart w:id="693" w:name="_Toc292559877"/>
      <w:bookmarkStart w:id="694" w:name="_Toc296503167"/>
      <w:bookmarkStart w:id="695" w:name="_Toc312677493"/>
      <w:bookmarkStart w:id="696" w:name="_Toc296944506"/>
      <w:bookmarkStart w:id="697" w:name="_Toc296346668"/>
      <w:bookmarkStart w:id="698" w:name="_Toc312678019"/>
      <w:bookmarkStart w:id="699" w:name="_Toc303539136"/>
      <w:bookmarkStart w:id="700" w:name="_Toc297048353"/>
      <w:bookmarkStart w:id="701" w:name="_Toc296890995"/>
      <w:bookmarkStart w:id="702" w:name="_Toc300934979"/>
      <w:bookmarkStart w:id="703" w:name="_Toc297120467"/>
      <w:bookmarkStart w:id="704" w:name="_Toc280868654"/>
      <w:bookmarkStart w:id="705" w:name="_Toc297216186"/>
      <w:bookmarkStart w:id="706" w:name="_Toc267251424"/>
      <w:bookmarkStart w:id="707" w:name="_Toc280868655"/>
      <w:bookmarkStart w:id="708" w:name="_Toc280868656"/>
      <w:r>
        <w:rPr>
          <w:rFonts w:hint="eastAsia" w:ascii="宋体" w:hAnsi="宋体" w:eastAsia="宋体" w:cs="宋体"/>
          <w:color w:val="auto"/>
          <w:sz w:val="24"/>
          <w:szCs w:val="24"/>
          <w:highlight w:val="none"/>
        </w:rPr>
        <w:t>.4 材料与工程设备的保管与使用</w:t>
      </w:r>
      <w:bookmarkEnd w:id="686"/>
      <w:bookmarkEnd w:id="687"/>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709" w:name="_Toc292559373"/>
      <w:bookmarkStart w:id="710" w:name="_Toc292559878"/>
      <w:bookmarkStart w:id="711" w:name="_Toc297216187"/>
      <w:bookmarkStart w:id="712" w:name="_Toc297048354"/>
      <w:bookmarkStart w:id="713" w:name="_Toc296503168"/>
      <w:bookmarkStart w:id="714" w:name="_Toc300934980"/>
      <w:bookmarkStart w:id="715" w:name="_Toc318581173"/>
      <w:bookmarkStart w:id="716" w:name="_Toc296891208"/>
      <w:bookmarkStart w:id="717" w:name="_Toc312677494"/>
      <w:bookmarkStart w:id="718" w:name="_Toc296944507"/>
      <w:bookmarkStart w:id="719" w:name="_Toc312678020"/>
      <w:bookmarkStart w:id="720" w:name="_Toc296347167"/>
      <w:bookmarkStart w:id="721" w:name="_Toc304295557"/>
      <w:bookmarkStart w:id="722" w:name="_Toc297123528"/>
      <w:bookmarkStart w:id="723" w:name="_Toc297120468"/>
      <w:bookmarkStart w:id="724" w:name="_Toc296890996"/>
      <w:bookmarkStart w:id="725" w:name="_Toc303539137"/>
      <w:bookmarkStart w:id="726" w:name="_Toc296346669"/>
      <w:r>
        <w:rPr>
          <w:rFonts w:hint="eastAsia" w:ascii="宋体" w:hAnsi="宋体" w:eastAsia="宋体" w:cs="宋体"/>
          <w:color w:val="auto"/>
          <w:sz w:val="24"/>
          <w:szCs w:val="24"/>
          <w:highlight w:val="none"/>
        </w:rPr>
        <w:t>.4.1 发包人供应的材料设备的保管费用的承担：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由承包人承担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709"/>
      <w:bookmarkEnd w:id="710"/>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727" w:name="_Toc532375629"/>
      <w:bookmarkStart w:id="728" w:name="_Toc532377365"/>
      <w:r>
        <w:rPr>
          <w:rFonts w:hint="eastAsia" w:ascii="宋体" w:hAnsi="宋体" w:eastAsia="宋体" w:cs="宋体"/>
          <w:color w:val="auto"/>
          <w:sz w:val="24"/>
          <w:szCs w:val="24"/>
          <w:highlight w:val="none"/>
        </w:rPr>
        <w:t>8.6 样品</w:t>
      </w:r>
      <w:bookmarkEnd w:id="727"/>
      <w:bookmarkEnd w:id="728"/>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 样品的报送与封存</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按发包人要求及相关规定规范执行     </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729" w:name="_Toc532375630"/>
      <w:bookmarkStart w:id="730" w:name="_Toc532377366"/>
      <w:r>
        <w:rPr>
          <w:rFonts w:hint="eastAsia" w:ascii="宋体" w:hAnsi="宋体" w:eastAsia="宋体" w:cs="宋体"/>
          <w:color w:val="auto"/>
          <w:sz w:val="24"/>
          <w:szCs w:val="24"/>
          <w:highlight w:val="none"/>
        </w:rPr>
        <w:t>8.8 施工设备和临时设施</w:t>
      </w:r>
      <w:bookmarkEnd w:id="729"/>
      <w:bookmarkEnd w:id="730"/>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731" w:name="_Toc532377367"/>
      <w:bookmarkStart w:id="732" w:name="_Toc351203641"/>
      <w:bookmarkStart w:id="733" w:name="_Toc532375631"/>
      <w:r>
        <w:rPr>
          <w:rFonts w:hint="eastAsia" w:ascii="宋体" w:hAnsi="宋体" w:eastAsia="宋体" w:cs="宋体"/>
          <w:color w:val="auto"/>
          <w:kern w:val="2"/>
          <w:sz w:val="24"/>
          <w:szCs w:val="24"/>
          <w:highlight w:val="none"/>
        </w:rPr>
        <w:t>9</w:t>
      </w:r>
      <w:bookmarkEnd w:id="706"/>
      <w:bookmarkEnd w:id="707"/>
      <w:bookmarkEnd w:id="708"/>
      <w:bookmarkStart w:id="734" w:name="_Toc312677495"/>
      <w:bookmarkStart w:id="735" w:name="_Toc312678021"/>
      <w:bookmarkStart w:id="736" w:name="_Toc297216192"/>
      <w:bookmarkStart w:id="737" w:name="_Toc304295559"/>
      <w:bookmarkStart w:id="738" w:name="_Toc303539139"/>
      <w:bookmarkStart w:id="739" w:name="_Toc297123533"/>
      <w:bookmarkStart w:id="740" w:name="_Toc300934982"/>
      <w:r>
        <w:rPr>
          <w:rFonts w:hint="eastAsia" w:ascii="宋体" w:hAnsi="宋体" w:eastAsia="宋体" w:cs="宋体"/>
          <w:color w:val="auto"/>
          <w:kern w:val="2"/>
          <w:sz w:val="24"/>
          <w:szCs w:val="24"/>
          <w:highlight w:val="none"/>
        </w:rPr>
        <w:t>. 试验与检验</w:t>
      </w:r>
      <w:bookmarkEnd w:id="731"/>
      <w:bookmarkEnd w:id="732"/>
      <w:bookmarkEnd w:id="733"/>
    </w:p>
    <w:bookmarkEnd w:id="734"/>
    <w:bookmarkEnd w:id="735"/>
    <w:bookmarkEnd w:id="736"/>
    <w:bookmarkEnd w:id="737"/>
    <w:bookmarkEnd w:id="738"/>
    <w:bookmarkEnd w:id="739"/>
    <w:bookmarkEnd w:id="740"/>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741" w:name="_Toc532375632"/>
      <w:bookmarkStart w:id="742" w:name="_Toc532377368"/>
      <w:r>
        <w:rPr>
          <w:rFonts w:hint="eastAsia" w:ascii="宋体" w:hAnsi="宋体" w:eastAsia="宋体" w:cs="宋体"/>
          <w:color w:val="auto"/>
          <w:sz w:val="24"/>
          <w:szCs w:val="24"/>
          <w:highlight w:val="none"/>
        </w:rPr>
        <w:t>9</w:t>
      </w:r>
      <w:bookmarkStart w:id="743" w:name="_Toc312678022"/>
      <w:bookmarkStart w:id="744" w:name="_Toc312677496"/>
      <w:bookmarkStart w:id="745" w:name="_Toc303539140"/>
      <w:bookmarkStart w:id="746" w:name="_Toc300934983"/>
      <w:bookmarkStart w:id="747" w:name="_Toc297123534"/>
      <w:bookmarkStart w:id="748" w:name="_Toc304295560"/>
      <w:bookmarkStart w:id="749" w:name="_Toc297216193"/>
      <w:r>
        <w:rPr>
          <w:rFonts w:hint="eastAsia" w:ascii="宋体" w:hAnsi="宋体" w:eastAsia="宋体" w:cs="宋体"/>
          <w:color w:val="auto"/>
          <w:sz w:val="24"/>
          <w:szCs w:val="24"/>
          <w:highlight w:val="none"/>
        </w:rPr>
        <w:t>.1 试验设备与试验人员</w:t>
      </w:r>
      <w:bookmarkEnd w:id="741"/>
      <w:bookmarkEnd w:id="742"/>
    </w:p>
    <w:bookmarkEnd w:id="743"/>
    <w:bookmarkEnd w:id="744"/>
    <w:bookmarkEnd w:id="745"/>
    <w:bookmarkEnd w:id="746"/>
    <w:bookmarkEnd w:id="747"/>
    <w:bookmarkEnd w:id="748"/>
    <w:bookmarkEnd w:id="749"/>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750" w:name="_Toc304295561"/>
      <w:bookmarkStart w:id="751" w:name="_Toc303539141"/>
      <w:bookmarkStart w:id="752" w:name="_Toc312677497"/>
      <w:bookmarkStart w:id="753" w:name="_Toc312678023"/>
      <w:bookmarkStart w:id="754" w:name="_Toc300934984"/>
      <w:bookmarkStart w:id="755" w:name="_Toc297216194"/>
      <w:bookmarkStart w:id="756" w:name="_Toc297123535"/>
      <w:bookmarkStart w:id="757" w:name="_Toc318581174"/>
      <w:r>
        <w:rPr>
          <w:rFonts w:hint="eastAsia" w:ascii="宋体" w:hAnsi="宋体" w:eastAsia="宋体" w:cs="宋体"/>
          <w:color w:val="auto"/>
          <w:sz w:val="24"/>
          <w:szCs w:val="24"/>
          <w:highlight w:val="none"/>
        </w:rPr>
        <w:t>.1.2 试验设备</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750"/>
      <w:bookmarkEnd w:id="751"/>
      <w:bookmarkEnd w:id="752"/>
      <w:bookmarkEnd w:id="753"/>
      <w:bookmarkEnd w:id="754"/>
      <w:bookmarkEnd w:id="755"/>
      <w:bookmarkEnd w:id="756"/>
      <w:bookmarkStart w:id="758" w:name="_Toc312677498"/>
      <w:bookmarkStart w:id="759" w:name="_Toc303539142"/>
      <w:bookmarkStart w:id="760" w:name="_Toc312678024"/>
      <w:bookmarkStart w:id="761" w:name="_Toc300934985"/>
      <w:bookmarkStart w:id="762" w:name="_Toc297123536"/>
      <w:bookmarkStart w:id="763" w:name="_Toc297216195"/>
      <w:bookmarkStart w:id="764" w:name="_Toc304295562"/>
      <w:r>
        <w:rPr>
          <w:rFonts w:hint="eastAsia" w:ascii="宋体" w:hAnsi="宋体" w:eastAsia="宋体" w:cs="宋体"/>
          <w:color w:val="auto"/>
          <w:sz w:val="24"/>
          <w:szCs w:val="24"/>
          <w:highlight w:val="none"/>
          <w:u w:val="single"/>
        </w:rPr>
        <w:t>满足工程施工的需要</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满足工程施工的需要</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765" w:name="_Toc532377369"/>
      <w:bookmarkStart w:id="766" w:name="_Toc532375633"/>
      <w:r>
        <w:rPr>
          <w:rFonts w:hint="eastAsia" w:ascii="宋体" w:hAnsi="宋体" w:eastAsia="宋体" w:cs="宋体"/>
          <w:color w:val="auto"/>
          <w:sz w:val="24"/>
          <w:szCs w:val="24"/>
          <w:highlight w:val="none"/>
        </w:rPr>
        <w:t>9.4 现场工艺试验</w:t>
      </w:r>
      <w:bookmarkEnd w:id="765"/>
      <w:bookmarkEnd w:id="766"/>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本款补充9.4.1～9.4.5项：</w:t>
      </w:r>
    </w:p>
    <w:bookmarkEnd w:id="757"/>
    <w:bookmarkEnd w:id="758"/>
    <w:bookmarkEnd w:id="759"/>
    <w:bookmarkEnd w:id="760"/>
    <w:bookmarkEnd w:id="761"/>
    <w:bookmarkEnd w:id="762"/>
    <w:bookmarkEnd w:id="763"/>
    <w:bookmarkEnd w:id="764"/>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9.4.1一般检验试验：</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9.4.2特殊检验试验：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发包人委托的第三方检测试验机构检测试验的试件所需的材料、取样、送检及相关配合工作由承包人负责完成并承担由此产生的所有相关费用。</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（2）施工措施的检测、试验：因施工措施需要而做的相关检测、试验由承包人负责实施，其费用由承包人承担。</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9.4.3专项检测：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9.4.4若因承包人取样、制样、送检及相关配合不及时而导致工程的工期和费用增加，影响的工期不予延长，增加费用由承包人承担。</w:t>
      </w:r>
    </w:p>
    <w:p>
      <w:pPr>
        <w:pageBreakBefore w:val="0"/>
        <w:widowControl w:val="0"/>
        <w:tabs>
          <w:tab w:val="left" w:pos="711"/>
          <w:tab w:val="left" w:pos="2580"/>
        </w:tabs>
        <w:kinsoku/>
        <w:wordWrap/>
        <w:overflowPunct/>
        <w:topLinePunct w:val="0"/>
        <w:bidi w:val="0"/>
        <w:adjustRightInd/>
        <w:spacing w:line="500" w:lineRule="exact"/>
        <w:ind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9.4.5检测试验不合格的项目，其缺陷处理和复测费用由承包人承担，工期不予延长。</w:t>
      </w:r>
    </w:p>
    <w:bookmarkEnd w:id="603"/>
    <w:bookmarkEnd w:id="604"/>
    <w:bookmarkEnd w:id="605"/>
    <w:bookmarkEnd w:id="606"/>
    <w:bookmarkEnd w:id="607"/>
    <w:bookmarkEnd w:id="608"/>
    <w:bookmarkEnd w:id="609"/>
    <w:bookmarkEnd w:id="610"/>
    <w:bookmarkEnd w:id="611"/>
    <w:bookmarkEnd w:id="612"/>
    <w:bookmarkEnd w:id="613"/>
    <w:bookmarkEnd w:id="614"/>
    <w:bookmarkEnd w:id="615"/>
    <w:p>
      <w:pPr>
        <w:pStyle w:val="6"/>
        <w:keepNext/>
        <w:keepLines/>
        <w:pageBreakBefore w:val="0"/>
        <w:widowControl w:val="0"/>
        <w:kinsoku/>
        <w:wordWrap/>
        <w:overflowPunct/>
        <w:topLinePunct w:val="0"/>
        <w:bidi w:val="0"/>
        <w:adjustRightInd/>
        <w:spacing w:before="156" w:beforeLines="50" w:beforeAutospacing="0" w:after="156" w:afterLines="50" w:afterAutospacing="0" w:line="500" w:lineRule="exact"/>
        <w:jc w:val="both"/>
        <w:rPr>
          <w:rFonts w:hint="eastAsia" w:ascii="宋体" w:hAnsi="宋体" w:eastAsia="宋体" w:cs="宋体"/>
          <w:bCs w:val="0"/>
          <w:color w:val="auto"/>
          <w:kern w:val="2"/>
          <w:sz w:val="24"/>
          <w:szCs w:val="24"/>
          <w:highlight w:val="none"/>
        </w:rPr>
      </w:pPr>
      <w:bookmarkStart w:id="767" w:name="_Toc532377370"/>
      <w:bookmarkStart w:id="768" w:name="_Toc532375634"/>
      <w:bookmarkStart w:id="769" w:name="_Toc267251488"/>
      <w:bookmarkStart w:id="770" w:name="_Hlk524298112"/>
      <w:bookmarkStart w:id="771" w:name="_Toc267251482"/>
      <w:bookmarkStart w:id="772" w:name="_Toc267251489"/>
      <w:bookmarkStart w:id="773" w:name="_Toc267251485"/>
      <w:bookmarkStart w:id="774" w:name="_Toc267251486"/>
      <w:bookmarkStart w:id="775" w:name="_Toc267251490"/>
      <w:bookmarkStart w:id="776" w:name="_Toc267251484"/>
      <w:bookmarkStart w:id="777" w:name="_Toc267251501"/>
      <w:bookmarkStart w:id="778" w:name="_Toc267251491"/>
      <w:bookmarkStart w:id="779" w:name="_Toc267251506"/>
      <w:bookmarkStart w:id="780" w:name="_Toc267251504"/>
      <w:bookmarkStart w:id="781" w:name="_Toc267251507"/>
      <w:bookmarkStart w:id="782" w:name="_Toc267251503"/>
      <w:bookmarkStart w:id="783" w:name="_Toc267251498"/>
      <w:bookmarkStart w:id="784" w:name="_Toc267251513"/>
      <w:bookmarkStart w:id="785" w:name="_Toc267251492"/>
      <w:bookmarkStart w:id="786" w:name="_Toc267251511"/>
      <w:bookmarkStart w:id="787" w:name="_Toc267251502"/>
      <w:bookmarkStart w:id="788" w:name="_Toc267251515"/>
      <w:bookmarkStart w:id="789" w:name="_Toc267251510"/>
      <w:bookmarkStart w:id="790" w:name="_Toc267251514"/>
      <w:bookmarkStart w:id="791" w:name="_Toc267251509"/>
      <w:bookmarkStart w:id="792" w:name="_Toc267251495"/>
      <w:bookmarkStart w:id="793" w:name="_Toc267251494"/>
      <w:bookmarkStart w:id="794" w:name="_Toc267251508"/>
      <w:bookmarkStart w:id="795" w:name="_Toc267251499"/>
      <w:bookmarkStart w:id="796" w:name="_Toc267251497"/>
      <w:bookmarkStart w:id="797" w:name="_Toc267251493"/>
      <w:bookmarkStart w:id="798" w:name="_Toc267251496"/>
      <w:r>
        <w:rPr>
          <w:rFonts w:hint="eastAsia" w:ascii="宋体" w:hAnsi="宋体" w:eastAsia="宋体" w:cs="宋体"/>
          <w:color w:val="auto"/>
          <w:kern w:val="2"/>
          <w:sz w:val="24"/>
          <w:szCs w:val="24"/>
          <w:highlight w:val="none"/>
        </w:rPr>
        <w:t>1</w:t>
      </w:r>
      <w:bookmarkStart w:id="799" w:name="_Toc296944532"/>
      <w:bookmarkStart w:id="800" w:name="_Toc297123540"/>
      <w:bookmarkStart w:id="801" w:name="_Toc297120493"/>
      <w:bookmarkStart w:id="802" w:name="_Toc297048379"/>
      <w:bookmarkStart w:id="803" w:name="_Toc304295566"/>
      <w:bookmarkStart w:id="804" w:name="_Toc296891233"/>
      <w:bookmarkStart w:id="805" w:name="_Toc300934989"/>
      <w:bookmarkStart w:id="806" w:name="_Toc292559398"/>
      <w:bookmarkStart w:id="807" w:name="_Toc296891021"/>
      <w:bookmarkStart w:id="808" w:name="_Toc297216199"/>
      <w:bookmarkStart w:id="809" w:name="_Toc303539146"/>
      <w:bookmarkStart w:id="810" w:name="_Toc296346694"/>
      <w:bookmarkStart w:id="811" w:name="_Toc296503193"/>
      <w:bookmarkStart w:id="812" w:name="_Toc296347192"/>
      <w:bookmarkStart w:id="813" w:name="_Toc292559903"/>
      <w:bookmarkStart w:id="814" w:name="_Toc312677499"/>
      <w:bookmarkStart w:id="815" w:name="_Toc312678025"/>
      <w:bookmarkStart w:id="816" w:name="_Toc267251440"/>
      <w:bookmarkStart w:id="817" w:name="_Toc267251437"/>
      <w:bookmarkStart w:id="818" w:name="_Toc267251439"/>
      <w:bookmarkStart w:id="819" w:name="_Toc267251433"/>
      <w:bookmarkStart w:id="820" w:name="_Toc267251441"/>
      <w:bookmarkStart w:id="821" w:name="_Toc267251435"/>
      <w:r>
        <w:rPr>
          <w:rFonts w:hint="eastAsia" w:ascii="宋体" w:hAnsi="宋体" w:eastAsia="宋体" w:cs="宋体"/>
          <w:color w:val="auto"/>
          <w:kern w:val="2"/>
          <w:sz w:val="24"/>
          <w:szCs w:val="24"/>
          <w:highlight w:val="none"/>
        </w:rPr>
        <w:t>0. 变更</w:t>
      </w:r>
      <w:bookmarkEnd w:id="767"/>
      <w:bookmarkEnd w:id="76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bookmarkEnd w:id="814"/>
    <w:bookmarkEnd w:id="815"/>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822" w:name="_Toc532377371"/>
      <w:bookmarkStart w:id="823" w:name="_Toc532375635"/>
      <w:r>
        <w:rPr>
          <w:rFonts w:hint="eastAsia" w:ascii="宋体" w:hAnsi="宋体" w:eastAsia="宋体" w:cs="宋体"/>
          <w:color w:val="auto"/>
          <w:sz w:val="24"/>
          <w:szCs w:val="24"/>
          <w:highlight w:val="none"/>
        </w:rPr>
        <w:t>1</w:t>
      </w:r>
      <w:bookmarkStart w:id="824" w:name="_Toc300934990"/>
      <w:bookmarkStart w:id="825" w:name="_Toc297216200"/>
      <w:bookmarkStart w:id="826" w:name="_Toc312678026"/>
      <w:bookmarkStart w:id="827" w:name="_Toc292559904"/>
      <w:bookmarkStart w:id="828" w:name="_Toc296944533"/>
      <w:bookmarkStart w:id="829" w:name="_Toc292559399"/>
      <w:bookmarkStart w:id="830" w:name="_Toc304295567"/>
      <w:bookmarkStart w:id="831" w:name="_Toc296346695"/>
      <w:bookmarkStart w:id="832" w:name="_Toc297123541"/>
      <w:bookmarkStart w:id="833" w:name="_Toc297120494"/>
      <w:bookmarkStart w:id="834" w:name="_Toc296347193"/>
      <w:bookmarkStart w:id="835" w:name="_Toc296891022"/>
      <w:bookmarkStart w:id="836" w:name="_Toc296891234"/>
      <w:bookmarkStart w:id="837" w:name="_Toc312677500"/>
      <w:bookmarkStart w:id="838" w:name="_Toc297048380"/>
      <w:bookmarkStart w:id="839" w:name="_Toc296503194"/>
      <w:bookmarkStart w:id="840" w:name="_Toc303539147"/>
      <w:r>
        <w:rPr>
          <w:rFonts w:hint="eastAsia" w:ascii="宋体" w:hAnsi="宋体" w:eastAsia="宋体" w:cs="宋体"/>
          <w:color w:val="auto"/>
          <w:sz w:val="24"/>
          <w:szCs w:val="24"/>
          <w:highlight w:val="none"/>
        </w:rPr>
        <w:t>0.1变更的范围</w:t>
      </w:r>
      <w:bookmarkEnd w:id="822"/>
      <w:bookmarkEnd w:id="823"/>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关于变更范围的约定：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（1）增加或减少合同中任何工作，或追加额外的工作；</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（2）取消合同中任何工作；</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（3）改变合同中任何工作的质量标准或其他特性；</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（4）改变工程的基线、标高、位置和尺寸；</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（5）适用于工程的标准和（或）规范变化导致需要对工程进行改变，且该改变导致工期和（或）费用变化的；</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（6）勘察设计变更；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（7）实施内容变更，包括因设计变更和非设计变更引起的实施地点、投资规模、结构型式、采购数量、服务内容等进行的调整，以及因此导致的合同价格、工期变更；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（8）项目管理人员变更；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（9）因人工、原材料等价格变化导致的合同总价变更；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（10）非实施内容变化导致的工期变更；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承包人对其提供的材料、工程设备、施工、无负荷试车、热负荷试车及图纸参数存在的缺陷，自费修正、调整和完善，不属于变更。</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841" w:name="_Toc532377372"/>
      <w:bookmarkStart w:id="842" w:name="_Toc532375636"/>
      <w:bookmarkStart w:id="843" w:name="_Toc351203569"/>
      <w:r>
        <w:rPr>
          <w:rFonts w:hint="eastAsia" w:ascii="宋体" w:hAnsi="宋体" w:eastAsia="宋体" w:cs="宋体"/>
          <w:color w:val="auto"/>
          <w:sz w:val="24"/>
          <w:szCs w:val="24"/>
          <w:highlight w:val="none"/>
        </w:rPr>
        <w:t>1</w:t>
      </w:r>
      <w:bookmarkStart w:id="844" w:name="_Toc296503085"/>
      <w:bookmarkStart w:id="845" w:name="_Toc337558789"/>
      <w:bookmarkStart w:id="846" w:name="_Toc296346586"/>
      <w:r>
        <w:rPr>
          <w:rFonts w:hint="eastAsia" w:ascii="宋体" w:hAnsi="宋体" w:eastAsia="宋体" w:cs="宋体"/>
          <w:color w:val="auto"/>
          <w:sz w:val="24"/>
          <w:szCs w:val="24"/>
          <w:highlight w:val="none"/>
        </w:rPr>
        <w:t>0.2变更权</w:t>
      </w:r>
      <w:bookmarkEnd w:id="841"/>
      <w:bookmarkEnd w:id="842"/>
      <w:bookmarkEnd w:id="843"/>
    </w:p>
    <w:bookmarkEnd w:id="844"/>
    <w:bookmarkEnd w:id="845"/>
    <w:bookmarkEnd w:id="846"/>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10.2.1发包人和监理人提出变更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若出现重大设计变更，变更后的内容超出承包人资质或能力范围的，发包人将另行依法招标选择承包单位，无需征得承包人同意。</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承包人提出变更建议</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宋体"/>
          <w:color w:val="auto"/>
          <w:sz w:val="24"/>
          <w:szCs w:val="24"/>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如果发包人对承包人已实施的施工项目在发出重大设计变更之前要求承包人提出一份建议，那么，承包人应尽快提出：</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（1）对所提方案和（或）待做工作及其实施计划的说明</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（2）承包人按照对工程进度计划进行必要修改的建议</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（3）承包人发生较大返工损失增加费用的建议</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发包人在收到上述建议书后，应尽快给予批准、否决或提出意见</w:t>
      </w:r>
      <w:r>
        <w:rPr>
          <w:rFonts w:hint="eastAsia" w:ascii="宋体" w:hAnsi="宋体" w:eastAsia="宋体" w:cs="宋体"/>
          <w:color w:val="auto"/>
          <w:sz w:val="24"/>
          <w:szCs w:val="24"/>
          <w:highlight w:val="none"/>
        </w:rPr>
        <w:t>。</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847" w:name="_Toc532375637"/>
      <w:bookmarkStart w:id="848" w:name="_Toc532377373"/>
      <w:bookmarkStart w:id="849" w:name="_Toc351203570"/>
      <w:bookmarkStart w:id="850" w:name="_Hlk528928195"/>
      <w:r>
        <w:rPr>
          <w:rFonts w:hint="eastAsia" w:ascii="宋体" w:hAnsi="宋体" w:eastAsia="宋体" w:cs="宋体"/>
          <w:color w:val="auto"/>
          <w:sz w:val="24"/>
          <w:szCs w:val="24"/>
          <w:highlight w:val="none"/>
        </w:rPr>
        <w:t>1</w:t>
      </w:r>
      <w:bookmarkStart w:id="851" w:name="_Toc296503086"/>
      <w:bookmarkStart w:id="852" w:name="_Toc296346587"/>
      <w:bookmarkStart w:id="853" w:name="_Toc337558790"/>
      <w:r>
        <w:rPr>
          <w:rFonts w:hint="eastAsia" w:ascii="宋体" w:hAnsi="宋体" w:eastAsia="宋体" w:cs="宋体"/>
          <w:color w:val="auto"/>
          <w:sz w:val="24"/>
          <w:szCs w:val="24"/>
          <w:highlight w:val="none"/>
        </w:rPr>
        <w:t>0.3变更程序</w:t>
      </w:r>
      <w:bookmarkEnd w:id="847"/>
      <w:bookmarkEnd w:id="848"/>
    </w:p>
    <w:bookmarkEnd w:id="851"/>
    <w:bookmarkEnd w:id="852"/>
    <w:bookmarkEnd w:id="853"/>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bookmarkStart w:id="854" w:name="_Hlk524353972"/>
      <w:r>
        <w:rPr>
          <w:rFonts w:hint="eastAsia" w:ascii="宋体" w:hAnsi="宋体" w:eastAsia="宋体" w:cs="宋体"/>
          <w:color w:val="auto"/>
          <w:sz w:val="24"/>
          <w:szCs w:val="24"/>
          <w:highlight w:val="none"/>
        </w:rPr>
        <w:t>10.3.3 变更执行</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一般设计变更：承包人收到监理人下达的变更指示后，应按照监理人下达的变更指示执行，并书面说明实施该变更指示对合同价格和工期的影响，按照第10.4.1项〔变更估价原则〕约定执行。</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重大设计变更：需经设计人、监理人和发包人三方签名认可并报相关行业部门审查同意后实施。</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10.3.3 项增加以下内容：</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项目的勘察设计、实施内容等作较大变更的，应当按照规定的程序报原审批部门审批；变更导致总投资超概的，应当报原投资概算核定部门核定。</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项目管理人员变更的，应当经发包人领导班子集体决策同意，并将变更信息推送给行业主管部门。变更后的项目管理人员应当符合</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和行业主管部门的相关规定。</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因人工、原材料市场价格发生大幅度变化导致的合同总价变更，由发包人与承包人按照合同进行变更，并将变更信息推送给行业主管部门。</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项目合同变更后，增加的实施内容达到依法必须招标的规模标准的，增加的部分应当依法通过招标选择承包单位。</w:t>
      </w:r>
    </w:p>
    <w:bookmarkEnd w:id="849"/>
    <w:bookmarkEnd w:id="850"/>
    <w:bookmarkEnd w:id="854"/>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855" w:name="_Toc532375638"/>
      <w:bookmarkStart w:id="856" w:name="_Toc532377374"/>
      <w:r>
        <w:rPr>
          <w:rFonts w:hint="eastAsia" w:ascii="宋体" w:hAnsi="宋体" w:eastAsia="宋体" w:cs="宋体"/>
          <w:color w:val="auto"/>
          <w:sz w:val="24"/>
          <w:szCs w:val="24"/>
          <w:highlight w:val="none"/>
        </w:rPr>
        <w:t>10.4 变更估价</w:t>
      </w:r>
      <w:bookmarkEnd w:id="855"/>
      <w:bookmarkEnd w:id="856"/>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bookmarkStart w:id="857" w:name="_Hlk524296629"/>
      <w:r>
        <w:rPr>
          <w:rFonts w:hint="eastAsia" w:ascii="宋体" w:hAnsi="宋体" w:eastAsia="宋体" w:cs="宋体"/>
          <w:color w:val="auto"/>
          <w:sz w:val="24"/>
          <w:szCs w:val="24"/>
          <w:highlight w:val="none"/>
        </w:rPr>
        <w:t>10.4.1 变更估价原则</w:t>
      </w:r>
    </w:p>
    <w:p>
      <w:pPr>
        <w:pStyle w:val="23"/>
        <w:pageBreakBefore w:val="0"/>
        <w:widowControl w:val="0"/>
        <w:kinsoku/>
        <w:wordWrap/>
        <w:overflowPunct/>
        <w:topLinePunct w:val="0"/>
        <w:bidi w:val="0"/>
        <w:adjustRightInd/>
        <w:spacing w:after="0"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当发生工程变更时，工程量按</w:t>
      </w:r>
      <w:r>
        <w:rPr>
          <w:rFonts w:hint="eastAsia" w:ascii="宋体" w:hAnsi="宋体" w:eastAsia="宋体" w:cs="宋体"/>
          <w:color w:val="auto"/>
          <w:sz w:val="24"/>
          <w:szCs w:val="24"/>
          <w:highlight w:val="none"/>
          <w:u w:val="single"/>
        </w:rPr>
        <w:t xml:space="preserve"> 区公共资源交易监督管理委员会《关于印发璧山区政府投资项目计价原则(2023年第3期)的通知》(璧公管办〔2023〕5号)、《建设工程工程量清单计价规范》（GB50500-2013）、《重庆 市建设工程工程量清单计价规则》（CQJJGZ-2013 ）、《重庆市建设工程工程量计算规则》（CQJLGZ-2013 ）、2018年《重庆市通用安装工程计价定额》、2018年《重庆市市政工程计价定额》、2018年《重庆市建设工程费用定额》、重庆市住房城乡建委《关于适用增值税新税率调整建设工程计价依据的通知》（渝建〔2019〕143号）及相关配套文件 </w:t>
      </w:r>
      <w:r>
        <w:rPr>
          <w:rFonts w:hint="eastAsia" w:ascii="宋体" w:hAnsi="宋体" w:eastAsia="宋体" w:cs="宋体"/>
          <w:color w:val="auto"/>
          <w:sz w:val="24"/>
          <w:szCs w:val="24"/>
          <w:highlight w:val="none"/>
        </w:rPr>
        <w:t>规定的计算规则及已标价工程量清单规定的工程量计算规则计量，按以下办法计价：</w:t>
      </w:r>
      <w:bookmarkStart w:id="858" w:name="_Hlk524770102"/>
    </w:p>
    <w:bookmarkEnd w:id="858"/>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10.4.1.1已标价工程量清单中有相同项目的，按照相同项目单价计算；</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10.4.1.2已标价工程量清单中有类似项目的，参考类似项目单价计算（由实施</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人认定）；</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10.4.1.3已标价工程量清单中无相同项目亦无类似项目的，按照以下原则执行：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u w:val="single"/>
        </w:rPr>
        <w:t>区公共资源交易监督管理委员会《关于印发璧山区政府投资项目计价原则(2023年第3期)的通知》(璧公管办〔2023〕5号)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《重庆市房屋建筑与装饰工程计价定额》（CQJZZSDE-2018）、《重庆市仿古建筑工程计价定额》（CQFGDE-2018）、《重庆市通用安装工程计价定额》（CQAZDE-2018）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发包人、监理人审定后执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承包人报价浮动率按下列公式计算：承包人报价浮动率=（1-</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价/最高限价）×100%。</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（1）人工单价：参考重庆市城乡建委发布的2018年重庆市定额基价。</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（2）材料单价：</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首先按开标当期《璧山区政府投资项目计价原则》中约定的由重庆市璧山区住房和城乡建设委员会发布的价格执行，其次按开标当期重庆市住房和城乡建设工程造价总站主办的《重庆工程造价》发布的项目所在地的信息价执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②开标当期《璧山区政府投资项目计价原则》中约定的由重庆市璧山区住房和城乡建设委员会发布的价格与重庆市住房和城乡建设工程造价总站主办的《重庆工程造价》中没有的，承包人</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中有的，按承包人</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中相同材料单价的最低值执行；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③开标当期《璧山区政府投资项目计价原则》中约定的由重庆市璧山区住房和城乡建设委员会发布的价格、重庆市住房和城乡建设工程造价总站主办的《重庆工程造价》和承包人</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没有的，由承包人申报，发包人牵头会同监理人根据市场行情认质核价，并经发包人最终认确定为准。</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10.4.1.4已标价工程量清单中无相同项目亦无类似项目，也无定额可套用的，由承包人会同监理人、</w:t>
      </w:r>
      <w:r>
        <w:rPr>
          <w:rFonts w:hint="eastAsia" w:ascii="宋体" w:hAnsi="宋体" w:eastAsia="宋体" w:cs="宋体"/>
          <w:color w:val="auto"/>
          <w:sz w:val="24"/>
          <w:szCs w:val="24"/>
          <w:highlight w:val="none"/>
          <w:lang w:eastAsia="zh-CN"/>
        </w:rPr>
        <w:t>跟审单位（如有）</w:t>
      </w:r>
      <w:r>
        <w:rPr>
          <w:rFonts w:hint="eastAsia" w:ascii="宋体" w:hAnsi="宋体" w:eastAsia="宋体" w:cs="宋体"/>
          <w:color w:val="auto"/>
          <w:sz w:val="24"/>
          <w:szCs w:val="24"/>
          <w:highlight w:val="none"/>
        </w:rPr>
        <w:t>、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w:t>
      </w:r>
      <w:r>
        <w:rPr>
          <w:rFonts w:hint="eastAsia" w:ascii="宋体" w:hAnsi="宋体" w:eastAsia="宋体" w:cs="宋体"/>
          <w:color w:val="auto"/>
          <w:sz w:val="24"/>
          <w:szCs w:val="24"/>
          <w:highlight w:val="none"/>
          <w:lang w:eastAsia="zh-CN"/>
        </w:rPr>
        <w:t>跟审单位（如有）</w:t>
      </w:r>
      <w:r>
        <w:rPr>
          <w:rFonts w:hint="eastAsia" w:ascii="宋体" w:hAnsi="宋体" w:eastAsia="宋体" w:cs="宋体"/>
          <w:color w:val="auto"/>
          <w:sz w:val="24"/>
          <w:szCs w:val="24"/>
          <w:highlight w:val="none"/>
        </w:rPr>
        <w:t>、发包人共同询价确认的价格执行。</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本款补充10.4.3项：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按照单价计算的措施项目费，应按照实际发生变化的措施项目，按照第10.4.1项〔变更估价原则〕约定执行</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按总价（或系数）计算的措施项目费，应按照实际发生变化的措施项目费按承包人报价浮动率下浮后的金额计算</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如果承包人未事前将拟实施的方案提交给发包人确认，则应视为工程变更不引起措施项目费的调整或承包人放弃调整措施项目费的权利</w:t>
      </w:r>
      <w:r>
        <w:rPr>
          <w:rFonts w:hint="eastAsia" w:ascii="宋体" w:hAnsi="宋体" w:eastAsia="宋体" w:cs="宋体"/>
          <w:color w:val="auto"/>
          <w:sz w:val="24"/>
          <w:szCs w:val="24"/>
          <w:highlight w:val="none"/>
        </w:rPr>
        <w:t>。</w:t>
      </w:r>
    </w:p>
    <w:bookmarkEnd w:id="857"/>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859" w:name="_Toc532375639"/>
      <w:bookmarkStart w:id="860" w:name="_Toc532377375"/>
      <w:r>
        <w:rPr>
          <w:rFonts w:hint="eastAsia" w:ascii="宋体" w:hAnsi="宋体" w:eastAsia="宋体" w:cs="宋体"/>
          <w:color w:val="auto"/>
          <w:sz w:val="24"/>
          <w:szCs w:val="24"/>
          <w:highlight w:val="none"/>
        </w:rPr>
        <w:t>1</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Start w:id="861" w:name="_Toc300934993"/>
      <w:bookmarkStart w:id="862" w:name="_Toc297123544"/>
      <w:bookmarkStart w:id="863" w:name="_Toc297216203"/>
      <w:bookmarkStart w:id="864" w:name="_Toc296346698"/>
      <w:bookmarkStart w:id="865" w:name="_Toc297120497"/>
      <w:bookmarkStart w:id="866" w:name="_Toc296891237"/>
      <w:bookmarkStart w:id="867" w:name="_Toc296347196"/>
      <w:bookmarkStart w:id="868" w:name="_Toc297048383"/>
      <w:bookmarkStart w:id="869" w:name="_Toc303539150"/>
      <w:bookmarkStart w:id="870" w:name="_Toc292559402"/>
      <w:bookmarkStart w:id="871" w:name="_Toc296503197"/>
      <w:bookmarkStart w:id="872" w:name="_Toc296944536"/>
      <w:bookmarkStart w:id="873" w:name="_Toc296891025"/>
      <w:bookmarkStart w:id="874" w:name="_Toc292559907"/>
      <w:bookmarkStart w:id="875" w:name="_Toc312678029"/>
      <w:bookmarkStart w:id="876" w:name="_Toc304295570"/>
      <w:bookmarkStart w:id="877" w:name="_Toc312677503"/>
      <w:r>
        <w:rPr>
          <w:rFonts w:hint="eastAsia" w:ascii="宋体" w:hAnsi="宋体" w:eastAsia="宋体" w:cs="宋体"/>
          <w:color w:val="auto"/>
          <w:sz w:val="24"/>
          <w:szCs w:val="24"/>
          <w:highlight w:val="none"/>
        </w:rPr>
        <w:t>0.5承</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Start w:id="878" w:name="_Toc297120503"/>
      <w:bookmarkStart w:id="879" w:name="_Toc297048389"/>
      <w:bookmarkStart w:id="880" w:name="_Toc296891243"/>
      <w:bookmarkStart w:id="881" w:name="_Toc297216204"/>
      <w:bookmarkStart w:id="882" w:name="_Toc292559408"/>
      <w:bookmarkStart w:id="883" w:name="_Toc296503203"/>
      <w:bookmarkStart w:id="884" w:name="_Toc296944542"/>
      <w:bookmarkStart w:id="885" w:name="_Toc296891031"/>
      <w:bookmarkStart w:id="886" w:name="_Toc296347202"/>
      <w:bookmarkStart w:id="887" w:name="_Toc297123545"/>
      <w:bookmarkStart w:id="888" w:name="_Toc292559913"/>
      <w:bookmarkStart w:id="889" w:name="_Toc296346704"/>
      <w:bookmarkStart w:id="890" w:name="_Toc303539151"/>
      <w:bookmarkStart w:id="891" w:name="_Toc300934994"/>
      <w:r>
        <w:rPr>
          <w:rFonts w:hint="eastAsia" w:ascii="宋体" w:hAnsi="宋体" w:eastAsia="宋体" w:cs="宋体"/>
          <w:color w:val="auto"/>
          <w:sz w:val="24"/>
          <w:szCs w:val="24"/>
          <w:highlight w:val="none"/>
        </w:rPr>
        <w:t>包人的合理化建议</w:t>
      </w:r>
      <w:bookmarkEnd w:id="859"/>
      <w:bookmarkEnd w:id="860"/>
    </w:p>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承包人提出合理化建议的，应向监理人提交合理化建议说明，说明建议的内容和理由，以及实施该建议对合同价格和（或）工期和（或）工程经济效益的影响。</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不超过14天</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不超过14天</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892" w:name="_Toc296891032"/>
      <w:bookmarkStart w:id="893" w:name="_Toc312677504"/>
      <w:bookmarkStart w:id="894" w:name="_Toc296503204"/>
      <w:bookmarkStart w:id="895" w:name="_Toc292559914"/>
      <w:bookmarkStart w:id="896" w:name="_Toc297120504"/>
      <w:bookmarkStart w:id="897" w:name="_Toc297216205"/>
      <w:bookmarkStart w:id="898" w:name="_Toc303539152"/>
      <w:bookmarkStart w:id="899" w:name="_Toc297123546"/>
      <w:bookmarkStart w:id="900" w:name="_Toc296944543"/>
      <w:bookmarkStart w:id="901" w:name="_Toc318581175"/>
      <w:bookmarkStart w:id="902" w:name="_Toc297048390"/>
      <w:bookmarkStart w:id="903" w:name="_Toc296347203"/>
      <w:bookmarkStart w:id="904" w:name="_Toc296346705"/>
      <w:bookmarkStart w:id="905" w:name="_Toc312678030"/>
      <w:bookmarkStart w:id="906" w:name="_Toc296891244"/>
      <w:bookmarkStart w:id="907" w:name="_Toc292559409"/>
      <w:bookmarkStart w:id="908" w:name="_Toc304295571"/>
      <w:bookmarkStart w:id="909" w:name="_Toc300934995"/>
      <w:r>
        <w:rPr>
          <w:rFonts w:hint="eastAsia" w:ascii="宋体" w:hAnsi="宋体" w:eastAsia="宋体" w:cs="宋体"/>
          <w:color w:val="auto"/>
          <w:sz w:val="24"/>
          <w:szCs w:val="24"/>
          <w:highlight w:val="none"/>
        </w:rPr>
        <w:t>包人提出的合理化建议降低了合同价格或缩短了工期或者提高了工程经济效益的奖励的方法和金额为：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910" w:name="_Toc532375640"/>
      <w:bookmarkStart w:id="911" w:name="_Toc532377376"/>
      <w:r>
        <w:rPr>
          <w:rFonts w:hint="eastAsia" w:ascii="宋体" w:hAnsi="宋体" w:eastAsia="宋体" w:cs="宋体"/>
          <w:color w:val="auto"/>
          <w:sz w:val="24"/>
          <w:szCs w:val="24"/>
          <w:highlight w:val="none"/>
        </w:rPr>
        <w:t>1</w:t>
      </w:r>
      <w:bookmarkStart w:id="912" w:name="_Toc296503199"/>
      <w:bookmarkStart w:id="913" w:name="_Toc297123548"/>
      <w:bookmarkStart w:id="914" w:name="_Toc304295574"/>
      <w:bookmarkStart w:id="915" w:name="_Toc292559909"/>
      <w:bookmarkStart w:id="916" w:name="_Toc297216207"/>
      <w:bookmarkStart w:id="917" w:name="_Toc296347198"/>
      <w:bookmarkStart w:id="918" w:name="_Toc296891239"/>
      <w:bookmarkStart w:id="919" w:name="_Toc296944538"/>
      <w:bookmarkStart w:id="920" w:name="_Toc300934997"/>
      <w:bookmarkStart w:id="921" w:name="_Toc292559404"/>
      <w:bookmarkStart w:id="922" w:name="_Toc296346700"/>
      <w:bookmarkStart w:id="923" w:name="_Toc297048385"/>
      <w:bookmarkStart w:id="924" w:name="_Toc297120499"/>
      <w:bookmarkStart w:id="925" w:name="_Toc303539154"/>
      <w:bookmarkStart w:id="926" w:name="_Toc312677507"/>
      <w:bookmarkStart w:id="927" w:name="_Toc296891027"/>
      <w:bookmarkStart w:id="928" w:name="_Toc312678033"/>
      <w:r>
        <w:rPr>
          <w:rFonts w:hint="eastAsia" w:ascii="宋体" w:hAnsi="宋体" w:eastAsia="宋体" w:cs="宋体"/>
          <w:color w:val="auto"/>
          <w:sz w:val="24"/>
          <w:szCs w:val="24"/>
          <w:highlight w:val="none"/>
        </w:rPr>
        <w:t>0.7 暂估价</w:t>
      </w:r>
      <w:bookmarkEnd w:id="910"/>
      <w:bookmarkEnd w:id="911"/>
    </w:p>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w:t>
      </w:r>
      <w:r>
        <w:rPr>
          <w:rFonts w:hint="eastAsia" w:ascii="宋体" w:hAnsi="宋体" w:eastAsia="宋体" w:cs="宋体"/>
          <w:color w:val="auto"/>
          <w:sz w:val="24"/>
          <w:szCs w:val="24"/>
          <w:highlight w:val="none"/>
          <w:lang w:eastAsia="zh-CN"/>
        </w:rPr>
        <w:t>跟审单位（如有）</w:t>
      </w:r>
      <w:r>
        <w:rPr>
          <w:rFonts w:hint="eastAsia" w:ascii="宋体" w:hAnsi="宋体" w:eastAsia="宋体" w:cs="宋体"/>
          <w:color w:val="auto"/>
          <w:sz w:val="24"/>
          <w:szCs w:val="24"/>
          <w:highlight w:val="none"/>
        </w:rPr>
        <w:t>、发包人共同审定。审定后根据承包人签订的相关合同（需经监理人、</w:t>
      </w:r>
      <w:r>
        <w:rPr>
          <w:rFonts w:hint="eastAsia" w:ascii="宋体" w:hAnsi="宋体" w:eastAsia="宋体" w:cs="宋体"/>
          <w:color w:val="auto"/>
          <w:sz w:val="24"/>
          <w:szCs w:val="24"/>
          <w:highlight w:val="none"/>
          <w:lang w:eastAsia="zh-CN"/>
        </w:rPr>
        <w:t>跟审单位（如有）</w:t>
      </w:r>
      <w:r>
        <w:rPr>
          <w:rFonts w:hint="eastAsia" w:ascii="宋体" w:hAnsi="宋体" w:eastAsia="宋体" w:cs="宋体"/>
          <w:color w:val="auto"/>
          <w:sz w:val="24"/>
          <w:szCs w:val="24"/>
          <w:highlight w:val="none"/>
        </w:rPr>
        <w:t>、发包人共同确认）约定，由承包人申报，随进度款按与相关单位签订的合同约定一并支付。</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单项合同暂估价在国家相关法律法规规定必须招标规模以上的，需依法必须招标的，由承包人、发包人共同招标确定。</w:t>
      </w:r>
    </w:p>
    <w:p>
      <w:pPr>
        <w:pStyle w:val="7"/>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rPr>
          <w:rFonts w:hint="eastAsia" w:ascii="宋体" w:hAnsi="宋体" w:eastAsia="宋体" w:cs="宋体"/>
          <w:color w:val="auto"/>
          <w:sz w:val="24"/>
          <w:szCs w:val="24"/>
          <w:highlight w:val="none"/>
        </w:rPr>
      </w:pPr>
      <w:bookmarkStart w:id="929" w:name="_Toc532375641"/>
      <w:bookmarkStart w:id="930" w:name="_Toc532377377"/>
      <w:r>
        <w:rPr>
          <w:rFonts w:hint="eastAsia" w:ascii="宋体" w:hAnsi="宋体" w:eastAsia="宋体" w:cs="宋体"/>
          <w:color w:val="auto"/>
          <w:sz w:val="24"/>
          <w:szCs w:val="24"/>
          <w:highlight w:val="none"/>
        </w:rPr>
        <w:t>10.8 暂列金额</w:t>
      </w:r>
      <w:bookmarkEnd w:id="929"/>
      <w:bookmarkEnd w:id="930"/>
    </w:p>
    <w:p>
      <w:pPr>
        <w:pageBreakBefore w:val="0"/>
        <w:widowControl w:val="0"/>
        <w:kinsoku/>
        <w:wordWrap/>
        <w:overflowPunct/>
        <w:topLinePunct w:val="0"/>
        <w:autoSpaceDE w:val="0"/>
        <w:autoSpaceDN w:val="0"/>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jc w:val="left"/>
        <w:outlineLvl w:val="3"/>
        <w:rPr>
          <w:rFonts w:hint="eastAsia" w:ascii="宋体" w:hAnsi="宋体" w:eastAsia="宋体" w:cs="宋体"/>
          <w:b/>
          <w:color w:val="auto"/>
          <w:sz w:val="24"/>
          <w:szCs w:val="24"/>
          <w:highlight w:val="none"/>
          <w:lang w:eastAsia="zh-CN"/>
        </w:rPr>
      </w:pPr>
      <w:bookmarkStart w:id="931" w:name="_Toc532377378"/>
      <w:bookmarkStart w:id="932" w:name="_Toc532375642"/>
      <w:bookmarkStart w:id="933" w:name="_Toc351203643"/>
      <w:r>
        <w:rPr>
          <w:rFonts w:hint="eastAsia" w:ascii="宋体" w:hAnsi="宋体" w:eastAsia="宋体" w:cs="宋体"/>
          <w:b/>
          <w:color w:val="auto"/>
          <w:sz w:val="24"/>
          <w:szCs w:val="24"/>
          <w:highlight w:val="none"/>
        </w:rPr>
        <w:t>11. 价格调整</w:t>
      </w:r>
      <w:bookmarkEnd w:id="931"/>
      <w:bookmarkEnd w:id="932"/>
      <w:bookmarkEnd w:id="933"/>
    </w:p>
    <w:bookmarkEnd w:id="816"/>
    <w:bookmarkEnd w:id="817"/>
    <w:bookmarkEnd w:id="818"/>
    <w:bookmarkEnd w:id="819"/>
    <w:bookmarkEnd w:id="820"/>
    <w:bookmarkEnd w:id="821"/>
    <w:p>
      <w:pPr>
        <w:pageBreakBefore w:val="0"/>
        <w:widowControl w:val="0"/>
        <w:tabs>
          <w:tab w:val="left" w:pos="2551"/>
        </w:tabs>
        <w:kinsoku/>
        <w:wordWrap/>
        <w:overflowPunct/>
        <w:topLinePunct w:val="0"/>
        <w:bidi w:val="0"/>
        <w:adjustRightInd/>
        <w:spacing w:before="0" w:beforeAutospacing="0" w:after="0" w:afterAutospacing="0" w:line="500" w:lineRule="exact"/>
        <w:ind w:left="0" w:leftChars="0" w:firstLine="0" w:firstLineChars="0"/>
        <w:outlineLvl w:val="4"/>
        <w:rPr>
          <w:rFonts w:hint="eastAsia" w:ascii="宋体" w:hAnsi="宋体" w:eastAsia="宋体" w:cs="宋体"/>
          <w:b/>
          <w:color w:val="auto"/>
          <w:sz w:val="24"/>
          <w:szCs w:val="24"/>
          <w:highlight w:val="none"/>
          <w:lang w:eastAsia="zh-CN"/>
        </w:rPr>
      </w:pPr>
      <w:bookmarkStart w:id="934" w:name="_Toc532377381"/>
      <w:bookmarkStart w:id="935" w:name="_Toc532375645"/>
      <w:bookmarkStart w:id="936" w:name="_Toc297120505"/>
      <w:bookmarkStart w:id="937" w:name="_Toc296944544"/>
      <w:bookmarkStart w:id="938" w:name="_Toc296503205"/>
      <w:bookmarkStart w:id="939" w:name="_Toc297048391"/>
      <w:bookmarkStart w:id="940" w:name="_Toc292559410"/>
      <w:bookmarkStart w:id="941" w:name="_Toc296347204"/>
      <w:bookmarkStart w:id="942" w:name="_Toc292559915"/>
      <w:bookmarkStart w:id="943" w:name="_Toc296891245"/>
      <w:bookmarkStart w:id="944" w:name="_Toc296346706"/>
      <w:bookmarkStart w:id="945" w:name="_Toc296891033"/>
      <w:bookmarkStart w:id="946" w:name="_Toc351203644"/>
      <w:bookmarkStart w:id="947" w:name="_Toc303539159"/>
      <w:bookmarkStart w:id="948" w:name="_Toc312678040"/>
      <w:bookmarkStart w:id="949" w:name="_Toc297123552"/>
      <w:bookmarkStart w:id="950" w:name="_Toc297216211"/>
      <w:bookmarkStart w:id="951" w:name="_Toc304295579"/>
      <w:bookmarkStart w:id="952" w:name="_Toc300935002"/>
      <w:r>
        <w:rPr>
          <w:rFonts w:hint="eastAsia" w:ascii="宋体" w:hAnsi="宋体" w:eastAsia="宋体" w:cs="宋体"/>
          <w:b/>
          <w:color w:val="auto"/>
          <w:sz w:val="24"/>
          <w:szCs w:val="24"/>
          <w:highlight w:val="none"/>
          <w:lang w:eastAsia="zh-CN"/>
        </w:rPr>
        <w:t>11.1 市场价格波动引起的调整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市场价格波动是否调整合同价格的约定：合同工期六个月以上（不含六个月），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因市场价格波动调整合同价格，采用以下第2种方式对合同价格进行调整：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第1种方式：采用价格指数进行价格调整。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关于各可调因子、定值和变值权重，以及基本价格指数及其来源的约定： / ；</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第2种方式：采用造价信息进行价格调整，调整方法如下： </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11.1.1人工费价差调整办法</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按定额基价执行，不调整价差。</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11.1.2 材料费价差调整办法</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可调价差材料：按开标当期《璧山区政府投资项目计价原则》中约定需调整价差的材料进行表述，具体调整价差的材料为：(由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人具体完善需调整价差的材料)。</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可调价差材料的价差调整办法如下：</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按开标当期《璧山区政府投资项目计价原则》中明确的调整原则进行表述，具体材料价差调整原则为：(注：由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人具体完善调整原则)。</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 法律变化引起的调整</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投标基准日至竣工验收合格之日，国家或相关行政主管部门发布直接影响项目的新法规、新政策、新文件、新标准，属强制执行的，自执行之日执行，经发包人按《重庆市璧山区政府投资项目管理办法（2022年修订版）》（璧发改〔2022〕265号）规定报批审核同意后，由此增减的费用由发包人承担，估价照第10.4.1项〔变更估价原则〕执行；属选择性执行的，发包人与承包人协商解决。</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本条补充11.3款</w:t>
      </w:r>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 严重不平衡报价引起的调整</w:t>
      </w:r>
      <w:bookmarkEnd w:id="934"/>
      <w:bookmarkEnd w:id="935"/>
    </w:p>
    <w:p>
      <w:pPr>
        <w:pageBreakBefore w:val="0"/>
        <w:widowControl w:val="0"/>
        <w:kinsoku/>
        <w:wordWrap/>
        <w:overflowPunct/>
        <w:topLinePunct w:val="0"/>
        <w:bidi w:val="0"/>
        <w:adjustRightInd/>
        <w:spacing w:line="500" w:lineRule="exact"/>
        <w:ind w:firstLine="480" w:firstLineChars="200"/>
        <w:jc w:val="left"/>
        <w:rPr>
          <w:rFonts w:hint="eastAsia" w:ascii="宋体" w:hAnsi="宋体" w:eastAsia="宋体" w:cs="宋体"/>
          <w:color w:val="auto"/>
          <w:sz w:val="24"/>
          <w:szCs w:val="24"/>
          <w:highlight w:val="none"/>
          <w:lang w:eastAsia="zh-CN"/>
        </w:rPr>
      </w:pPr>
      <w:bookmarkStart w:id="953" w:name="_Toc532375646"/>
      <w:bookmarkStart w:id="954" w:name="_Toc532377382"/>
      <w:r>
        <w:rPr>
          <w:rFonts w:hint="eastAsia" w:ascii="宋体" w:hAnsi="宋体" w:eastAsia="宋体" w:cs="宋体"/>
          <w:color w:val="auto"/>
          <w:sz w:val="24"/>
          <w:szCs w:val="24"/>
          <w:highlight w:val="none"/>
          <w:lang w:val="en-US" w:eastAsia="zh-CN"/>
        </w:rPr>
        <w:t>本项目工程实行总价与清单单价双控制的方式实施，不存在不平衡报价，无不平衡报价引起的价格调整。</w:t>
      </w:r>
    </w:p>
    <w:p>
      <w:pPr>
        <w:pStyle w:val="6"/>
        <w:pageBreakBefore w:val="0"/>
        <w:tabs>
          <w:tab w:val="left" w:pos="2551"/>
        </w:tabs>
        <w:kinsoku/>
        <w:wordWrap/>
        <w:overflowPunct/>
        <w:topLinePunct w:val="0"/>
        <w:bidi w:val="0"/>
        <w:spacing w:before="0" w:beforeAutospacing="0" w:after="0" w:afterAutospacing="0" w:line="500" w:lineRule="exact"/>
        <w:ind w:left="0" w:leftChars="0" w:firstLine="0" w:firstLineChars="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12. </w:t>
      </w:r>
      <w:bookmarkEnd w:id="936"/>
      <w:bookmarkEnd w:id="937"/>
      <w:bookmarkEnd w:id="938"/>
      <w:bookmarkEnd w:id="939"/>
      <w:bookmarkEnd w:id="940"/>
      <w:bookmarkEnd w:id="941"/>
      <w:bookmarkEnd w:id="942"/>
      <w:bookmarkEnd w:id="943"/>
      <w:bookmarkEnd w:id="944"/>
      <w:bookmarkEnd w:id="945"/>
      <w:r>
        <w:rPr>
          <w:rFonts w:hint="eastAsia" w:ascii="宋体" w:hAnsi="宋体" w:eastAsia="宋体" w:cs="宋体"/>
          <w:b/>
          <w:color w:val="auto"/>
          <w:sz w:val="24"/>
          <w:szCs w:val="24"/>
          <w:highlight w:val="none"/>
        </w:rPr>
        <w:t>合同价格、计量与支付</w:t>
      </w:r>
      <w:bookmarkEnd w:id="946"/>
      <w:bookmarkEnd w:id="953"/>
      <w:bookmarkEnd w:id="954"/>
    </w:p>
    <w:bookmarkEnd w:id="947"/>
    <w:bookmarkEnd w:id="948"/>
    <w:bookmarkEnd w:id="949"/>
    <w:bookmarkEnd w:id="950"/>
    <w:bookmarkEnd w:id="951"/>
    <w:bookmarkEnd w:id="952"/>
    <w:p>
      <w:pPr>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outlineLvl w:val="4"/>
        <w:rPr>
          <w:rFonts w:hint="eastAsia" w:ascii="宋体" w:hAnsi="宋体" w:eastAsia="宋体" w:cs="宋体"/>
          <w:b/>
          <w:bCs/>
          <w:color w:val="auto"/>
          <w:sz w:val="24"/>
          <w:szCs w:val="24"/>
          <w:highlight w:val="none"/>
        </w:rPr>
      </w:pPr>
      <w:bookmarkStart w:id="955" w:name="_Toc267251461"/>
      <w:bookmarkStart w:id="956" w:name="_Toc292559411"/>
      <w:bookmarkStart w:id="957" w:name="_Toc292559916"/>
      <w:bookmarkStart w:id="958" w:name="_Toc296503206"/>
      <w:bookmarkStart w:id="959" w:name="_Toc296944545"/>
      <w:bookmarkStart w:id="960" w:name="_Toc296891246"/>
      <w:bookmarkStart w:id="961" w:name="_Toc297048392"/>
      <w:bookmarkStart w:id="962" w:name="_Toc297120506"/>
      <w:bookmarkStart w:id="963" w:name="_Toc296346707"/>
      <w:bookmarkStart w:id="964" w:name="_Toc296347205"/>
      <w:bookmarkStart w:id="965" w:name="_Toc296891034"/>
      <w:bookmarkStart w:id="966" w:name="_Toc532375647"/>
      <w:bookmarkStart w:id="967" w:name="_Toc532377383"/>
      <w:bookmarkStart w:id="968" w:name="_Toc297123553"/>
      <w:bookmarkStart w:id="969" w:name="_Toc304295580"/>
      <w:bookmarkStart w:id="970" w:name="_Toc312678041"/>
      <w:bookmarkStart w:id="971" w:name="_Toc303539160"/>
      <w:bookmarkStart w:id="972" w:name="_Toc297216212"/>
      <w:bookmarkStart w:id="973" w:name="_Toc300935003"/>
      <w:r>
        <w:rPr>
          <w:rFonts w:hint="eastAsia" w:ascii="宋体" w:hAnsi="宋体" w:eastAsia="宋体" w:cs="宋体"/>
          <w:b/>
          <w:bCs/>
          <w:color w:val="auto"/>
          <w:sz w:val="24"/>
          <w:szCs w:val="24"/>
          <w:highlight w:val="none"/>
        </w:rPr>
        <w:t>12.1 合</w:t>
      </w:r>
      <w:bookmarkEnd w:id="955"/>
      <w:bookmarkEnd w:id="956"/>
      <w:bookmarkEnd w:id="957"/>
      <w:r>
        <w:rPr>
          <w:rFonts w:hint="eastAsia" w:ascii="宋体" w:hAnsi="宋体" w:eastAsia="宋体" w:cs="宋体"/>
          <w:b/>
          <w:bCs/>
          <w:color w:val="auto"/>
          <w:sz w:val="24"/>
          <w:szCs w:val="24"/>
          <w:highlight w:val="none"/>
        </w:rPr>
        <w:t>同价</w:t>
      </w:r>
      <w:bookmarkEnd w:id="958"/>
      <w:bookmarkEnd w:id="959"/>
      <w:bookmarkEnd w:id="960"/>
      <w:bookmarkEnd w:id="961"/>
      <w:bookmarkEnd w:id="962"/>
      <w:bookmarkEnd w:id="963"/>
      <w:bookmarkEnd w:id="964"/>
      <w:bookmarkEnd w:id="965"/>
      <w:r>
        <w:rPr>
          <w:rFonts w:hint="eastAsia" w:ascii="宋体" w:hAnsi="宋体" w:eastAsia="宋体" w:cs="宋体"/>
          <w:b/>
          <w:bCs/>
          <w:color w:val="auto"/>
          <w:sz w:val="24"/>
          <w:szCs w:val="24"/>
          <w:highlight w:val="none"/>
        </w:rPr>
        <w:t>格形式</w:t>
      </w:r>
      <w:bookmarkEnd w:id="966"/>
      <w:bookmarkEnd w:id="967"/>
    </w:p>
    <w:bookmarkEnd w:id="968"/>
    <w:bookmarkEnd w:id="969"/>
    <w:bookmarkEnd w:id="970"/>
    <w:bookmarkEnd w:id="971"/>
    <w:bookmarkEnd w:id="972"/>
    <w:bookmarkEnd w:id="973"/>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包括但不限于为实施和完成合同工程所需的人工费、材料费、施工机具使用费、企业管理费、利润、风险费、施工技术措施项目费、施工组织措施项目费及缺陷修复等费用，以及</w:t>
      </w:r>
      <w:bookmarkStart w:id="974" w:name="_Hlk528508096"/>
      <w:r>
        <w:rPr>
          <w:rFonts w:hint="eastAsia" w:ascii="宋体" w:hAnsi="宋体" w:eastAsia="宋体" w:cs="宋体"/>
          <w:color w:val="auto"/>
          <w:sz w:val="24"/>
          <w:szCs w:val="24"/>
          <w:highlight w:val="none"/>
          <w:u w:val="single"/>
        </w:rPr>
        <w:t>第11.1款〔市场价格波动引起的调整〕约定范围内的市场价格波动风险、政策性文件规定的各项应有费用、</w:t>
      </w:r>
      <w:bookmarkEnd w:id="974"/>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和合同明示或暗示的应由承包人承担的所有责任、义务和风险等所需的费用</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由承包人自行考虑并计入签约合同价格中，包干使用</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按照合同相关条款约定执行</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和合同明示或暗示的应由承包人承担的所有责任、义务和风险等所需的费用</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由承包人自行考虑并计入签约合同价格中，包干使用</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按照合同相关条款约定执行</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不采用</w:t>
      </w:r>
      <w:r>
        <w:rPr>
          <w:rFonts w:hint="eastAsia" w:ascii="宋体" w:hAnsi="宋体" w:eastAsia="宋体" w:cs="宋体"/>
          <w:color w:val="auto"/>
          <w:sz w:val="24"/>
          <w:szCs w:val="24"/>
          <w:highlight w:val="none"/>
        </w:rPr>
        <w:t>。</w:t>
      </w:r>
    </w:p>
    <w:p>
      <w:pPr>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outlineLvl w:val="4"/>
        <w:rPr>
          <w:rFonts w:hint="eastAsia" w:ascii="宋体" w:hAnsi="宋体" w:eastAsia="宋体" w:cs="宋体"/>
          <w:b/>
          <w:bCs/>
          <w:color w:val="auto"/>
          <w:sz w:val="24"/>
          <w:szCs w:val="24"/>
          <w:highlight w:val="none"/>
        </w:rPr>
      </w:pPr>
      <w:bookmarkStart w:id="975" w:name="_Toc532375648"/>
      <w:bookmarkStart w:id="976" w:name="_Toc532377384"/>
      <w:bookmarkStart w:id="977" w:name="_Toc300935004"/>
      <w:bookmarkStart w:id="978" w:name="_Toc303539161"/>
      <w:bookmarkStart w:id="979" w:name="_Toc304295581"/>
      <w:bookmarkStart w:id="980" w:name="_Toc312678042"/>
      <w:bookmarkStart w:id="981" w:name="_Toc297123554"/>
      <w:bookmarkStart w:id="982" w:name="_Toc297216213"/>
      <w:bookmarkStart w:id="983" w:name="_Toc297120507"/>
      <w:bookmarkStart w:id="984" w:name="_Toc296891247"/>
      <w:bookmarkStart w:id="985" w:name="_Toc296891035"/>
      <w:bookmarkStart w:id="986" w:name="_Toc297048393"/>
      <w:bookmarkStart w:id="987" w:name="_Toc292559412"/>
      <w:bookmarkStart w:id="988" w:name="_Toc296346708"/>
      <w:bookmarkStart w:id="989" w:name="_Toc296503207"/>
      <w:bookmarkStart w:id="990" w:name="_Toc292559917"/>
      <w:bookmarkStart w:id="991" w:name="_Toc296944546"/>
      <w:bookmarkStart w:id="992" w:name="_Toc296347206"/>
      <w:r>
        <w:rPr>
          <w:rFonts w:hint="eastAsia" w:ascii="宋体" w:hAnsi="宋体" w:eastAsia="宋体" w:cs="宋体"/>
          <w:b/>
          <w:bCs/>
          <w:color w:val="auto"/>
          <w:sz w:val="24"/>
          <w:szCs w:val="24"/>
          <w:highlight w:val="none"/>
        </w:rPr>
        <w:t>12.2 预付款</w:t>
      </w:r>
      <w:bookmarkEnd w:id="975"/>
      <w:bookmarkEnd w:id="976"/>
    </w:p>
    <w:bookmarkEnd w:id="977"/>
    <w:bookmarkEnd w:id="978"/>
    <w:bookmarkEnd w:id="979"/>
    <w:bookmarkEnd w:id="980"/>
    <w:bookmarkEnd w:id="981"/>
    <w:bookmarkEnd w:id="982"/>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pPr>
        <w:keepNext w:val="0"/>
        <w:keepLines w:val="0"/>
        <w:pageBreakBefore w:val="0"/>
        <w:widowControl/>
        <w:suppressLineNumbers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strike w:val="0"/>
          <w:dstrike w:val="0"/>
          <w:color w:val="auto"/>
          <w:sz w:val="24"/>
          <w:szCs w:val="24"/>
          <w:highlight w:val="none"/>
          <w:u w:val="single"/>
          <w:lang w:val="en-US" w:eastAsia="zh-CN"/>
        </w:rPr>
        <w:t>/</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预付款担保的退还时间：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983"/>
    <w:bookmarkEnd w:id="984"/>
    <w:bookmarkEnd w:id="985"/>
    <w:bookmarkEnd w:id="986"/>
    <w:bookmarkEnd w:id="987"/>
    <w:bookmarkEnd w:id="988"/>
    <w:bookmarkEnd w:id="989"/>
    <w:bookmarkEnd w:id="990"/>
    <w:bookmarkEnd w:id="991"/>
    <w:bookmarkEnd w:id="992"/>
    <w:p>
      <w:pPr>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outlineLvl w:val="4"/>
        <w:rPr>
          <w:rFonts w:hint="eastAsia" w:ascii="宋体" w:hAnsi="宋体" w:eastAsia="宋体" w:cs="宋体"/>
          <w:b/>
          <w:bCs/>
          <w:color w:val="auto"/>
          <w:sz w:val="24"/>
          <w:szCs w:val="24"/>
          <w:highlight w:val="none"/>
        </w:rPr>
      </w:pPr>
      <w:bookmarkStart w:id="993" w:name="_Toc532375649"/>
      <w:bookmarkStart w:id="994" w:name="_Toc532377385"/>
      <w:r>
        <w:rPr>
          <w:rFonts w:hint="eastAsia" w:ascii="宋体" w:hAnsi="宋体" w:eastAsia="宋体" w:cs="宋体"/>
          <w:b/>
          <w:bCs/>
          <w:color w:val="auto"/>
          <w:sz w:val="24"/>
          <w:szCs w:val="24"/>
          <w:highlight w:val="none"/>
        </w:rPr>
        <w:t>12.3 计量</w:t>
      </w:r>
      <w:bookmarkEnd w:id="993"/>
      <w:bookmarkEnd w:id="994"/>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bookmarkStart w:id="995" w:name="_Hlk528928260"/>
      <w:r>
        <w:rPr>
          <w:rFonts w:hint="eastAsia" w:ascii="宋体" w:hAnsi="宋体" w:eastAsia="宋体" w:cs="宋体"/>
          <w:color w:val="auto"/>
          <w:sz w:val="24"/>
          <w:szCs w:val="24"/>
          <w:highlight w:val="none"/>
        </w:rPr>
        <w:t>12.3.1 计量原则</w:t>
      </w:r>
    </w:p>
    <w:p>
      <w:pPr>
        <w:pageBreakBefore w:val="0"/>
        <w:tabs>
          <w:tab w:val="left" w:pos="1134"/>
        </w:tabs>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工程量按</w:t>
      </w:r>
      <w:r>
        <w:rPr>
          <w:rFonts w:hint="eastAsia" w:ascii="宋体" w:hAnsi="宋体" w:eastAsia="宋体" w:cs="宋体"/>
          <w:color w:val="auto"/>
          <w:sz w:val="24"/>
          <w:szCs w:val="24"/>
          <w:highlight w:val="none"/>
          <w:lang w:val="zh-CN" w:eastAsia="zh-CN"/>
        </w:rPr>
        <w:t>区公共资源交易监督管理委员会《关于印发璧山区政府投资项目计价原则(2023年第3期)的通知》(璧公管办〔2023〕5号)、</w:t>
      </w:r>
      <w:r>
        <w:rPr>
          <w:rFonts w:hint="eastAsia" w:ascii="宋体" w:hAnsi="宋体" w:eastAsia="宋体" w:cs="宋体"/>
          <w:color w:val="auto"/>
          <w:sz w:val="24"/>
          <w:szCs w:val="24"/>
          <w:highlight w:val="none"/>
        </w:rPr>
        <w:t>《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995"/>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按月计量根据具体项目实际情况可以按月、按进度、按节点等形式计量，按进度、按节点计量的参考按月计量原则执行）</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bookmarkStart w:id="996" w:name="_Hlk528926162"/>
      <w:r>
        <w:rPr>
          <w:rFonts w:hint="eastAsia" w:ascii="宋体" w:hAnsi="宋体" w:eastAsia="宋体" w:cs="宋体"/>
          <w:color w:val="auto"/>
          <w:sz w:val="24"/>
          <w:szCs w:val="24"/>
          <w:highlight w:val="none"/>
          <w:u w:val="single"/>
        </w:rPr>
        <w:t>（1）承包人应于当月</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日前向监理人报送上月已完成的工程量，并附进度付款申请单、已完成工程量报表和其他有关资料</w:t>
      </w:r>
      <w:r>
        <w:rPr>
          <w:rFonts w:hint="eastAsia" w:ascii="宋体" w:hAnsi="宋体" w:eastAsia="宋体" w:cs="宋体"/>
          <w:color w:val="auto"/>
          <w:sz w:val="24"/>
          <w:szCs w:val="24"/>
          <w:highlight w:val="none"/>
        </w:rPr>
        <w:t>。</w:t>
      </w:r>
    </w:p>
    <w:bookmarkEnd w:id="996"/>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w:t>
      </w:r>
      <w:r>
        <w:rPr>
          <w:rFonts w:hint="eastAsia" w:ascii="宋体" w:hAnsi="宋体" w:eastAsia="宋体" w:cs="宋体"/>
          <w:color w:val="auto"/>
          <w:sz w:val="24"/>
          <w:szCs w:val="24"/>
          <w:highlight w:val="none"/>
          <w:u w:val="single"/>
          <w:lang w:eastAsia="zh-CN"/>
        </w:rPr>
        <w:t>跟审单位（如有）</w:t>
      </w:r>
      <w:r>
        <w:rPr>
          <w:rFonts w:hint="eastAsia" w:ascii="宋体" w:hAnsi="宋体" w:eastAsia="宋体" w:cs="宋体"/>
          <w:color w:val="auto"/>
          <w:sz w:val="24"/>
          <w:szCs w:val="24"/>
          <w:highlight w:val="none"/>
          <w:u w:val="single"/>
        </w:rPr>
        <w:t>、发包人任一方对工程量有异议的，均有权要求承包人进行共同复核或抽样复测。承包人应协助监理人、</w:t>
      </w:r>
      <w:r>
        <w:rPr>
          <w:rFonts w:hint="eastAsia" w:ascii="宋体" w:hAnsi="宋体" w:eastAsia="宋体" w:cs="宋体"/>
          <w:color w:val="auto"/>
          <w:sz w:val="24"/>
          <w:szCs w:val="24"/>
          <w:highlight w:val="none"/>
          <w:u w:val="single"/>
          <w:lang w:eastAsia="zh-CN"/>
        </w:rPr>
        <w:t>跟审单位（如有）</w:t>
      </w:r>
      <w:r>
        <w:rPr>
          <w:rFonts w:hint="eastAsia" w:ascii="宋体" w:hAnsi="宋体" w:eastAsia="宋体" w:cs="宋体"/>
          <w:color w:val="auto"/>
          <w:sz w:val="24"/>
          <w:szCs w:val="24"/>
          <w:highlight w:val="none"/>
          <w:u w:val="single"/>
        </w:rPr>
        <w:t>进行复核或抽样复测，并按监理人要求提供补充计量资料。承包人未按监理人要求参加复核或抽样复测的，监理人复核或修正的工程量视为承包人实际完成的工程量</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按形象进度比例支付</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12.3.5总价合同采用支付分解表计量支付的，是否适用第12.3.4项〔总价合同的计量〕约定进行计量：</w:t>
      </w:r>
      <w:r>
        <w:rPr>
          <w:rFonts w:hint="eastAsia" w:ascii="宋体" w:hAnsi="宋体" w:eastAsia="宋体" w:cs="宋体"/>
          <w:color w:val="auto"/>
          <w:sz w:val="24"/>
          <w:szCs w:val="24"/>
          <w:highlight w:val="none"/>
          <w:u w:val="single"/>
        </w:rPr>
        <w:t>适用</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不采用</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997" w:name="_Toc532375650"/>
      <w:bookmarkStart w:id="998" w:name="_Toc532377386"/>
      <w:bookmarkStart w:id="999" w:name="_Hlk528928289"/>
      <w:r>
        <w:rPr>
          <w:rFonts w:hint="eastAsia" w:ascii="宋体" w:hAnsi="宋体" w:eastAsia="宋体" w:cs="宋体"/>
          <w:color w:val="auto"/>
          <w:sz w:val="24"/>
          <w:szCs w:val="24"/>
          <w:highlight w:val="none"/>
        </w:rPr>
        <w:t>12.4 工程进度款支付</w:t>
      </w:r>
      <w:bookmarkEnd w:id="997"/>
      <w:bookmarkEnd w:id="998"/>
    </w:p>
    <w:bookmarkEnd w:id="999"/>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进度付款申请单应包括下列内容：</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（1）截至本次付款周期已完成工作对应的金额；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（2）根据第 15.3 款〔质量保证金〕约定应扣减的质量保证金；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（3）根据第 11 条〔价格调整〕应增加和扣减的价格调整金额；</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（4）对已签发的进度款支付证书中出现错误的修正，应在本次进度付款中支付或扣除的金额；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（5）根据合同约定承包人应向发包人支付的违约金；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（6）根据合同约定发包人应向承包人支付的违约金和（或）奖励；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（7）根据合同约定应增加和扣减的其他金额；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（8）当月应支付的人工费（工资款）金额。 </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按照合同约定的形象进度的计量约定的时间向监理人提交，并附上已完成工程量报表、经审核的农民工工资发放的情况说明及有关资料</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不采用</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收到完整资料后7天内</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发包人收到监理人报送资料后7天内完成审批并签发进度款支付证书</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监理人、</w:t>
      </w:r>
      <w:r>
        <w:rPr>
          <w:rFonts w:hint="eastAsia" w:ascii="宋体" w:hAnsi="宋体" w:eastAsia="宋体" w:cs="宋体"/>
          <w:color w:val="auto"/>
          <w:sz w:val="24"/>
          <w:szCs w:val="24"/>
          <w:highlight w:val="none"/>
          <w:u w:val="single"/>
          <w:lang w:eastAsia="zh-CN"/>
        </w:rPr>
        <w:t>跟审单位（如有）</w:t>
      </w:r>
      <w:r>
        <w:rPr>
          <w:rFonts w:hint="eastAsia" w:ascii="宋体" w:hAnsi="宋体" w:eastAsia="宋体" w:cs="宋体"/>
          <w:color w:val="auto"/>
          <w:sz w:val="24"/>
          <w:szCs w:val="24"/>
          <w:highlight w:val="none"/>
          <w:u w:val="single"/>
        </w:rPr>
        <w:t>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发包人签发进度款支付证书或临时进度款支付证书，不表明发包人已同意、批准或接受了承包人完成的相应部分的工作。</w:t>
      </w:r>
    </w:p>
    <w:p>
      <w:pPr>
        <w:pageBreakBefore w:val="0"/>
        <w:numPr>
          <w:ilvl w:val="0"/>
          <w:numId w:val="6"/>
        </w:numPr>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进度款支付：</w:t>
      </w:r>
    </w:p>
    <w:p>
      <w:pPr>
        <w:keepNext w:val="0"/>
        <w:keepLines w:val="0"/>
        <w:pageBreakBefore w:val="0"/>
        <w:widowControl/>
        <w:suppressLineNumbers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bookmarkStart w:id="1000" w:name="_Toc532377387"/>
      <w:bookmarkStart w:id="1001" w:name="_Toc351203585"/>
      <w:r>
        <w:rPr>
          <w:rFonts w:hint="eastAsia" w:ascii="宋体" w:hAnsi="宋体" w:eastAsia="宋体" w:cs="宋体"/>
          <w:color w:val="auto"/>
          <w:kern w:val="0"/>
          <w:sz w:val="24"/>
          <w:szCs w:val="24"/>
          <w:highlight w:val="none"/>
          <w:lang w:val="en-US" w:eastAsia="zh-CN" w:bidi="ar"/>
        </w:rPr>
        <w:t>①工程竣工（或交工）验收合格后支付至经审核的已完成合格工程量计价款的</w:t>
      </w:r>
      <w:r>
        <w:rPr>
          <w:rFonts w:hint="eastAsia" w:ascii="宋体" w:hAnsi="宋体" w:cs="宋体"/>
          <w:color w:val="auto"/>
          <w:kern w:val="0"/>
          <w:sz w:val="24"/>
          <w:szCs w:val="24"/>
          <w:highlight w:val="none"/>
          <w:lang w:val="en-US" w:eastAsia="zh-CN" w:bidi="ar"/>
        </w:rPr>
        <w:t>90</w:t>
      </w:r>
      <w:r>
        <w:rPr>
          <w:rFonts w:hint="eastAsia" w:ascii="宋体" w:hAnsi="宋体" w:eastAsia="宋体" w:cs="宋体"/>
          <w:color w:val="auto"/>
          <w:kern w:val="0"/>
          <w:sz w:val="24"/>
          <w:szCs w:val="24"/>
          <w:highlight w:val="none"/>
          <w:lang w:val="en-US" w:eastAsia="zh-CN" w:bidi="ar"/>
        </w:rPr>
        <w:t>%。本工程按重庆市璧山区政府投资项目管理办法（璧发改【2022】265号）和政府结算审核相关规定（璧财发【2021】2号）办理结算，并移交档案资料且通过档案验收合格后支付至审定金额的97%，余下3%作为质量保证金，待24个月的缺陷责任期满后按规定无息退还。</w:t>
      </w:r>
    </w:p>
    <w:p>
      <w:pPr>
        <w:keepNext w:val="0"/>
        <w:keepLines w:val="0"/>
        <w:pageBreakBefore w:val="0"/>
        <w:widowControl/>
        <w:suppressLineNumbers w:val="0"/>
        <w:kinsoku/>
        <w:wordWrap/>
        <w:overflowPunct/>
        <w:topLinePunct w:val="0"/>
        <w:bidi w:val="0"/>
        <w:spacing w:line="500" w:lineRule="exact"/>
        <w:ind w:firstLine="480" w:firstLineChars="20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②农民工工资支付：按《建设工程施工合同》附件8农民工工资补充协议执行。</w:t>
      </w:r>
    </w:p>
    <w:p>
      <w:pPr>
        <w:keepNext w:val="0"/>
        <w:keepLines w:val="0"/>
        <w:pageBreakBefore w:val="0"/>
        <w:widowControl/>
        <w:suppressLineNumbers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12.5支付账户</w:t>
      </w:r>
      <w:bookmarkEnd w:id="1000"/>
      <w:bookmarkEnd w:id="1001"/>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发包人应将合同价款支付至如下承包人指定的开户银行及银行账户：</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收款单位名称：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收款账号：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收款开户银行：</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w:t>
      </w:r>
      <w:r>
        <w:rPr>
          <w:rFonts w:hint="eastAsia" w:ascii="宋体" w:hAnsi="宋体" w:eastAsia="宋体" w:cs="宋体"/>
          <w:color w:val="auto"/>
          <w:kern w:val="0"/>
          <w:sz w:val="24"/>
          <w:szCs w:val="24"/>
          <w:highlight w:val="none"/>
          <w:lang w:val="en-US" w:eastAsia="zh-CN"/>
        </w:rPr>
        <w:t>按行业主管部门的相关规定</w:t>
      </w:r>
      <w:r>
        <w:rPr>
          <w:rFonts w:hint="eastAsia" w:ascii="宋体" w:hAnsi="宋体" w:eastAsia="宋体" w:cs="宋体"/>
          <w:color w:val="auto"/>
          <w:kern w:val="0"/>
          <w:sz w:val="24"/>
          <w:szCs w:val="24"/>
          <w:highlight w:val="none"/>
        </w:rPr>
        <w:t>将人工费（工资款）支付至承包人指定的农民工工资专用账户。</w:t>
      </w:r>
    </w:p>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002" w:name="_Toc351203645"/>
      <w:bookmarkStart w:id="1003" w:name="_Toc532375651"/>
      <w:bookmarkStart w:id="1004" w:name="_Toc532377388"/>
      <w:bookmarkStart w:id="1005" w:name="_Toc296503219"/>
      <w:bookmarkStart w:id="1006" w:name="_Toc297216223"/>
      <w:bookmarkStart w:id="1007" w:name="_Toc292559929"/>
      <w:bookmarkStart w:id="1008" w:name="_Toc292559424"/>
      <w:bookmarkStart w:id="1009" w:name="_Toc297120519"/>
      <w:bookmarkStart w:id="1010" w:name="_Toc296944558"/>
      <w:bookmarkStart w:id="1011" w:name="_Toc296346720"/>
      <w:bookmarkStart w:id="1012" w:name="_Toc304295593"/>
      <w:bookmarkStart w:id="1013" w:name="_Toc312678053"/>
      <w:bookmarkStart w:id="1014" w:name="_Toc296891047"/>
      <w:bookmarkStart w:id="1015" w:name="_Toc297123564"/>
      <w:bookmarkStart w:id="1016" w:name="_Toc303539172"/>
      <w:bookmarkStart w:id="1017" w:name="_Toc297048405"/>
      <w:bookmarkStart w:id="1018" w:name="_Toc300935015"/>
      <w:bookmarkStart w:id="1019" w:name="_Toc296891259"/>
      <w:bookmarkStart w:id="1020" w:name="_Toc296347218"/>
      <w:r>
        <w:rPr>
          <w:rFonts w:hint="eastAsia" w:ascii="宋体" w:hAnsi="宋体" w:eastAsia="宋体" w:cs="宋体"/>
          <w:color w:val="auto"/>
          <w:kern w:val="2"/>
          <w:sz w:val="24"/>
          <w:szCs w:val="24"/>
          <w:highlight w:val="none"/>
        </w:rPr>
        <w:t>13. 验收和工程试车</w:t>
      </w:r>
      <w:bookmarkEnd w:id="1002"/>
      <w:bookmarkEnd w:id="1003"/>
      <w:bookmarkEnd w:id="1004"/>
    </w:p>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21" w:name="_Toc532377389"/>
      <w:bookmarkStart w:id="1022" w:name="_Toc532375652"/>
      <w:bookmarkStart w:id="1023" w:name="_Toc280868704"/>
      <w:bookmarkStart w:id="1024" w:name="_Toc280868705"/>
      <w:bookmarkStart w:id="1025" w:name="_Toc280868706"/>
      <w:bookmarkStart w:id="1026" w:name="_Toc280868707"/>
      <w:bookmarkStart w:id="1027" w:name="_Toc280868708"/>
      <w:bookmarkStart w:id="1028" w:name="_Toc280868709"/>
      <w:bookmarkStart w:id="1029" w:name="_Toc267251473"/>
      <w:bookmarkStart w:id="1030" w:name="_Toc267251471"/>
      <w:bookmarkStart w:id="1031" w:name="_Toc267251476"/>
      <w:bookmarkStart w:id="1032" w:name="_Toc267251472"/>
      <w:bookmarkStart w:id="1033" w:name="_Toc267251475"/>
      <w:bookmarkStart w:id="1034" w:name="_Toc267251470"/>
      <w:bookmarkStart w:id="1035" w:name="_Toc267251474"/>
      <w:r>
        <w:rPr>
          <w:rFonts w:hint="eastAsia" w:ascii="宋体" w:hAnsi="宋体" w:eastAsia="宋体" w:cs="宋体"/>
          <w:color w:val="auto"/>
          <w:sz w:val="24"/>
          <w:szCs w:val="24"/>
          <w:highlight w:val="none"/>
        </w:rPr>
        <w:t>13.1 分部分项工程验收</w:t>
      </w:r>
      <w:bookmarkEnd w:id="1021"/>
      <w:bookmarkEnd w:id="1022"/>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36" w:name="_Toc532377390"/>
      <w:bookmarkStart w:id="1037" w:name="_Toc532375653"/>
      <w:bookmarkStart w:id="1038" w:name="_Toc292559933"/>
      <w:bookmarkStart w:id="1039" w:name="_Toc296347222"/>
      <w:bookmarkStart w:id="1040" w:name="_Toc304295596"/>
      <w:bookmarkStart w:id="1041" w:name="_Toc296944562"/>
      <w:bookmarkStart w:id="1042" w:name="_Toc297048409"/>
      <w:bookmarkStart w:id="1043" w:name="_Toc296346724"/>
      <w:bookmarkStart w:id="1044" w:name="_Toc296891051"/>
      <w:bookmarkStart w:id="1045" w:name="_Toc312678056"/>
      <w:bookmarkStart w:id="1046" w:name="_Toc296503223"/>
      <w:bookmarkStart w:id="1047" w:name="_Toc297120523"/>
      <w:bookmarkStart w:id="1048" w:name="_Toc300935016"/>
      <w:bookmarkStart w:id="1049" w:name="_Toc292559428"/>
      <w:bookmarkStart w:id="1050" w:name="_Toc297123565"/>
      <w:bookmarkStart w:id="1051" w:name="_Toc296891263"/>
      <w:bookmarkStart w:id="1052" w:name="_Toc303539173"/>
      <w:bookmarkStart w:id="1053" w:name="_Toc297216224"/>
      <w:r>
        <w:rPr>
          <w:rFonts w:hint="eastAsia" w:ascii="宋体" w:hAnsi="宋体" w:eastAsia="宋体" w:cs="宋体"/>
          <w:color w:val="auto"/>
          <w:sz w:val="24"/>
          <w:szCs w:val="24"/>
          <w:highlight w:val="none"/>
        </w:rPr>
        <w:t>13.2 竣工验收</w:t>
      </w:r>
      <w:bookmarkEnd w:id="1036"/>
      <w:bookmarkEnd w:id="1037"/>
    </w:p>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bookmarkEnd w:id="1023"/>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关于竣工验收程序的约定：工程完工且符合下列条件时，承包人可向发包人提供竣工报告，并要求验收：</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（1）除发包人同意的甩项工作和缺陷修补工作外，合同范围内的全部工程以及有关工作，包括合同要求的试验、试运行以及检验均已完成，并符合合同要求；</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（2）已按合同约定编制了甩项工作和缺陷修补工作清单以及相应的施工计划；</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（3）已按合同约定的内容和份数备齐竣工资料。</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工程竣工及竣工资料：</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（3）承包人提供竣工资料的约定：</w:t>
      </w:r>
      <w:r>
        <w:rPr>
          <w:rFonts w:hint="eastAsia" w:ascii="宋体" w:hAnsi="宋体" w:eastAsia="宋体" w:cs="宋体"/>
          <w:color w:val="auto"/>
          <w:sz w:val="24"/>
          <w:szCs w:val="24"/>
          <w:highlight w:val="none"/>
          <w:u w:val="single"/>
        </w:rPr>
        <w:t>承包人提供纸质版竣工图三套，电子版竣工图二套（刻光盘）</w:t>
      </w:r>
      <w:r>
        <w:rPr>
          <w:rFonts w:hint="eastAsia" w:ascii="宋体" w:hAnsi="宋体" w:eastAsia="宋体" w:cs="宋体"/>
          <w:color w:val="auto"/>
          <w:sz w:val="24"/>
          <w:szCs w:val="24"/>
          <w:highlight w:val="none"/>
        </w:rPr>
        <w:t>。</w:t>
      </w:r>
    </w:p>
    <w:bookmarkEnd w:id="1024"/>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 移交、接收全部与部分工程</w:t>
      </w:r>
    </w:p>
    <w:bookmarkEnd w:id="1025"/>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color w:val="auto"/>
          <w:sz w:val="24"/>
          <w:szCs w:val="24"/>
          <w:highlight w:val="none"/>
          <w:u w:val="single"/>
        </w:rPr>
        <w:t>颁发工程接收证书后7天内完成工程的移交</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发包人未按合同约定接收全部或部分工程的，违约金的计算方法为：发包人自应当接收工程之日起承担工程照管、成品保护、保管等与工程有关的各项费用。</w:t>
      </w:r>
    </w:p>
    <w:bookmarkEnd w:id="1026"/>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因承包人自身原因未按时移交工程的，违约金的计算方法为：</w:t>
      </w:r>
      <w:r>
        <w:rPr>
          <w:rFonts w:hint="eastAsia" w:ascii="宋体" w:hAnsi="宋体" w:eastAsia="宋体" w:cs="宋体"/>
          <w:color w:val="auto"/>
          <w:sz w:val="24"/>
          <w:szCs w:val="24"/>
          <w:highlight w:val="none"/>
          <w:u w:val="single"/>
        </w:rPr>
        <w:t>承包人应承担工程照管、成品保护、保管等与工程有关的各项费用，并按经审定结算金额的0.5‰/天支付违约金</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54" w:name="_Toc532375654"/>
      <w:bookmarkStart w:id="1055" w:name="_Toc532377391"/>
      <w:r>
        <w:rPr>
          <w:rFonts w:hint="eastAsia" w:ascii="宋体" w:hAnsi="宋体" w:eastAsia="宋体" w:cs="宋体"/>
          <w:color w:val="auto"/>
          <w:sz w:val="24"/>
          <w:szCs w:val="24"/>
          <w:highlight w:val="none"/>
        </w:rPr>
        <w:t>13.3 工程试车</w:t>
      </w:r>
      <w:bookmarkEnd w:id="1054"/>
      <w:bookmarkEnd w:id="1055"/>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按通用合同条款执行</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56" w:name="_Toc532375655"/>
      <w:bookmarkStart w:id="1057" w:name="_Toc532377392"/>
      <w:r>
        <w:rPr>
          <w:rFonts w:hint="eastAsia" w:ascii="宋体" w:hAnsi="宋体" w:eastAsia="宋体" w:cs="宋体"/>
          <w:color w:val="auto"/>
          <w:sz w:val="24"/>
          <w:szCs w:val="24"/>
          <w:highlight w:val="none"/>
        </w:rPr>
        <w:t>13.6 竣工退场</w:t>
      </w:r>
      <w:bookmarkEnd w:id="1056"/>
      <w:bookmarkEnd w:id="1057"/>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eastAsia="宋体" w:cs="宋体"/>
          <w:color w:val="auto"/>
          <w:sz w:val="24"/>
          <w:szCs w:val="24"/>
          <w:highlight w:val="none"/>
        </w:rPr>
        <w:t>。</w:t>
      </w:r>
    </w:p>
    <w:bookmarkEnd w:id="1027"/>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058" w:name="_Toc532377393"/>
      <w:bookmarkStart w:id="1059" w:name="_Toc532375656"/>
      <w:bookmarkStart w:id="1060" w:name="_Toc351203646"/>
      <w:r>
        <w:rPr>
          <w:rFonts w:hint="eastAsia" w:ascii="宋体" w:hAnsi="宋体" w:eastAsia="宋体" w:cs="宋体"/>
          <w:color w:val="auto"/>
          <w:kern w:val="2"/>
          <w:sz w:val="24"/>
          <w:szCs w:val="24"/>
          <w:highlight w:val="none"/>
        </w:rPr>
        <w:t>14. 竣工结算</w:t>
      </w:r>
      <w:bookmarkEnd w:id="1058"/>
      <w:bookmarkEnd w:id="1059"/>
      <w:bookmarkEnd w:id="1060"/>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61" w:name="_Toc532375657"/>
      <w:bookmarkStart w:id="1062" w:name="_Toc532377394"/>
      <w:r>
        <w:rPr>
          <w:rFonts w:hint="eastAsia" w:ascii="宋体" w:hAnsi="宋体" w:eastAsia="宋体" w:cs="宋体"/>
          <w:color w:val="auto"/>
          <w:sz w:val="24"/>
          <w:szCs w:val="24"/>
          <w:highlight w:val="none"/>
        </w:rPr>
        <w:t>14.1 竣工结算申请</w:t>
      </w:r>
      <w:bookmarkEnd w:id="1061"/>
      <w:bookmarkEnd w:id="1062"/>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w:t>
      </w:r>
      <w:bookmarkStart w:id="1063" w:name="_Hlk524297994"/>
      <w:r>
        <w:rPr>
          <w:rFonts w:hint="eastAsia" w:ascii="宋体" w:hAnsi="宋体" w:eastAsia="宋体" w:cs="宋体"/>
          <w:color w:val="auto"/>
          <w:sz w:val="24"/>
          <w:szCs w:val="24"/>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竣工结算申请单包括但不限于以下内容：</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（1）竣工结算合同价格；</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（2）变更增减金额；</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（3）现场签证增减金额；</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（4）索赔增减金额；</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（5）奖励、罚金及违约金；</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（6）发包人已支付承包人的款项；</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（7）应扣留的质量保证金；</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（8）发包人应支付承包人的合同价款。</w:t>
      </w:r>
      <w:bookmarkEnd w:id="1063"/>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64" w:name="_Toc532375658"/>
      <w:bookmarkStart w:id="1065" w:name="_Toc532377395"/>
      <w:r>
        <w:rPr>
          <w:rFonts w:hint="eastAsia" w:ascii="宋体" w:hAnsi="宋体" w:eastAsia="宋体" w:cs="宋体"/>
          <w:color w:val="auto"/>
          <w:sz w:val="24"/>
          <w:szCs w:val="24"/>
          <w:highlight w:val="none"/>
        </w:rPr>
        <w:t>14.2 竣工结算审核</w:t>
      </w:r>
      <w:bookmarkEnd w:id="1064"/>
      <w:bookmarkEnd w:id="1065"/>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 竣工结算办法</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14.2.1.1计量原则</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按照第12.3.1项〔计量原则〕约定执行。</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14.2.1.2计价原则</w:t>
      </w:r>
    </w:p>
    <w:p>
      <w:pPr>
        <w:pageBreakBefore w:val="0"/>
        <w:kinsoku/>
        <w:wordWrap/>
        <w:overflowPunct/>
        <w:topLinePunct w:val="0"/>
        <w:bidi w:val="0"/>
        <w:spacing w:line="500" w:lineRule="exact"/>
        <w:ind w:right="105" w:rightChars="50" w:firstLine="480" w:firstLineChars="200"/>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竣工结算价=Σ分部分项工程结算价+Σ措施项目结算价+Σ其他项目结算价±Σ新增或变更项目结算价±Σ价格调整（如有）±Σ索赔与现场签证结算价±Σ奖励、罚金、违约金及其他费用+Σ规费+Σ税金。分部分项工程量清单中全费用单价清单价格部分（若有）已包含措施费、规费、税金等所有一切费用，结算时不得重复计算。</w:t>
      </w:r>
      <w:r>
        <w:rPr>
          <w:rFonts w:hint="eastAsia" w:ascii="宋体" w:hAnsi="宋体" w:eastAsia="宋体" w:cs="宋体"/>
          <w:b/>
          <w:bCs/>
          <w:color w:val="auto"/>
          <w:kern w:val="2"/>
          <w:sz w:val="24"/>
          <w:szCs w:val="24"/>
          <w:highlight w:val="none"/>
          <w:lang w:val="en-US" w:eastAsia="zh-CN" w:bidi="ar-SA"/>
        </w:rPr>
        <w:t>依据合同约定的计价原则，总价下浮5%作为最终结算金额。</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具体结算办法如下：</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（1）分部分项工程：</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已标价工程量清单子目综合单价和全费用单价实行单价包干（即分部分项工程量清单项目按成交单价实行综合单价或全费用单价包干）。工程结算时，以成交供应商在本项目响应文件中分部分项工程量清单综合单价或全费用单价为结算单价依据，按照竣工图和专用合同条款的第12.3.1项〔计量原则〕约定确定的工程量乘以相应的已标价工程量清单子目综合单价或全费用单价确定该部分分部分项工程结算价；（注：该部分成交人的成交综合单价或全费用单价不因工程变更、工程量增减等原因调整。）</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②需要对没有填入综合单价、全费用单价或总额价的子目项目进行扣减的，第12.3.1项〔计量原则〕约定确定的工程量乘以按照10.4.1〔变更估价原则〕（3）目约定的综合单价进行扣减；</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③合同、已标价工程量清单和磋商文件另有约定的，按照其约定执行，但合同中约定的原则不能与磋商文件实质性条款相违背。</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（2）措施项目：</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①施工组织措施费</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施工组织措施项目结算金额在项目成交施工组织措施项目费总金额范围内按成交费率进行结算，超出成交施工组织措施项目费总金额的部分不予结算。</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施工组织措施费和建设工程竣工方案编制费的计算基础以《重庆市建设工程费用定额》（CQFYDE—2018）相关规定为准。</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文明施工费用按渝建发〔2014〕25号、《重庆市建设工程费用定额》（CQFYDE-2018）、渝建〔2019〕143号文的相关规定进行结算。建设施工现场形象品质提升安全文明施工费按《重庆市住房和城乡建设委员会关于调整建设施工现场形象品质提升安全文明施工费计取的通知》（渝建管〔2020〕97号）文件执行。</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②施工技术措施费</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成交人响应报价的综合单价乘以《建设工程工程量清单计价规范》（GB50500-2013）、《重庆市建设工程工程量清单计价规则》（CQJJGZ-2013）约定的计量规则计算的实际合格工程量办理结算。</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（注：施工技术措施清单中以项目编码、项目名称、项目特征、工程内容、工程量及计量单位列项的项目，成交单价不因工程变更、工程量增减等原因改变。）</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（3）其他项目：</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①暂估价项目：</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1）对于不属于依法必须招标的暂估价项目：</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材料（工程设备）暂估价：按照第12.3.1项〔计量原则〕约定及对应定额消耗量确定的数量乘以发包人牵头会同监理人根据市场行情认质核价确定的价格进行结算。</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专业工程暂估价按发包人审定的价格进行结算（发包人审定的价格必须经璧山区政府批准）。</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2）对于依法必须招标的暂估价项目：达到招标规模标准的暂估价内容，包括专业工程暂估价和材料设备暂估价均应招标确定，并按暂估价磋商文件约定结算。</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②计日工：按据实签证结算。</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③总承包服务费：总承包服务费包干使用，结算时不作调整。</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（4）新增或变更项目综合单价的结算：</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①在已标价工程量清单中有相同子目的采用该子目单价。</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②在已标价工程量清单中有类似子目的可以参照类似子目的单价（由实施采购人认定）。</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③在已标价工程量清单中无相同或类似子目的：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1）执行的规范与定额：</w:t>
      </w:r>
      <w:r>
        <w:rPr>
          <w:rFonts w:hint="eastAsia" w:ascii="宋体" w:hAnsi="宋体" w:eastAsia="宋体" w:cs="宋体"/>
          <w:color w:val="auto"/>
          <w:sz w:val="24"/>
          <w:szCs w:val="24"/>
          <w:highlight w:val="none"/>
          <w:lang w:val="zh-CN" w:eastAsia="zh-CN"/>
        </w:rPr>
        <w:t>区公共资源交易监督管理委员会《关于印发璧山区政府投资项目计价原则(2023年第3期)的通知》(璧公管办〔2023〕5号)、</w:t>
      </w:r>
      <w:r>
        <w:rPr>
          <w:rFonts w:hint="eastAsia" w:ascii="宋体" w:hAnsi="宋体" w:eastAsia="宋体" w:cs="宋体"/>
          <w:color w:val="auto"/>
          <w:kern w:val="2"/>
          <w:sz w:val="24"/>
          <w:szCs w:val="24"/>
          <w:highlight w:val="none"/>
          <w:lang w:val="en-US" w:eastAsia="zh-CN" w:bidi="ar-SA"/>
        </w:rPr>
        <w:t>《建设工程工程量清单计价规范》（GB50500－2013）、《重庆市建设工程工程量计算规则》（CQJLGZ-2013）、《重庆市建设工程工程量清单计价规则》（CQJJ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2018年《重庆市装配式建筑工程计价定额》、2018年《重庆市建设工程费用定额》（CQFYDE-2018）、重庆市住房城乡建委《关于适用增值税新税率调整建设工程计价依据的通知》（渝建〔2019〕143号）及相关配套文件。</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材料及人工价格：增减工程材料价格首先按开标当期《璧山区政府投资项目计价原则》中约定的由重庆市璧山区住房和城乡建设委员会发布的价格执行，其次按开标当期重庆市住房和城乡建设工程造价总站主办的《重庆工程造价》发布的项目所在地的信息价执行；开标当期《璧山区政府投资项目计价原则》中约定的由重庆市璧山区住房和城乡建设委员会发布的价格与重庆市住房和城乡建设工程造价总站主办的《重庆工程造价》中没有的，承包人响应报价中有的，按承包人响应报价中相同材料单价的最低值执行；开标当期《璧山区政府投资项目计价原则》中约定的由重庆市璧山区住房和城乡建设委员会发布的价格、重庆市住房和城乡建设工程造价总站主办的《重庆工程造价》和承包人响应报价没有的，由承包人申报，发包人牵头会同监理人根据市场行情认质核价，并经发包人最终确定为准。增减工程人工价格按重庆2018年定额基价执行。材料人工执行时接受璧山区标后监管机构的监督。</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3）结算下浮比例为：（总价最高限价-成交总价）÷总价最高限价。</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增减工程按《重庆市璧山区政府投资项目管理办法（2022年修订版）》（璧发改〔2022〕265号）规定报批审核同意后实施，由业主单位、施工单位、监理单位按相关规范签证，并接受重庆市璧山区标后监管机构的监督。</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（5）价格调整：按照第11条〔价格调整〕约定约定执行。</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（6）索赔与现场签证：</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1）索赔：按磋商文件及合同约定执行，该约定不违背相关法律法规。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2）现场签证：按照第10.4.1项〔变更估价原则〕和第14.2.1项〔竣工结算办法〕约定执行。</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（7）奖励、罚金、违约金及其他费用：按磋商文件及合同约定执行，该约定不违背相关法律法规。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（8）规费：已标价工程量清单中规费费用按《重庆市建设工程费用定额》（CQFYDE-2018）执行。</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14.2.1.3工程竣工结算价</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算结果为准。</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 竣工结算审核期限</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监理人审核竣工付款申请单的期限：</w:t>
      </w:r>
      <w:r>
        <w:rPr>
          <w:rFonts w:hint="eastAsia" w:ascii="宋体" w:hAnsi="宋体" w:eastAsia="宋体" w:cs="宋体"/>
          <w:color w:val="auto"/>
          <w:sz w:val="24"/>
          <w:szCs w:val="24"/>
          <w:highlight w:val="none"/>
          <w:u w:val="single"/>
          <w:lang w:val="en-US" w:eastAsia="zh-CN"/>
        </w:rPr>
        <w:t>在收到竣工结算申请单后10天内</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发包人审核竣工付款申请单的期限：</w:t>
      </w:r>
      <w:r>
        <w:rPr>
          <w:rFonts w:hint="eastAsia" w:ascii="宋体" w:hAnsi="宋体" w:eastAsia="宋体" w:cs="宋体"/>
          <w:color w:val="auto"/>
          <w:sz w:val="24"/>
          <w:szCs w:val="24"/>
          <w:highlight w:val="none"/>
          <w:u w:val="single"/>
          <w:lang w:val="en-US" w:eastAsia="zh-CN"/>
        </w:rPr>
        <w:t>收到监理人提交的经审核的竣工结算申请单后10天内</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完成竣工付款申请单审核后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 按照第20条〔争议解决〕约定处理。</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66" w:name="_Toc532377396"/>
      <w:bookmarkStart w:id="1067" w:name="_Toc532375659"/>
      <w:r>
        <w:rPr>
          <w:rFonts w:hint="eastAsia" w:ascii="宋体" w:hAnsi="宋体" w:eastAsia="宋体" w:cs="宋体"/>
          <w:color w:val="auto"/>
          <w:sz w:val="24"/>
          <w:szCs w:val="24"/>
          <w:highlight w:val="none"/>
        </w:rPr>
        <w:t>14.4 最终结清</w:t>
      </w:r>
      <w:bookmarkEnd w:id="1066"/>
      <w:bookmarkEnd w:id="1067"/>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3份</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r>
        <w:rPr>
          <w:rFonts w:hint="eastAsia" w:ascii="宋体" w:hAnsi="宋体" w:eastAsia="宋体" w:cs="宋体"/>
          <w:color w:val="auto"/>
          <w:sz w:val="24"/>
          <w:szCs w:val="24"/>
          <w:highlight w:val="none"/>
          <w:u w:val="single"/>
        </w:rPr>
        <w:t>缺陷责任期终止证书颁发后14天内</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发包人收到完整资料后14天内完成审批并颁发最终结清证书</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颁发最终结清证书的14天内</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本条补充14.5款：</w:t>
      </w:r>
    </w:p>
    <w:bookmarkEnd w:id="1028"/>
    <w:bookmarkEnd w:id="1029"/>
    <w:bookmarkEnd w:id="1030"/>
    <w:bookmarkEnd w:id="1031"/>
    <w:bookmarkEnd w:id="1032"/>
    <w:bookmarkEnd w:id="1033"/>
    <w:bookmarkEnd w:id="1034"/>
    <w:bookmarkEnd w:id="1035"/>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68" w:name="_Toc532375660"/>
      <w:bookmarkStart w:id="1069" w:name="_Toc532377397"/>
      <w:r>
        <w:rPr>
          <w:rFonts w:hint="eastAsia" w:ascii="宋体" w:hAnsi="宋体" w:eastAsia="宋体" w:cs="宋体"/>
          <w:color w:val="auto"/>
          <w:sz w:val="24"/>
          <w:szCs w:val="24"/>
          <w:highlight w:val="none"/>
        </w:rPr>
        <w:t>14.5 逾期办理或不配合办理竣工结算的处理</w:t>
      </w:r>
      <w:bookmarkEnd w:id="1068"/>
      <w:bookmarkEnd w:id="1069"/>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有下列情形之一的，视为承包人放弃与发包人共同办理竣工结算的权利，发包人有权会同</w:t>
      </w:r>
      <w:r>
        <w:rPr>
          <w:rFonts w:hint="eastAsia" w:ascii="宋体" w:hAnsi="宋体" w:eastAsia="宋体" w:cs="宋体"/>
          <w:color w:val="auto"/>
          <w:sz w:val="24"/>
          <w:szCs w:val="24"/>
          <w:highlight w:val="none"/>
          <w:lang w:eastAsia="zh-CN"/>
        </w:rPr>
        <w:t>跟审单位（如有）</w:t>
      </w:r>
      <w:r>
        <w:rPr>
          <w:rFonts w:hint="eastAsia" w:ascii="宋体" w:hAnsi="宋体" w:eastAsia="宋体" w:cs="宋体"/>
          <w:color w:val="auto"/>
          <w:sz w:val="24"/>
          <w:szCs w:val="24"/>
          <w:highlight w:val="none"/>
        </w:rPr>
        <w:t>、监理人根据有效资料共同确定竣工结算金额。</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（1）承包人逾期未报送竣工结算资料，亦未获得发包人批准延期报送，经发包人两</w:t>
      </w:r>
      <w:bookmarkStart w:id="1070" w:name="_Hlk529133622"/>
      <w:r>
        <w:rPr>
          <w:rFonts w:hint="eastAsia" w:ascii="宋体" w:hAnsi="宋体" w:eastAsia="宋体" w:cs="宋体"/>
          <w:color w:val="auto"/>
          <w:sz w:val="24"/>
          <w:szCs w:val="24"/>
          <w:highlight w:val="none"/>
        </w:rPr>
        <w:t>次书面催告仍未在限期内报送的</w:t>
      </w:r>
      <w:bookmarkEnd w:id="1070"/>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（3）承包人不配合发包人、</w:t>
      </w:r>
      <w:r>
        <w:rPr>
          <w:rFonts w:hint="eastAsia" w:ascii="宋体" w:hAnsi="宋体" w:eastAsia="宋体" w:cs="宋体"/>
          <w:color w:val="auto"/>
          <w:sz w:val="24"/>
          <w:szCs w:val="24"/>
          <w:highlight w:val="none"/>
          <w:lang w:eastAsia="zh-CN"/>
        </w:rPr>
        <w:t>跟审单位（如有）</w:t>
      </w:r>
      <w:r>
        <w:rPr>
          <w:rFonts w:hint="eastAsia" w:ascii="宋体" w:hAnsi="宋体" w:eastAsia="宋体" w:cs="宋体"/>
          <w:color w:val="auto"/>
          <w:sz w:val="24"/>
          <w:szCs w:val="24"/>
          <w:highlight w:val="none"/>
        </w:rPr>
        <w:t>、监理人、发包人委托的工程造价咨询服务单位办理竣工结算的，经发包人两次书面函告仍未改正的。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eastAsia="宋体" w:cs="宋体"/>
          <w:color w:val="auto"/>
          <w:sz w:val="24"/>
          <w:szCs w:val="24"/>
          <w:highlight w:val="none"/>
        </w:rPr>
        <w:t>。</w:t>
      </w:r>
    </w:p>
    <w:bookmarkEnd w:id="769"/>
    <w:bookmarkEnd w:id="770"/>
    <w:bookmarkEnd w:id="771"/>
    <w:bookmarkEnd w:id="772"/>
    <w:bookmarkEnd w:id="773"/>
    <w:bookmarkEnd w:id="774"/>
    <w:bookmarkEnd w:id="775"/>
    <w:bookmarkEnd w:id="776"/>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071" w:name="_Toc532377398"/>
      <w:bookmarkStart w:id="1072" w:name="_Toc532375661"/>
      <w:bookmarkStart w:id="1073" w:name="_Toc351203647"/>
      <w:bookmarkStart w:id="1074" w:name="_Toc267251483"/>
      <w:bookmarkStart w:id="1075" w:name="_Toc280868717"/>
      <w:bookmarkStart w:id="1076" w:name="_Toc280868718"/>
      <w:r>
        <w:rPr>
          <w:rFonts w:hint="eastAsia" w:ascii="宋体" w:hAnsi="宋体" w:eastAsia="宋体" w:cs="宋体"/>
          <w:color w:val="auto"/>
          <w:kern w:val="2"/>
          <w:sz w:val="24"/>
          <w:szCs w:val="24"/>
          <w:highlight w:val="none"/>
        </w:rPr>
        <w:t>15. 缺陷责任期与保修</w:t>
      </w:r>
      <w:bookmarkEnd w:id="1071"/>
      <w:bookmarkEnd w:id="1072"/>
      <w:bookmarkEnd w:id="1073"/>
    </w:p>
    <w:bookmarkEnd w:id="1074"/>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77" w:name="_Toc532375662"/>
      <w:bookmarkStart w:id="1078" w:name="_Toc532377399"/>
      <w:r>
        <w:rPr>
          <w:rFonts w:hint="eastAsia" w:ascii="宋体" w:hAnsi="宋体" w:eastAsia="宋体" w:cs="宋体"/>
          <w:color w:val="auto"/>
          <w:sz w:val="24"/>
          <w:szCs w:val="24"/>
          <w:highlight w:val="none"/>
        </w:rPr>
        <w:t>15.3 质量保证金</w:t>
      </w:r>
      <w:bookmarkEnd w:id="1077"/>
      <w:bookmarkEnd w:id="1078"/>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rPr>
        <w:t>1）</w:t>
      </w:r>
      <w:r>
        <w:rPr>
          <w:rFonts w:hint="eastAsia" w:ascii="宋体" w:hAnsi="宋体" w:eastAsia="宋体" w:cs="宋体"/>
          <w:color w:val="auto"/>
          <w:sz w:val="24"/>
          <w:szCs w:val="24"/>
          <w:highlight w:val="none"/>
          <w:u w:val="none"/>
          <w:lang w:val="en-US" w:eastAsia="zh-CN"/>
        </w:rPr>
        <w:t>缴纳形式：</w:t>
      </w:r>
      <w:r>
        <w:rPr>
          <w:rFonts w:hint="eastAsia" w:ascii="宋体" w:hAnsi="宋体" w:eastAsia="宋体" w:cs="宋体"/>
          <w:color w:val="auto"/>
          <w:kern w:val="0"/>
          <w:sz w:val="24"/>
          <w:szCs w:val="24"/>
          <w:highlight w:val="none"/>
          <w:u w:val="none"/>
          <w:lang w:val="en-US" w:eastAsia="zh-CN"/>
        </w:rPr>
        <w:t>质量保证金</w:t>
      </w:r>
      <w:r>
        <w:rPr>
          <w:rFonts w:hint="eastAsia" w:ascii="宋体" w:hAnsi="宋体" w:eastAsia="宋体" w:cs="宋体"/>
          <w:color w:val="auto"/>
          <w:kern w:val="0"/>
          <w:sz w:val="24"/>
          <w:szCs w:val="24"/>
          <w:highlight w:val="none"/>
          <w:u w:val="none"/>
        </w:rPr>
        <w:t>保函包括银行保函、保证保险和担保保函</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其示范文本详见合同附件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承包人提交的质量保证金</w:t>
      </w:r>
      <w:r>
        <w:rPr>
          <w:rFonts w:hint="eastAsia" w:ascii="宋体" w:hAnsi="宋体" w:eastAsia="宋体" w:cs="宋体"/>
          <w:color w:val="auto"/>
          <w:kern w:val="0"/>
          <w:sz w:val="24"/>
          <w:szCs w:val="24"/>
          <w:highlight w:val="none"/>
          <w:u w:val="none"/>
        </w:rPr>
        <w:t>保函</w:t>
      </w:r>
      <w:r>
        <w:rPr>
          <w:rFonts w:hint="eastAsia" w:ascii="宋体" w:hAnsi="宋体" w:eastAsia="宋体" w:cs="宋体"/>
          <w:color w:val="auto"/>
          <w:kern w:val="0"/>
          <w:sz w:val="24"/>
          <w:szCs w:val="24"/>
          <w:highlight w:val="none"/>
          <w:u w:val="none"/>
          <w:lang w:val="en-US" w:eastAsia="zh-CN"/>
        </w:rPr>
        <w:t>应</w:t>
      </w:r>
      <w:r>
        <w:rPr>
          <w:rFonts w:hint="eastAsia" w:ascii="宋体" w:hAnsi="宋体" w:eastAsia="宋体" w:cs="宋体"/>
          <w:color w:val="auto"/>
          <w:kern w:val="0"/>
          <w:sz w:val="24"/>
          <w:szCs w:val="24"/>
          <w:highlight w:val="none"/>
          <w:u w:val="none"/>
        </w:rPr>
        <w:t>严格执行</w:t>
      </w:r>
      <w:r>
        <w:rPr>
          <w:rFonts w:hint="eastAsia" w:ascii="宋体" w:hAnsi="宋体" w:eastAsia="宋体" w:cs="宋体"/>
          <w:color w:val="auto"/>
          <w:kern w:val="0"/>
          <w:sz w:val="24"/>
          <w:szCs w:val="24"/>
          <w:highlight w:val="none"/>
          <w:u w:val="none"/>
          <w:lang w:val="en-US" w:eastAsia="zh-CN"/>
        </w:rPr>
        <w:t>其</w:t>
      </w:r>
      <w:r>
        <w:rPr>
          <w:rFonts w:hint="eastAsia" w:ascii="宋体" w:hAnsi="宋体" w:eastAsia="宋体" w:cs="宋体"/>
          <w:color w:val="auto"/>
          <w:kern w:val="0"/>
          <w:sz w:val="24"/>
          <w:szCs w:val="24"/>
          <w:highlight w:val="none"/>
          <w:u w:val="none"/>
        </w:rPr>
        <w:t>示范文本，不得对示范文本中的实质性内容进行修改</w:t>
      </w:r>
      <w:r>
        <w:rPr>
          <w:rFonts w:hint="eastAsia" w:ascii="宋体" w:hAnsi="宋体" w:eastAsia="宋体" w:cs="宋体"/>
          <w:color w:val="auto"/>
          <w:sz w:val="24"/>
          <w:szCs w:val="24"/>
          <w:highlight w:val="none"/>
          <w:u w:val="none"/>
          <w:lang w:eastAsia="zh-CN"/>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2）具体要求：</w:t>
      </w:r>
      <w:r>
        <w:rPr>
          <w:rFonts w:hint="eastAsia" w:ascii="宋体" w:hAnsi="宋体" w:eastAsia="宋体" w:cs="宋体"/>
          <w:color w:val="auto"/>
          <w:kern w:val="0"/>
          <w:sz w:val="24"/>
          <w:szCs w:val="24"/>
          <w:highlight w:val="none"/>
          <w:lang w:val="en-US" w:eastAsia="zh-CN"/>
        </w:rPr>
        <w:t>质量保证金</w:t>
      </w:r>
      <w:r>
        <w:rPr>
          <w:rFonts w:hint="eastAsia" w:ascii="宋体" w:hAnsi="宋体" w:eastAsia="宋体" w:cs="宋体"/>
          <w:color w:val="auto"/>
          <w:kern w:val="0"/>
          <w:sz w:val="24"/>
          <w:szCs w:val="24"/>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质量保证金</w:t>
      </w:r>
      <w:r>
        <w:rPr>
          <w:rFonts w:hint="eastAsia" w:ascii="宋体" w:hAnsi="宋体" w:eastAsia="宋体" w:cs="宋体"/>
          <w:color w:val="auto"/>
          <w:kern w:val="0"/>
          <w:sz w:val="24"/>
          <w:szCs w:val="24"/>
          <w:highlight w:val="none"/>
        </w:rPr>
        <w:t>保函</w:t>
      </w:r>
      <w:r>
        <w:rPr>
          <w:rFonts w:hint="eastAsia" w:ascii="宋体" w:hAnsi="宋体" w:eastAsia="宋体" w:cs="宋体"/>
          <w:color w:val="auto"/>
          <w:kern w:val="0"/>
          <w:sz w:val="24"/>
          <w:szCs w:val="24"/>
          <w:highlight w:val="none"/>
          <w:lang w:eastAsia="zh-CN"/>
        </w:rPr>
        <w:t>应合法合规，符合招投标行政监督部门、行业主管部门和金融监管部门的相关规定，满足磋商文件约定要求。</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rPr>
        <w:t>应选择在渝依法设立总部或者设有分支机构的金融机构开具</w:t>
      </w:r>
      <w:r>
        <w:rPr>
          <w:rFonts w:hint="eastAsia" w:ascii="宋体" w:hAnsi="宋体" w:eastAsia="宋体" w:cs="宋体"/>
          <w:color w:val="auto"/>
          <w:kern w:val="0"/>
          <w:sz w:val="24"/>
          <w:szCs w:val="24"/>
          <w:highlight w:val="none"/>
          <w:lang w:val="en-US" w:eastAsia="zh-CN"/>
        </w:rPr>
        <w:t>质量保证金</w:t>
      </w:r>
      <w:r>
        <w:rPr>
          <w:rFonts w:hint="eastAsia" w:ascii="宋体" w:hAnsi="宋体" w:eastAsia="宋体" w:cs="宋体"/>
          <w:color w:val="auto"/>
          <w:kern w:val="0"/>
          <w:sz w:val="24"/>
          <w:szCs w:val="24"/>
          <w:highlight w:val="none"/>
        </w:rPr>
        <w:t>保函</w:t>
      </w:r>
      <w:r>
        <w:rPr>
          <w:rFonts w:hint="eastAsia" w:ascii="宋体" w:hAnsi="宋体" w:eastAsia="宋体" w:cs="宋体"/>
          <w:color w:val="auto"/>
          <w:kern w:val="0"/>
          <w:sz w:val="24"/>
          <w:szCs w:val="24"/>
          <w:highlight w:val="none"/>
          <w:lang w:val="en-US" w:eastAsia="zh-CN"/>
        </w:rPr>
        <w:t>（包括纸质保函或电子保函）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质量保证金</w:t>
      </w:r>
      <w:r>
        <w:rPr>
          <w:rFonts w:hint="eastAsia" w:ascii="宋体" w:hAnsi="宋体" w:eastAsia="宋体" w:cs="宋体"/>
          <w:color w:val="auto"/>
          <w:kern w:val="0"/>
          <w:sz w:val="24"/>
          <w:szCs w:val="24"/>
          <w:highlight w:val="none"/>
        </w:rPr>
        <w:t>保函</w:t>
      </w:r>
      <w:r>
        <w:rPr>
          <w:rFonts w:hint="eastAsia" w:ascii="宋体" w:hAnsi="宋体" w:eastAsia="宋体" w:cs="宋体"/>
          <w:color w:val="auto"/>
          <w:kern w:val="0"/>
          <w:sz w:val="24"/>
          <w:szCs w:val="24"/>
          <w:highlight w:val="none"/>
          <w:lang w:val="en-US" w:eastAsia="zh-CN"/>
        </w:rPr>
        <w:t>为纸质保函的，纸质保函应注明在</w:t>
      </w:r>
      <w:r>
        <w:rPr>
          <w:rFonts w:hint="eastAsia" w:ascii="宋体" w:hAnsi="宋体" w:eastAsia="宋体" w:cs="宋体"/>
          <w:color w:val="auto"/>
          <w:kern w:val="0"/>
          <w:sz w:val="24"/>
          <w:szCs w:val="24"/>
          <w:highlight w:val="none"/>
        </w:rPr>
        <w:t>重庆市辖区范围内的核验地址和核验方式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并确保该纸质保函能在开立人在渝的总部或者分支机构进行核验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承包人对所提交的质量保证金</w:t>
      </w:r>
      <w:r>
        <w:rPr>
          <w:rFonts w:hint="eastAsia" w:ascii="宋体" w:hAnsi="宋体" w:eastAsia="宋体" w:cs="宋体"/>
          <w:color w:val="auto"/>
          <w:kern w:val="0"/>
          <w:sz w:val="24"/>
          <w:szCs w:val="24"/>
          <w:highlight w:val="none"/>
        </w:rPr>
        <w:t>保函</w:t>
      </w:r>
      <w:r>
        <w:rPr>
          <w:rFonts w:hint="eastAsia" w:ascii="宋体" w:hAnsi="宋体" w:eastAsia="宋体" w:cs="宋体"/>
          <w:color w:val="auto"/>
          <w:kern w:val="0"/>
          <w:sz w:val="24"/>
          <w:szCs w:val="24"/>
          <w:highlight w:val="none"/>
          <w:lang w:val="en-US" w:eastAsia="zh-CN"/>
        </w:rPr>
        <w:t>的真实性、合法性、有效性负责。</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3）保函金额为：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）提交时间：</w:t>
      </w:r>
      <w:r>
        <w:rPr>
          <w:rFonts w:hint="eastAsia" w:ascii="宋体" w:hAnsi="宋体" w:eastAsia="宋体" w:cs="宋体"/>
          <w:color w:val="auto"/>
          <w:sz w:val="24"/>
          <w:szCs w:val="24"/>
          <w:highlight w:val="none"/>
          <w:u w:val="single"/>
        </w:rPr>
        <w:t>工程竣工验收合格后14天内</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承包人提交质量保证金保函的，发包人应同时退还（若有）扣留的作为质量保证金的工程价款、履约担保、低价风险担保（若有）；保函金额不得超过工程价款结算总额的3%</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（2）竣工结算价的</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 质量保证金的扣留</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其他扣留方式：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15.3.3质量保证金的退还</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（1）在发包人颁发缺陷责任期终止证书之日起14天内退还。</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（2）缺陷责任期内，承包人认真履行合同约定的责任，到期后，承包人可向发包人申请返还质量保证金。</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（3）质量保证金是否支付利息采取以下</w:t>
      </w:r>
      <w:r>
        <w:rPr>
          <w:rFonts w:hint="eastAsia" w:ascii="宋体" w:hAnsi="宋体" w:eastAsia="宋体" w:cs="宋体"/>
          <w:color w:val="auto"/>
          <w:sz w:val="24"/>
          <w:szCs w:val="24"/>
          <w:highlight w:val="none"/>
          <w:u w:val="single"/>
        </w:rPr>
        <w:t>第②种</w:t>
      </w:r>
      <w:r>
        <w:rPr>
          <w:rFonts w:hint="eastAsia" w:ascii="宋体" w:hAnsi="宋体" w:eastAsia="宋体" w:cs="宋体"/>
          <w:color w:val="auto"/>
          <w:sz w:val="24"/>
          <w:szCs w:val="24"/>
          <w:highlight w:val="none"/>
        </w:rPr>
        <w:t>方式：</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①按照中国人民银行  年  月公布的5年期贷款市场报价利率支付利息</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②不采用</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79" w:name="_Toc532377400"/>
      <w:bookmarkStart w:id="1080" w:name="_Toc532375663"/>
      <w:r>
        <w:rPr>
          <w:rFonts w:hint="eastAsia" w:ascii="宋体" w:hAnsi="宋体" w:eastAsia="宋体" w:cs="宋体"/>
          <w:color w:val="auto"/>
          <w:sz w:val="24"/>
          <w:szCs w:val="24"/>
          <w:highlight w:val="none"/>
        </w:rPr>
        <w:t>15.4 保修</w:t>
      </w:r>
      <w:bookmarkEnd w:id="1079"/>
      <w:bookmarkEnd w:id="1080"/>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bookmarkStart w:id="1081" w:name="_Hlk524381274"/>
      <w:r>
        <w:rPr>
          <w:rFonts w:hint="eastAsia" w:ascii="宋体" w:hAnsi="宋体" w:eastAsia="宋体" w:cs="宋体"/>
          <w:color w:val="auto"/>
          <w:sz w:val="24"/>
          <w:szCs w:val="24"/>
          <w:highlight w:val="none"/>
        </w:rPr>
        <w:t>按照附件1《工程质量保修书》的规定执行。</w:t>
      </w:r>
      <w:bookmarkEnd w:id="1081"/>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小时内，最长不能超过</w:t>
      </w:r>
      <w:r>
        <w:rPr>
          <w:rFonts w:hint="eastAsia" w:ascii="宋体" w:hAnsi="宋体" w:eastAsia="宋体" w:cs="宋体"/>
          <w:color w:val="auto"/>
          <w:sz w:val="24"/>
          <w:szCs w:val="24"/>
          <w:highlight w:val="none"/>
          <w:u w:val="single"/>
          <w:lang w:val="en-US" w:eastAsia="zh-CN"/>
        </w:rPr>
        <w:t>48</w:t>
      </w:r>
      <w:r>
        <w:rPr>
          <w:rFonts w:hint="eastAsia" w:ascii="宋体" w:hAnsi="宋体" w:eastAsia="宋体" w:cs="宋体"/>
          <w:color w:val="auto"/>
          <w:sz w:val="24"/>
          <w:szCs w:val="24"/>
          <w:highlight w:val="none"/>
          <w:u w:val="single"/>
        </w:rPr>
        <w:t>小时</w:t>
      </w:r>
      <w:r>
        <w:rPr>
          <w:rFonts w:hint="eastAsia" w:ascii="宋体" w:hAnsi="宋体" w:eastAsia="宋体" w:cs="宋体"/>
          <w:color w:val="auto"/>
          <w:sz w:val="24"/>
          <w:szCs w:val="24"/>
          <w:highlight w:val="none"/>
        </w:rPr>
        <w:t>。</w:t>
      </w:r>
    </w:p>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082" w:name="_Toc532375664"/>
      <w:bookmarkStart w:id="1083" w:name="_Toc351203648"/>
      <w:bookmarkStart w:id="1084" w:name="_Toc532377401"/>
      <w:r>
        <w:rPr>
          <w:rFonts w:hint="eastAsia" w:ascii="宋体" w:hAnsi="宋体" w:eastAsia="宋体" w:cs="宋体"/>
          <w:color w:val="auto"/>
          <w:kern w:val="2"/>
          <w:sz w:val="24"/>
          <w:szCs w:val="24"/>
          <w:highlight w:val="none"/>
        </w:rPr>
        <w:t>16. 违约</w:t>
      </w:r>
      <w:bookmarkEnd w:id="1082"/>
      <w:bookmarkEnd w:id="1083"/>
      <w:bookmarkEnd w:id="1084"/>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85" w:name="_Toc532377402"/>
      <w:r>
        <w:rPr>
          <w:rFonts w:hint="eastAsia" w:ascii="宋体" w:hAnsi="宋体" w:eastAsia="宋体" w:cs="宋体"/>
          <w:color w:val="auto"/>
          <w:sz w:val="24"/>
          <w:szCs w:val="24"/>
          <w:highlight w:val="none"/>
        </w:rPr>
        <w:t>16.1 发包人违约</w:t>
      </w:r>
      <w:bookmarkEnd w:id="1085"/>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 发包人违约的情形</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除通用合同条款约定外，发包人违约的其他情形：</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（1）根据专用合同条款7.5.1项因发包人原因导致工期延误的；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（2）因发包人原因未能及时办理完毕合同约定的许可、批准或备案的；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（3）因监理人未能按合同约定发出指示、指示延误或发出了错误指示而导致承包人费用增加和（或）工期延误的；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（4）根据5.3.3发包人或监理人要求重新检查的，经检查证明工程质量符合合同要求的，并由此产生增加的费用和（或）延误的工期的；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（5）因发包人原因造成工程质量未达到合同约定标准的；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（6）由于发包人原因对承包人造成的人员人身伤亡和财产损失的；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（7）因发包人原因导致工程无法按期办理竣工验收或竣工结算的；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（8）发包人无正当理由未按约定退还履约担保、低价风险担保、预付款担保或质量保证金的；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（9）发包人不当提取履约担保、低价风险担保或质量保证金的；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（10）发包人未按合同约定接收全部或部分工作的；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（11）发包人未按合同约定办理保险的；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（12）其他：        </w:t>
      </w:r>
      <w:r>
        <w:rPr>
          <w:rFonts w:hint="eastAsia" w:ascii="宋体" w:hAnsi="宋体" w:eastAsia="宋体" w:cs="宋体"/>
          <w:color w:val="auto"/>
          <w:kern w:val="0"/>
          <w:sz w:val="24"/>
          <w:szCs w:val="24"/>
          <w:highlight w:val="none"/>
        </w:rPr>
        <w:t>。</w:t>
      </w:r>
    </w:p>
    <w:p>
      <w:pPr>
        <w:pStyle w:val="523"/>
        <w:pageBreakBefore w:val="0"/>
        <w:kinsoku/>
        <w:wordWrap/>
        <w:overflowPunct/>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16.1.2发包人违约的责任</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（1）因发包人原因未能在计划开工日期前 7 天内下达开工通知的违约责任：</w:t>
      </w:r>
      <w:r>
        <w:rPr>
          <w:rFonts w:hint="eastAsia" w:ascii="宋体" w:hAnsi="宋体" w:eastAsia="宋体" w:cs="宋体"/>
          <w:color w:val="auto"/>
          <w:kern w:val="0"/>
          <w:sz w:val="24"/>
          <w:szCs w:val="24"/>
          <w:highlight w:val="none"/>
          <w:u w:val="single"/>
        </w:rPr>
        <w:t>除顺延工期外不承担其他责任。</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（2）因发包人原因未按合同约定支付合同价款的违约责任：</w:t>
      </w:r>
      <w:r>
        <w:rPr>
          <w:rFonts w:hint="eastAsia" w:ascii="宋体" w:hAnsi="宋体" w:eastAsia="宋体" w:cs="宋体"/>
          <w:color w:val="auto"/>
          <w:kern w:val="0"/>
          <w:sz w:val="24"/>
          <w:szCs w:val="24"/>
          <w:highlight w:val="none"/>
          <w:u w:val="single"/>
        </w:rPr>
        <w:t>除顺延工期外不承担其他责任。</w:t>
      </w:r>
      <w:r>
        <w:rPr>
          <w:rFonts w:hint="eastAsia" w:ascii="宋体" w:hAnsi="宋体" w:eastAsia="宋体" w:cs="宋体"/>
          <w:color w:val="auto"/>
          <w:kern w:val="0"/>
          <w:sz w:val="24"/>
          <w:szCs w:val="24"/>
          <w:highlight w:val="none"/>
        </w:rPr>
        <w:t xml:space="preserve"> </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（3）发包人违反合同约定，自行实施或转由他人实施被取消的合同工作内容的违约责任：</w:t>
      </w:r>
      <w:r>
        <w:rPr>
          <w:rFonts w:hint="eastAsia" w:ascii="宋体" w:hAnsi="宋体" w:eastAsia="宋体" w:cs="宋体"/>
          <w:color w:val="auto"/>
          <w:kern w:val="0"/>
          <w:sz w:val="24"/>
          <w:szCs w:val="24"/>
          <w:highlight w:val="none"/>
          <w:u w:val="single"/>
        </w:rPr>
        <w:t>除顺延工期外不承担其他责任。</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基准资料错误并导致承包人测量放线工作返工或造成工程损失的，以及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除顺延工期外不承担其他责任。</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（5）因发包人原因造成工程质量未达到合同约定标准的：</w:t>
      </w:r>
      <w:r>
        <w:rPr>
          <w:rFonts w:hint="eastAsia" w:ascii="宋体" w:hAnsi="宋体" w:eastAsia="宋体" w:cs="宋体"/>
          <w:color w:val="auto"/>
          <w:kern w:val="0"/>
          <w:sz w:val="24"/>
          <w:szCs w:val="24"/>
          <w:highlight w:val="none"/>
          <w:u w:val="single"/>
        </w:rPr>
        <w:t>除顺延工期外不承担其他责任。</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（6）因发包人违反合同约定造成暂停施工的违约责任：</w:t>
      </w:r>
      <w:r>
        <w:rPr>
          <w:rFonts w:hint="eastAsia" w:ascii="宋体" w:hAnsi="宋体" w:eastAsia="宋体" w:cs="宋体"/>
          <w:color w:val="auto"/>
          <w:kern w:val="0"/>
          <w:sz w:val="24"/>
          <w:szCs w:val="24"/>
          <w:highlight w:val="none"/>
          <w:u w:val="single"/>
        </w:rPr>
        <w:t>除顺延工期外不承担其他责任。</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除顺延工期外不承担其他责任。</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（8）因发包人原因导致工程无法按期办理竣工验收或竣工结算的违约责任：</w:t>
      </w:r>
      <w:r>
        <w:rPr>
          <w:rFonts w:hint="eastAsia" w:ascii="宋体" w:hAnsi="宋体" w:eastAsia="宋体" w:cs="宋体"/>
          <w:color w:val="auto"/>
          <w:kern w:val="0"/>
          <w:sz w:val="24"/>
          <w:szCs w:val="24"/>
          <w:highlight w:val="none"/>
          <w:u w:val="single"/>
        </w:rPr>
        <w:t>除顺延工期外不承担其他责任。</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因发包人违约并致使合同目的不能实现的，承包人有权解除合同：</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（1）因发包人原因延迟支付合同价款超过180天的；</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（2）因发包人原因导致工期延误超过90天的；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（3）因发包人第16.1.2（5）违约情形导致暂停施工满56天，且发包人仍未纠正其违约行为的；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（4）其他未履行合同项下的义务构成对合同的实质性违约，并且在收到承包人要求说明其违约并予以补救的通知后56天内仍未补救该实质性违约的；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u w:val="single"/>
        </w:rPr>
        <w:t>合同约定的承包人有权解除合同的其他情形</w:t>
      </w:r>
      <w:r>
        <w:rPr>
          <w:rFonts w:hint="eastAsia" w:ascii="宋体" w:hAnsi="宋体" w:eastAsia="宋体" w:cs="宋体"/>
          <w:color w:val="auto"/>
          <w:kern w:val="0"/>
          <w:sz w:val="24"/>
          <w:szCs w:val="24"/>
          <w:highlight w:val="none"/>
        </w:rPr>
        <w:t>。</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16.1.4 因发包人违约解除合同后的付款</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承包人按照本款约定解除合同的，发包人应在解除合同后28天内支付下列款项，并解除履约担保、低价风险担保、预付款担保：</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（1）合同解除前所完成工作的价款；</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（2）承包人为工程施工订购并已付款的材料、工程设备和其他物品的价款；</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（3）承包人撤离施工现场以及遣散承包人人员的款项；</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（4）按照合同约定在合同解除前应支付的违约金；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（5）按照合同约定应当支付给承包人的其他款项；</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（6）按照合同约定应退还的质量保证金；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（7）因解除合同给承包人造成的损失；</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u w:val="single"/>
        </w:rPr>
        <w:t xml:space="preserve">        。</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合同当事人未能就解除合同后的结清达成一致的，按照第20条〔争议解决〕的约定处理。</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86" w:name="_Toc532377403"/>
      <w:r>
        <w:rPr>
          <w:rFonts w:hint="eastAsia" w:ascii="宋体" w:hAnsi="宋体" w:eastAsia="宋体" w:cs="宋体"/>
          <w:color w:val="auto"/>
          <w:sz w:val="24"/>
          <w:szCs w:val="24"/>
          <w:highlight w:val="none"/>
        </w:rPr>
        <w:t>16.2 承包人违约</w:t>
      </w:r>
      <w:bookmarkEnd w:id="1086"/>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bookmarkStart w:id="1087" w:name="_Hlk524380579"/>
      <w:r>
        <w:rPr>
          <w:rFonts w:hint="eastAsia" w:ascii="宋体" w:hAnsi="宋体" w:eastAsia="宋体" w:cs="宋体"/>
          <w:color w:val="auto"/>
          <w:kern w:val="0"/>
          <w:sz w:val="24"/>
          <w:szCs w:val="24"/>
          <w:highlight w:val="none"/>
        </w:rPr>
        <w:t>16.2.1 承包人违约的情形</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除通用合同条款约定外，承包人违约的其他情形：</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（1）承包人未按合同约定提交履约担保或质量保证金的；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（2）承包人未能按期开工的；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（3）承包人未按投标文件或监理人的要求及时配备称职的主要管理人员，或承包人未按经审定的施工组织设计配备或更换关键施工设备的；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（4）承包人有安全问题或有违反安全管理规章制度情况的；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（5）承包人在缺陷责任期及保修期内，未能在合理期限对工程缺陷进行修复，或拒绝按发包人要求进行修复的；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（6）承包人拖欠其工人或所雇人员工资或报酬，导致其工人或所雇人员向有关部门投诉、控告、检举或以聚集等方式讨要工资或报酬的；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（7）承包人不配合发包人、监理人及发包人委托的工程造价咨询服务单位结算审核或承包人其他原因导致未按期完成工程竣工结算的；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（8）承包人违反合同约定进行转包或违法分包的；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（9）承包人未按合同约定移交全部或部分工作的；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（10）承包人未按合同约定购买保险的；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（11）项目经理若有以下情形，属于承包人违约：</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1）项目经理不按承诺到岗的；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2）每月在施工现场的天数少于约定天数的；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3）承包人未提交项目经理劳动合同和社会保险证明的；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4）未经批准，擅自离开施工现场（超过约定时间）的；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5）未经批准，擅自变更项目经理的；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6）按照渝建发〔2015〕35号文的要求，施工期间，项目经理因在一个记分周期内累计记分达到12分，被建设行政主管部门依法责令停止执业的；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7）发包人有正当理由认为项目经理不称职/不履职，且承包人在约定时间内不予更换的；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8）其他双方约定的情形：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（12）技术负责人若有以下情形，属于承包人违约：</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1）每月在施工现场的天数少于约定天数的；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2）承包人未提交技术负责人劳动合同和社会保险证明的；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3）未经批准，擅自离开施工现场（超过约定时间）的；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4）未经批准，擅自变更技术负责人的；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5）发包人有正当理由认为技术负责人不称职/不履职，且承包人在约定时间内不予更换的；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6）其他双方约定的情形：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（13）主要施工管理人员若有以下情形，属于承包人违约：</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1）承包人未提交主要管理人员劳动合同和社会保险证明的；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2）未经批准，擅自离开施工现场（超过约定时间）的；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3）未经批准，擅自变更主要施工管理人员的；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4）发包人有正当理由认为主要施工管理人员不称职/不履职，且承包人在约定时间内不予更换的；</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5）其他双方约定的情形：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u w:val="single"/>
        </w:rPr>
        <w:t xml:space="preserve">        。</w:t>
      </w:r>
    </w:p>
    <w:bookmarkEnd w:id="1087"/>
    <w:p>
      <w:pPr>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 承包人违约的责任</w:t>
      </w:r>
    </w:p>
    <w:p>
      <w:pPr>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承包人违约责任的承担方式和计算方法：</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（1）承包人未按合同约定提交履约担保、质量保证金的违约责任：承包人应支付违约金，</w:t>
      </w:r>
      <w:r>
        <w:rPr>
          <w:rFonts w:hint="eastAsia" w:ascii="宋体" w:hAnsi="宋体" w:eastAsia="宋体" w:cs="宋体"/>
          <w:color w:val="auto"/>
          <w:sz w:val="24"/>
          <w:szCs w:val="24"/>
          <w:highlight w:val="none"/>
        </w:rPr>
        <w:t>违约金的计算方法：</w:t>
      </w:r>
      <w:r>
        <w:rPr>
          <w:rFonts w:hint="eastAsia" w:ascii="宋体" w:hAnsi="宋体" w:eastAsia="宋体" w:cs="宋体"/>
          <w:color w:val="auto"/>
          <w:kern w:val="0"/>
          <w:sz w:val="24"/>
          <w:szCs w:val="24"/>
          <w:highlight w:val="none"/>
        </w:rPr>
        <w:t>每延误1天，承包人按</w:t>
      </w:r>
      <w:r>
        <w:rPr>
          <w:rFonts w:hint="eastAsia" w:ascii="宋体" w:hAnsi="宋体" w:eastAsia="宋体" w:cs="宋体"/>
          <w:color w:val="auto"/>
          <w:kern w:val="0"/>
          <w:sz w:val="24"/>
          <w:szCs w:val="24"/>
          <w:highlight w:val="none"/>
          <w:u w:val="single"/>
        </w:rPr>
        <w:t xml:space="preserve">  5000元/天</w:t>
      </w:r>
      <w:r>
        <w:rPr>
          <w:rFonts w:hint="eastAsia" w:ascii="宋体" w:hAnsi="宋体" w:eastAsia="宋体" w:cs="宋体"/>
          <w:color w:val="auto"/>
          <w:kern w:val="0"/>
          <w:sz w:val="24"/>
          <w:szCs w:val="24"/>
          <w:highlight w:val="none"/>
        </w:rPr>
        <w:t>计算违约金，累计违约金上限：</w:t>
      </w:r>
      <w:r>
        <w:rPr>
          <w:rFonts w:hint="eastAsia" w:ascii="宋体" w:hAnsi="宋体" w:eastAsia="宋体" w:cs="宋体"/>
          <w:color w:val="auto"/>
          <w:kern w:val="0"/>
          <w:sz w:val="24"/>
          <w:szCs w:val="24"/>
          <w:highlight w:val="none"/>
          <w:u w:val="single"/>
        </w:rPr>
        <w:t xml:space="preserve">  万元（不超过签约合同价的3%）</w:t>
      </w:r>
      <w:r>
        <w:rPr>
          <w:rFonts w:hint="eastAsia" w:ascii="宋体" w:hAnsi="宋体" w:eastAsia="宋体" w:cs="宋体"/>
          <w:color w:val="auto"/>
          <w:kern w:val="0"/>
          <w:sz w:val="24"/>
          <w:szCs w:val="24"/>
          <w:highlight w:val="none"/>
          <w:lang w:val="zh-CN"/>
        </w:rPr>
        <w:t>。</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4"/>
          <w:szCs w:val="24"/>
          <w:highlight w:val="none"/>
          <w:u w:val="single"/>
        </w:rPr>
        <w:t xml:space="preserve">  5%</w:t>
      </w:r>
      <w:r>
        <w:rPr>
          <w:rFonts w:hint="eastAsia" w:ascii="宋体" w:hAnsi="宋体" w:eastAsia="宋体" w:cs="宋体"/>
          <w:color w:val="auto"/>
          <w:kern w:val="0"/>
          <w:sz w:val="24"/>
          <w:szCs w:val="24"/>
          <w:highlight w:val="none"/>
        </w:rPr>
        <w:t>支付违约金，违法转/分包商应在7天内撤离出场。</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24"/>
          <w:szCs w:val="24"/>
          <w:highlight w:val="none"/>
          <w:u w:val="single"/>
        </w:rPr>
        <w:t xml:space="preserve">  5%</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24"/>
          <w:szCs w:val="24"/>
          <w:highlight w:val="none"/>
          <w:u w:val="single"/>
        </w:rPr>
        <w:t xml:space="preserve">  5%</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4"/>
          <w:szCs w:val="24"/>
          <w:highlight w:val="none"/>
          <w:u w:val="single"/>
        </w:rPr>
        <w:t>1%</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（6）因承包人原因造成工期延误的违约承担方式和计算方法：由承包人承担由此增加的费用，</w:t>
      </w:r>
      <w:r>
        <w:rPr>
          <w:rFonts w:hint="eastAsia" w:ascii="宋体" w:hAnsi="宋体" w:eastAsia="宋体" w:cs="宋体"/>
          <w:color w:val="auto"/>
          <w:sz w:val="24"/>
          <w:szCs w:val="24"/>
          <w:highlight w:val="none"/>
        </w:rPr>
        <w:t>由此导致工期延误的，工期不予顺延；逾期竣工违约金的计算方法：</w:t>
      </w:r>
      <w:r>
        <w:rPr>
          <w:rFonts w:hint="eastAsia" w:ascii="宋体" w:hAnsi="宋体" w:eastAsia="宋体" w:cs="宋体"/>
          <w:color w:val="auto"/>
          <w:kern w:val="0"/>
          <w:sz w:val="24"/>
          <w:szCs w:val="24"/>
          <w:highlight w:val="none"/>
        </w:rPr>
        <w:t>每延误1天，承包人按</w:t>
      </w:r>
      <w:r>
        <w:rPr>
          <w:rFonts w:hint="eastAsia" w:ascii="宋体" w:hAnsi="宋体" w:eastAsia="宋体" w:cs="宋体"/>
          <w:color w:val="auto"/>
          <w:kern w:val="0"/>
          <w:sz w:val="24"/>
          <w:szCs w:val="24"/>
          <w:highlight w:val="none"/>
          <w:u w:val="single"/>
        </w:rPr>
        <w:t>5000元/天</w:t>
      </w:r>
      <w:r>
        <w:rPr>
          <w:rFonts w:hint="eastAsia" w:ascii="宋体" w:hAnsi="宋体" w:eastAsia="宋体" w:cs="宋体"/>
          <w:color w:val="auto"/>
          <w:kern w:val="0"/>
          <w:sz w:val="24"/>
          <w:szCs w:val="24"/>
          <w:highlight w:val="none"/>
        </w:rPr>
        <w:t>计算逾期竣工违约金，累计违约金上限：</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万元（不超过签约合同价的3%）</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承包人支付逾期竣工违约金后，不免除承包人继续完成工程及修补缺陷的义务。</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4"/>
          <w:szCs w:val="24"/>
          <w:highlight w:val="none"/>
          <w:u w:val="single"/>
        </w:rPr>
        <w:t xml:space="preserve"> 0.5%</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（8）承包人明确表示或者以其行为表明不履行合同主要义务的违约责任：按签约合同价的</w:t>
      </w:r>
      <w:r>
        <w:rPr>
          <w:rFonts w:hint="eastAsia" w:ascii="宋体" w:hAnsi="宋体" w:eastAsia="宋体" w:cs="宋体"/>
          <w:color w:val="auto"/>
          <w:kern w:val="0"/>
          <w:sz w:val="24"/>
          <w:szCs w:val="24"/>
          <w:highlight w:val="none"/>
          <w:u w:val="single"/>
        </w:rPr>
        <w:t xml:space="preserve"> 5%</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（9）承包人未能按照合同约定履行其他义务的违约责任：按</w:t>
      </w:r>
      <w:r>
        <w:rPr>
          <w:rFonts w:hint="eastAsia" w:ascii="宋体" w:hAnsi="宋体" w:eastAsia="宋体" w:cs="宋体"/>
          <w:color w:val="auto"/>
          <w:kern w:val="0"/>
          <w:sz w:val="24"/>
          <w:szCs w:val="24"/>
          <w:highlight w:val="none"/>
          <w:u w:val="single"/>
        </w:rPr>
        <w:t>500元/次</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（10）承包人未能按期开工的违约责任：按合同价</w:t>
      </w:r>
      <w:r>
        <w:rPr>
          <w:rFonts w:hint="eastAsia" w:ascii="宋体" w:hAnsi="宋体" w:eastAsia="宋体" w:cs="宋体"/>
          <w:color w:val="auto"/>
          <w:kern w:val="0"/>
          <w:sz w:val="24"/>
          <w:szCs w:val="24"/>
          <w:highlight w:val="none"/>
          <w:u w:val="single"/>
        </w:rPr>
        <w:t>0.2‰/天</w:t>
      </w:r>
      <w:r>
        <w:rPr>
          <w:rFonts w:hint="eastAsia" w:ascii="宋体" w:hAnsi="宋体" w:eastAsia="宋体" w:cs="宋体"/>
          <w:color w:val="auto"/>
          <w:kern w:val="0"/>
          <w:sz w:val="24"/>
          <w:szCs w:val="24"/>
          <w:highlight w:val="none"/>
        </w:rPr>
        <w:t>支付违约金，本项违约金累计限额为签约合同价的</w:t>
      </w:r>
      <w:r>
        <w:rPr>
          <w:rFonts w:hint="eastAsia" w:ascii="宋体" w:hAnsi="宋体" w:eastAsia="宋体" w:cs="宋体"/>
          <w:color w:val="auto"/>
          <w:kern w:val="0"/>
          <w:sz w:val="24"/>
          <w:szCs w:val="24"/>
          <w:highlight w:val="none"/>
          <w:u w:val="single"/>
        </w:rPr>
        <w:t xml:space="preserve"> 1 %</w:t>
      </w:r>
      <w:r>
        <w:rPr>
          <w:rFonts w:hint="eastAsia" w:ascii="宋体" w:hAnsi="宋体" w:eastAsia="宋体" w:cs="宋体"/>
          <w:color w:val="auto"/>
          <w:kern w:val="0"/>
          <w:sz w:val="24"/>
          <w:szCs w:val="24"/>
          <w:highlight w:val="none"/>
        </w:rPr>
        <w:t>。</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（11）承包人未按经审定的施工组织设计配备或更换关键施工设备的违约责任：按</w:t>
      </w:r>
      <w:r>
        <w:rPr>
          <w:rFonts w:hint="eastAsia" w:ascii="宋体" w:hAnsi="宋体" w:eastAsia="宋体" w:cs="宋体"/>
          <w:color w:val="auto"/>
          <w:kern w:val="0"/>
          <w:sz w:val="24"/>
          <w:szCs w:val="24"/>
          <w:highlight w:val="none"/>
          <w:u w:val="single"/>
        </w:rPr>
        <w:t>5000元/台·次</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（12）承包人有安全问题或有违反安全管理规章制度情况的违约责任：根据具体情节，按签约合同价的</w:t>
      </w:r>
      <w:r>
        <w:rPr>
          <w:rFonts w:hint="eastAsia" w:ascii="宋体" w:hAnsi="宋体" w:eastAsia="宋体" w:cs="宋体"/>
          <w:color w:val="auto"/>
          <w:kern w:val="0"/>
          <w:sz w:val="24"/>
          <w:szCs w:val="24"/>
          <w:highlight w:val="none"/>
          <w:u w:val="single"/>
        </w:rPr>
        <w:t>0.5‰/次</w:t>
      </w:r>
      <w:r>
        <w:rPr>
          <w:rFonts w:hint="eastAsia" w:ascii="宋体" w:hAnsi="宋体" w:eastAsia="宋体" w:cs="宋体"/>
          <w:color w:val="auto"/>
          <w:kern w:val="0"/>
          <w:sz w:val="24"/>
          <w:szCs w:val="24"/>
          <w:highlight w:val="none"/>
        </w:rPr>
        <w:t>支付违约金（累计不超过签约合同价的1%，详见附件9安全管理协议）。</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4"/>
          <w:szCs w:val="24"/>
          <w:highlight w:val="none"/>
          <w:u w:val="single"/>
        </w:rPr>
        <w:t>50000元/次</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（14）承包人不配合发包人、监理人及发包人委托的工程造价咨询服务单位结算审核的违约责任：根据具体情节，按</w:t>
      </w:r>
      <w:r>
        <w:rPr>
          <w:rFonts w:hint="eastAsia" w:ascii="宋体" w:hAnsi="宋体" w:eastAsia="宋体" w:cs="宋体"/>
          <w:color w:val="auto"/>
          <w:kern w:val="0"/>
          <w:sz w:val="24"/>
          <w:szCs w:val="24"/>
          <w:highlight w:val="none"/>
          <w:u w:val="single"/>
        </w:rPr>
        <w:t xml:space="preserve"> 10000元/次</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4"/>
          <w:szCs w:val="24"/>
          <w:highlight w:val="none"/>
          <w:u w:val="single"/>
        </w:rPr>
        <w:t>0.5‰</w:t>
      </w:r>
      <w:r>
        <w:rPr>
          <w:rFonts w:hint="eastAsia" w:ascii="宋体" w:hAnsi="宋体" w:eastAsia="宋体" w:cs="宋体"/>
          <w:color w:val="auto"/>
          <w:kern w:val="0"/>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（16）承包人未按合同约定购买保险的违约责任：除按18.6.2项约定执行外，每延迟1天，按</w:t>
      </w:r>
      <w:r>
        <w:rPr>
          <w:rFonts w:hint="eastAsia" w:ascii="宋体" w:hAnsi="宋体" w:eastAsia="宋体" w:cs="宋体"/>
          <w:color w:val="auto"/>
          <w:sz w:val="24"/>
          <w:szCs w:val="24"/>
          <w:highlight w:val="none"/>
          <w:u w:val="single"/>
        </w:rPr>
        <w:t>500元/天</w:t>
      </w:r>
      <w:r>
        <w:rPr>
          <w:rFonts w:hint="eastAsia" w:ascii="宋体" w:hAnsi="宋体" w:eastAsia="宋体" w:cs="宋体"/>
          <w:color w:val="auto"/>
          <w:sz w:val="24"/>
          <w:szCs w:val="24"/>
          <w:highlight w:val="none"/>
        </w:rPr>
        <w:t>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（17）发生第16.2.1项（11）目、16.2.1项（12）目、16.2.1项（13）目违约情形的违约责任：除承担由此增加的费用和工期延误的责任，承包人应向发包人支付违约金：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1）项目经理违约承担方式和计算方法：对于第16.2.1项（11）目的情形，每发现一次，根据具体情节，按</w:t>
      </w:r>
      <w:r>
        <w:rPr>
          <w:rFonts w:hint="eastAsia" w:ascii="宋体" w:hAnsi="宋体" w:eastAsia="宋体" w:cs="宋体"/>
          <w:color w:val="auto"/>
          <w:kern w:val="0"/>
          <w:sz w:val="24"/>
          <w:szCs w:val="24"/>
          <w:highlight w:val="none"/>
          <w:u w:val="single"/>
        </w:rPr>
        <w:t>1000元/天·次</w:t>
      </w:r>
      <w:r>
        <w:rPr>
          <w:rFonts w:hint="eastAsia" w:ascii="宋体" w:hAnsi="宋体" w:eastAsia="宋体" w:cs="宋体"/>
          <w:color w:val="auto"/>
          <w:kern w:val="0"/>
          <w:sz w:val="24"/>
          <w:szCs w:val="24"/>
          <w:highlight w:val="none"/>
        </w:rPr>
        <w:t>计算违约金；项目经理不按承诺到岗的（3.2.3项约定的情形除外），按履约保证金的</w:t>
      </w:r>
      <w:r>
        <w:rPr>
          <w:rFonts w:hint="eastAsia" w:ascii="宋体" w:hAnsi="宋体" w:eastAsia="宋体" w:cs="宋体"/>
          <w:color w:val="auto"/>
          <w:kern w:val="0"/>
          <w:sz w:val="24"/>
          <w:szCs w:val="24"/>
          <w:highlight w:val="none"/>
          <w:u w:val="single"/>
        </w:rPr>
        <w:t>50%</w:t>
      </w:r>
      <w:r>
        <w:rPr>
          <w:rFonts w:hint="eastAsia" w:ascii="宋体" w:hAnsi="宋体" w:eastAsia="宋体" w:cs="宋体"/>
          <w:color w:val="auto"/>
          <w:kern w:val="0"/>
          <w:sz w:val="24"/>
          <w:szCs w:val="24"/>
          <w:highlight w:val="none"/>
        </w:rPr>
        <w:t>支付违约金，并解除合同；擅自更换项目经理的，按签约合同价的</w:t>
      </w:r>
      <w:r>
        <w:rPr>
          <w:rFonts w:hint="eastAsia" w:ascii="宋体" w:hAnsi="宋体" w:eastAsia="宋体" w:cs="宋体"/>
          <w:color w:val="auto"/>
          <w:kern w:val="0"/>
          <w:sz w:val="24"/>
          <w:szCs w:val="24"/>
          <w:highlight w:val="none"/>
          <w:u w:val="single"/>
        </w:rPr>
        <w:t>0.5%/人·次</w:t>
      </w:r>
      <w:r>
        <w:rPr>
          <w:rFonts w:hint="eastAsia" w:ascii="宋体" w:hAnsi="宋体" w:eastAsia="宋体" w:cs="宋体"/>
          <w:color w:val="auto"/>
          <w:kern w:val="0"/>
          <w:sz w:val="24"/>
          <w:szCs w:val="24"/>
          <w:highlight w:val="none"/>
        </w:rPr>
        <w:t>支付违约金，每次不低于</w:t>
      </w:r>
      <w:r>
        <w:rPr>
          <w:rFonts w:hint="eastAsia" w:ascii="宋体" w:hAnsi="宋体" w:eastAsia="宋体" w:cs="宋体"/>
          <w:color w:val="auto"/>
          <w:kern w:val="0"/>
          <w:sz w:val="24"/>
          <w:szCs w:val="24"/>
          <w:highlight w:val="none"/>
          <w:u w:val="single"/>
        </w:rPr>
        <w:t>20万</w:t>
      </w:r>
      <w:r>
        <w:rPr>
          <w:rFonts w:hint="eastAsia" w:ascii="宋体" w:hAnsi="宋体" w:eastAsia="宋体" w:cs="宋体"/>
          <w:color w:val="auto"/>
          <w:kern w:val="0"/>
          <w:sz w:val="24"/>
          <w:szCs w:val="24"/>
          <w:highlight w:val="none"/>
        </w:rPr>
        <w:t>，累计不超过</w:t>
      </w:r>
      <w:r>
        <w:rPr>
          <w:rFonts w:hint="eastAsia" w:ascii="宋体" w:hAnsi="宋体" w:eastAsia="宋体" w:cs="宋体"/>
          <w:color w:val="auto"/>
          <w:kern w:val="0"/>
          <w:sz w:val="24"/>
          <w:szCs w:val="24"/>
          <w:highlight w:val="none"/>
          <w:u w:val="single"/>
        </w:rPr>
        <w:t>200万</w:t>
      </w:r>
      <w:r>
        <w:rPr>
          <w:rFonts w:hint="eastAsia" w:ascii="宋体" w:hAnsi="宋体" w:eastAsia="宋体" w:cs="宋体"/>
          <w:color w:val="auto"/>
          <w:kern w:val="0"/>
          <w:sz w:val="24"/>
          <w:szCs w:val="24"/>
          <w:highlight w:val="none"/>
        </w:rPr>
        <w:t>；项目经理被责令停止执业的，按签约合同价的</w:t>
      </w:r>
      <w:r>
        <w:rPr>
          <w:rFonts w:hint="eastAsia" w:ascii="宋体" w:hAnsi="宋体" w:eastAsia="宋体" w:cs="宋体"/>
          <w:color w:val="auto"/>
          <w:kern w:val="0"/>
          <w:sz w:val="24"/>
          <w:szCs w:val="24"/>
          <w:highlight w:val="none"/>
          <w:u w:val="single"/>
        </w:rPr>
        <w:t>0.5%/人·次</w:t>
      </w:r>
      <w:r>
        <w:rPr>
          <w:rFonts w:hint="eastAsia" w:ascii="宋体" w:hAnsi="宋体" w:eastAsia="宋体" w:cs="宋体"/>
          <w:color w:val="auto"/>
          <w:kern w:val="0"/>
          <w:sz w:val="24"/>
          <w:szCs w:val="24"/>
          <w:highlight w:val="none"/>
        </w:rPr>
        <w:t>支付违约金，每次不低于</w:t>
      </w:r>
      <w:r>
        <w:rPr>
          <w:rFonts w:hint="eastAsia" w:ascii="宋体" w:hAnsi="宋体" w:eastAsia="宋体" w:cs="宋体"/>
          <w:color w:val="auto"/>
          <w:kern w:val="0"/>
          <w:sz w:val="24"/>
          <w:szCs w:val="24"/>
          <w:highlight w:val="none"/>
          <w:u w:val="single"/>
        </w:rPr>
        <w:t>20万</w:t>
      </w:r>
      <w:r>
        <w:rPr>
          <w:rFonts w:hint="eastAsia" w:ascii="宋体" w:hAnsi="宋体" w:eastAsia="宋体" w:cs="宋体"/>
          <w:color w:val="auto"/>
          <w:kern w:val="0"/>
          <w:sz w:val="24"/>
          <w:szCs w:val="24"/>
          <w:highlight w:val="none"/>
        </w:rPr>
        <w:t>，累计不超过</w:t>
      </w:r>
      <w:r>
        <w:rPr>
          <w:rFonts w:hint="eastAsia" w:ascii="宋体" w:hAnsi="宋体" w:eastAsia="宋体" w:cs="宋体"/>
          <w:color w:val="auto"/>
          <w:kern w:val="0"/>
          <w:sz w:val="24"/>
          <w:szCs w:val="24"/>
          <w:highlight w:val="none"/>
          <w:u w:val="single"/>
        </w:rPr>
        <w:t>200万</w:t>
      </w:r>
      <w:r>
        <w:rPr>
          <w:rFonts w:hint="eastAsia" w:ascii="宋体" w:hAnsi="宋体" w:eastAsia="宋体" w:cs="宋体"/>
          <w:color w:val="auto"/>
          <w:kern w:val="0"/>
          <w:sz w:val="24"/>
          <w:szCs w:val="24"/>
          <w:highlight w:val="none"/>
        </w:rPr>
        <w:t>；项目经理被责令停止执业的，按签约合同价的</w:t>
      </w:r>
      <w:r>
        <w:rPr>
          <w:rFonts w:hint="eastAsia" w:ascii="宋体" w:hAnsi="宋体" w:eastAsia="宋体" w:cs="宋体"/>
          <w:color w:val="auto"/>
          <w:kern w:val="0"/>
          <w:sz w:val="24"/>
          <w:szCs w:val="24"/>
          <w:highlight w:val="none"/>
          <w:u w:val="single"/>
        </w:rPr>
        <w:t>0.5%/人•次</w:t>
      </w:r>
      <w:r>
        <w:rPr>
          <w:rFonts w:hint="eastAsia" w:ascii="宋体" w:hAnsi="宋体" w:eastAsia="宋体" w:cs="宋体"/>
          <w:color w:val="auto"/>
          <w:kern w:val="0"/>
          <w:sz w:val="24"/>
          <w:szCs w:val="24"/>
          <w:highlight w:val="none"/>
        </w:rPr>
        <w:t>支付违约金，每次不低于</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rPr>
        <w:t>万，累计不超过</w:t>
      </w:r>
      <w:r>
        <w:rPr>
          <w:rFonts w:hint="eastAsia" w:ascii="宋体" w:hAnsi="宋体" w:eastAsia="宋体" w:cs="宋体"/>
          <w:color w:val="auto"/>
          <w:kern w:val="0"/>
          <w:sz w:val="24"/>
          <w:szCs w:val="24"/>
          <w:highlight w:val="none"/>
          <w:u w:val="single"/>
        </w:rPr>
        <w:t>200</w:t>
      </w:r>
      <w:r>
        <w:rPr>
          <w:rFonts w:hint="eastAsia" w:ascii="宋体" w:hAnsi="宋体" w:eastAsia="宋体" w:cs="宋体"/>
          <w:color w:val="auto"/>
          <w:kern w:val="0"/>
          <w:sz w:val="24"/>
          <w:szCs w:val="24"/>
          <w:highlight w:val="none"/>
        </w:rPr>
        <w:t>万。</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2）主要技术负责人违约承担方式和计算方法：对于第16.2.1项（12）目的六种情形，每发现一次，根据具体情节，按</w:t>
      </w:r>
      <w:r>
        <w:rPr>
          <w:rFonts w:hint="eastAsia" w:ascii="宋体" w:hAnsi="宋体" w:eastAsia="宋体" w:cs="宋体"/>
          <w:color w:val="auto"/>
          <w:kern w:val="0"/>
          <w:sz w:val="24"/>
          <w:szCs w:val="24"/>
          <w:highlight w:val="none"/>
          <w:u w:val="single"/>
        </w:rPr>
        <w:t>1000元/天·次</w:t>
      </w:r>
      <w:r>
        <w:rPr>
          <w:rFonts w:hint="eastAsia" w:ascii="宋体" w:hAnsi="宋体" w:eastAsia="宋体" w:cs="宋体"/>
          <w:color w:val="auto"/>
          <w:kern w:val="0"/>
          <w:sz w:val="24"/>
          <w:szCs w:val="24"/>
          <w:highlight w:val="none"/>
        </w:rPr>
        <w:t>计算违约金；擅自更换主要技术负责人的，按签约合同价的</w:t>
      </w:r>
      <w:r>
        <w:rPr>
          <w:rFonts w:hint="eastAsia" w:ascii="宋体" w:hAnsi="宋体" w:eastAsia="宋体" w:cs="宋体"/>
          <w:color w:val="auto"/>
          <w:kern w:val="0"/>
          <w:sz w:val="24"/>
          <w:szCs w:val="24"/>
          <w:highlight w:val="none"/>
          <w:u w:val="single"/>
        </w:rPr>
        <w:t>0.5%/人·次</w:t>
      </w:r>
      <w:r>
        <w:rPr>
          <w:rFonts w:hint="eastAsia" w:ascii="宋体" w:hAnsi="宋体" w:eastAsia="宋体" w:cs="宋体"/>
          <w:color w:val="auto"/>
          <w:kern w:val="0"/>
          <w:sz w:val="24"/>
          <w:szCs w:val="24"/>
          <w:highlight w:val="none"/>
        </w:rPr>
        <w:t>支付违约金，每次不低于</w:t>
      </w:r>
      <w:r>
        <w:rPr>
          <w:rFonts w:hint="eastAsia" w:ascii="宋体" w:hAnsi="宋体" w:eastAsia="宋体" w:cs="宋体"/>
          <w:color w:val="auto"/>
          <w:kern w:val="0"/>
          <w:sz w:val="24"/>
          <w:szCs w:val="24"/>
          <w:highlight w:val="none"/>
          <w:u w:val="single"/>
        </w:rPr>
        <w:t>10万</w:t>
      </w:r>
      <w:r>
        <w:rPr>
          <w:rFonts w:hint="eastAsia" w:ascii="宋体" w:hAnsi="宋体" w:eastAsia="宋体" w:cs="宋体"/>
          <w:color w:val="auto"/>
          <w:kern w:val="0"/>
          <w:sz w:val="24"/>
          <w:szCs w:val="24"/>
          <w:highlight w:val="none"/>
        </w:rPr>
        <w:t>，累计不超过</w:t>
      </w:r>
      <w:r>
        <w:rPr>
          <w:rFonts w:hint="eastAsia" w:ascii="宋体" w:hAnsi="宋体" w:eastAsia="宋体" w:cs="宋体"/>
          <w:color w:val="auto"/>
          <w:kern w:val="0"/>
          <w:sz w:val="24"/>
          <w:szCs w:val="24"/>
          <w:highlight w:val="none"/>
          <w:u w:val="single"/>
        </w:rPr>
        <w:t>100万</w:t>
      </w:r>
      <w:r>
        <w:rPr>
          <w:rFonts w:hint="eastAsia" w:ascii="宋体" w:hAnsi="宋体" w:eastAsia="宋体" w:cs="宋体"/>
          <w:color w:val="auto"/>
          <w:kern w:val="0"/>
          <w:sz w:val="24"/>
          <w:szCs w:val="24"/>
          <w:highlight w:val="none"/>
        </w:rPr>
        <w:t>。</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3）主要施工管理人员违约承担方式和计算方法：对于第16.2.1项（13）目的五种情形，每发现一次，根据具体情节，按</w:t>
      </w:r>
      <w:r>
        <w:rPr>
          <w:rFonts w:hint="eastAsia" w:ascii="宋体" w:hAnsi="宋体" w:eastAsia="宋体" w:cs="宋体"/>
          <w:color w:val="auto"/>
          <w:kern w:val="0"/>
          <w:sz w:val="24"/>
          <w:szCs w:val="24"/>
          <w:highlight w:val="none"/>
          <w:u w:val="single"/>
        </w:rPr>
        <w:t>500元/天·次</w:t>
      </w:r>
      <w:r>
        <w:rPr>
          <w:rFonts w:hint="eastAsia" w:ascii="宋体" w:hAnsi="宋体" w:eastAsia="宋体" w:cs="宋体"/>
          <w:color w:val="auto"/>
          <w:kern w:val="0"/>
          <w:sz w:val="24"/>
          <w:szCs w:val="24"/>
          <w:highlight w:val="none"/>
        </w:rPr>
        <w:t>计算违约金。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bookmarkStart w:id="1088" w:name="_Hlk524380347"/>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eastAsia="宋体" w:cs="宋体"/>
          <w:color w:val="auto"/>
          <w:kern w:val="0"/>
          <w:sz w:val="24"/>
          <w:szCs w:val="24"/>
          <w:highlight w:val="none"/>
        </w:rPr>
        <w:t>16.2.2项第（1）目承担违约责任</w:t>
      </w:r>
      <w:r>
        <w:rPr>
          <w:rFonts w:hint="eastAsia" w:ascii="宋体" w:hAnsi="宋体" w:eastAsia="宋体" w:cs="宋体"/>
          <w:color w:val="auto"/>
          <w:sz w:val="24"/>
          <w:szCs w:val="24"/>
          <w:highlight w:val="none"/>
        </w:rPr>
        <w:t>，并从应付或到期应付给承包人的任何款项中或采用其他方法，扣除该违约金。</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eastAsia="宋体" w:cs="宋体"/>
          <w:color w:val="auto"/>
          <w:kern w:val="0"/>
          <w:sz w:val="24"/>
          <w:szCs w:val="24"/>
          <w:highlight w:val="none"/>
        </w:rPr>
        <w:t>，承担由此给</w:t>
      </w:r>
      <w:r>
        <w:rPr>
          <w:rFonts w:hint="eastAsia" w:ascii="宋体" w:hAnsi="宋体" w:eastAsia="宋体" w:cs="宋体"/>
          <w:color w:val="auto"/>
          <w:sz w:val="24"/>
          <w:szCs w:val="24"/>
          <w:highlight w:val="none"/>
        </w:rPr>
        <w:t>发包人造成的经济损失。</w:t>
      </w:r>
    </w:p>
    <w:p>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承包人承担承包范围的工程质量、安全、环保责任，因承包人原因引起的质量、安全、环保等事故由承包人承担相应的法律后果。</w:t>
      </w:r>
    </w:p>
    <w:bookmarkEnd w:id="1088"/>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16.2.3 因承包人违约解除合同</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因承包人违约并致使合同目的不能实现的，发包人有权解除合同：</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（1）未按合同约定延迟提供履约担保、质量保证金超过14天的；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（2）未按合同约定购买保险且经催告后超过56天的；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（3）因承包人原因导致开工时间累计延误超过56天的；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（4）因承包人原因导致工期延误超过90天的；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（5）发生第21.2款〔退出机制〕约定的情形的；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（6）监理人发出整改通知后，承包人在监理人限定的期限内仍不纠正违约行为的；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（7）承包人进入清算或者严重资不抵债且无法履行合同的；</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（8）违反适用法律而被相关政府部门依法吊销营业执照、责令停业、清算或宣布破产、责令关闭的；</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（9）承包人未履行合同项下的义务构成对合同的实质性违约，并且在收到发包人要求说明其违约并予以补救的通知后56天内仍未能补救该实质性违约的；</w:t>
      </w:r>
    </w:p>
    <w:p>
      <w:pPr>
        <w:pStyle w:val="523"/>
        <w:pageBreakBefore w:val="0"/>
        <w:kinsoku/>
        <w:wordWrap/>
        <w:overflowPunct/>
        <w:topLinePunct w:val="0"/>
        <w:bidi w:val="0"/>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u w:val="single"/>
        </w:rPr>
        <w:t>合同约定的发包人有权解除合同的其他情形</w:t>
      </w:r>
      <w:r>
        <w:rPr>
          <w:rFonts w:hint="eastAsia" w:ascii="宋体" w:hAnsi="宋体" w:eastAsia="宋体" w:cs="宋体"/>
          <w:color w:val="auto"/>
          <w:kern w:val="0"/>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16.2.4因承包人违约解除合同后的处理</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因承包人违约导致合同解除的，合同当事人应在合同解除后56天内完成估价、付款和清算，并按以下约定执行：</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（1）合同解除后，按第14.2款结算审定方式确定承包人实际完成工作对应的合同价款，以及承包人已提供的材料、工程设备、施工设备和临时工程等的价值；</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（2）合同解除后，承包人应支付违约金；</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（3）合同解除后，赔偿因解除合同给发包人造成的损失；</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（4）合同解除后，承包人应按照发包人要求和监理人的指示完成现场的清理和撤离。</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1075"/>
    <w:bookmarkEnd w:id="1076"/>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089" w:name="_Toc351203649"/>
      <w:bookmarkStart w:id="1090" w:name="_Toc532375665"/>
      <w:bookmarkStart w:id="1091" w:name="_Toc532377404"/>
      <w:bookmarkStart w:id="1092" w:name="_Hlk528928440"/>
      <w:r>
        <w:rPr>
          <w:rFonts w:hint="eastAsia" w:ascii="宋体" w:hAnsi="宋体" w:eastAsia="宋体" w:cs="宋体"/>
          <w:color w:val="auto"/>
          <w:kern w:val="2"/>
          <w:sz w:val="24"/>
          <w:szCs w:val="24"/>
          <w:highlight w:val="none"/>
        </w:rPr>
        <w:t>17. 不可抗力</w:t>
      </w:r>
      <w:bookmarkEnd w:id="1089"/>
      <w:bookmarkEnd w:id="1090"/>
      <w:bookmarkEnd w:id="1091"/>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93" w:name="_Toc532377405"/>
      <w:bookmarkStart w:id="1094" w:name="_Toc532375666"/>
      <w:r>
        <w:rPr>
          <w:rFonts w:hint="eastAsia" w:ascii="宋体" w:hAnsi="宋体" w:eastAsia="宋体" w:cs="宋体"/>
          <w:color w:val="auto"/>
          <w:sz w:val="24"/>
          <w:szCs w:val="24"/>
          <w:highlight w:val="none"/>
        </w:rPr>
        <w:t>17.1 不可抗力的确认</w:t>
      </w:r>
      <w:bookmarkEnd w:id="1093"/>
      <w:bookmarkEnd w:id="1094"/>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bookmarkStart w:id="1095" w:name="_Hlk524379638"/>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（1）洪水、火山爆发、山崩、山体滑坡、泥石流、龙卷风、隧道内不可预测的突发性地质灾害等自然灾害；</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（2）骚乱、戒严、封锁、禁运、恐怖行为、等社会行为，但承包人或其分包人派遣与雇佣的人员由于合同工程施工原因引起的除外；</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（3）不能合理预见的重大交通阻滞、停运、交通事故，非双方责任引起的火灾、爆炸、船舶撞击等情形；</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（4）化学或放射性污染或核辐射；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（5）环保治理等政府行为导致项目停工的。</w:t>
      </w:r>
      <w:bookmarkEnd w:id="1095"/>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096" w:name="_Toc351203610"/>
      <w:bookmarkStart w:id="1097" w:name="_Toc532377406"/>
      <w:bookmarkStart w:id="1098" w:name="_Toc532375667"/>
      <w:bookmarkStart w:id="1099" w:name="_Toc337558826"/>
      <w:bookmarkStart w:id="1100" w:name="_Toc296503119"/>
      <w:bookmarkStart w:id="1101" w:name="_Toc296346620"/>
      <w:r>
        <w:rPr>
          <w:rFonts w:hint="eastAsia" w:ascii="宋体" w:hAnsi="宋体" w:eastAsia="宋体" w:cs="宋体"/>
          <w:color w:val="auto"/>
          <w:sz w:val="24"/>
          <w:szCs w:val="24"/>
          <w:highlight w:val="none"/>
        </w:rPr>
        <w:t>17.3 不可抗力后果的承担</w:t>
      </w:r>
      <w:bookmarkEnd w:id="1096"/>
      <w:bookmarkEnd w:id="1097"/>
      <w:bookmarkEnd w:id="1098"/>
    </w:p>
    <w:bookmarkEnd w:id="1099"/>
    <w:bookmarkEnd w:id="1100"/>
    <w:bookmarkEnd w:id="1101"/>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 不可抗力引起的后果及造成的损失由合同当事人按照法律规定及合同约定各自承担。不可抗力发生前已完成的工程应当按照合同约定进行计量支付。</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 不可抗力导致的人员伤亡、财产损失、费用增加和（或）工期延误等后果，由合同当事人按以下原则承担：</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（1）永久工程、已运至施工现场的施工材料和工程设备的损坏，以及因工程损坏造成的第三方人员伤亡和财产损失由发包人承担；</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（2）承包人施工设备的损坏由承包人承担；</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（3）发包人和承包人承担各自人员伤亡和财产的损失；</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（4）因不可抗力影响承包人履行合同约定的义务，已经引起或将引起工期延误的，应当顺延工期，由此导致承包人停工的费用损失由发包人和承包人合理共担；</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（5）因不可抗力引起或将引起工期延误，发包人要求赶工的，由此增加的赶工费用由发包人承担；</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（6）承包人在停工期间按照发包人要求照管、清理和修复工程的费用由发包人承担；</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（7）不可抗力事件发生后，合同当事人均应采取措施尽量避免和减少损失的扩大，任何一方当事人没有采取有效措施导致损失扩大的，应对扩大的损失承担责任。</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02" w:name="_Toc532375668"/>
      <w:bookmarkStart w:id="1103" w:name="_Toc532377407"/>
      <w:r>
        <w:rPr>
          <w:rFonts w:hint="eastAsia" w:ascii="宋体" w:hAnsi="宋体" w:eastAsia="宋体" w:cs="宋体"/>
          <w:color w:val="auto"/>
          <w:sz w:val="24"/>
          <w:szCs w:val="24"/>
          <w:highlight w:val="none"/>
        </w:rPr>
        <w:t>17.4 因不可抗力解除合同</w:t>
      </w:r>
      <w:bookmarkEnd w:id="1102"/>
      <w:bookmarkEnd w:id="1103"/>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天内完成款项的支付。</w:t>
      </w:r>
    </w:p>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104" w:name="_Toc532375669"/>
      <w:bookmarkStart w:id="1105" w:name="_Toc532377408"/>
      <w:bookmarkStart w:id="1106" w:name="_Toc351203650"/>
      <w:r>
        <w:rPr>
          <w:rFonts w:hint="eastAsia" w:ascii="宋体" w:hAnsi="宋体" w:eastAsia="宋体" w:cs="宋体"/>
          <w:color w:val="auto"/>
          <w:kern w:val="2"/>
          <w:sz w:val="24"/>
          <w:szCs w:val="24"/>
          <w:highlight w:val="none"/>
        </w:rPr>
        <w:t>18. 保险</w:t>
      </w:r>
      <w:bookmarkEnd w:id="1104"/>
      <w:bookmarkEnd w:id="1105"/>
      <w:bookmarkEnd w:id="1106"/>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07" w:name="_Toc532375670"/>
      <w:bookmarkStart w:id="1108" w:name="_Toc532377409"/>
      <w:r>
        <w:rPr>
          <w:rFonts w:hint="eastAsia" w:ascii="宋体" w:hAnsi="宋体" w:eastAsia="宋体" w:cs="宋体"/>
          <w:color w:val="auto"/>
          <w:sz w:val="24"/>
          <w:szCs w:val="24"/>
          <w:highlight w:val="none"/>
        </w:rPr>
        <w:t>18.1 工程保险</w:t>
      </w:r>
      <w:bookmarkEnd w:id="1107"/>
      <w:bookmarkEnd w:id="1108"/>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关于工程保险的特别约定：发包人应投保</w:t>
      </w:r>
      <w:r>
        <w:rPr>
          <w:rFonts w:hint="eastAsia" w:ascii="宋体" w:hAnsi="宋体" w:eastAsia="宋体" w:cs="宋体"/>
          <w:color w:val="auto"/>
          <w:sz w:val="24"/>
          <w:szCs w:val="24"/>
          <w:highlight w:val="none"/>
          <w:u w:val="single"/>
        </w:rPr>
        <w:t>建筑工程一切险或安装工程一切险</w:t>
      </w:r>
      <w:r>
        <w:rPr>
          <w:rFonts w:hint="eastAsia" w:ascii="宋体" w:hAnsi="宋体" w:eastAsia="宋体" w:cs="宋体"/>
          <w:color w:val="auto"/>
          <w:sz w:val="24"/>
          <w:szCs w:val="24"/>
          <w:highlight w:val="none"/>
        </w:rPr>
        <w:t>；发包人委托承包人投保的，因投保产生的保险费和其他相关费用由发包人承担。</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09" w:name="_Toc532375671"/>
      <w:bookmarkStart w:id="1110" w:name="_Toc532377410"/>
      <w:r>
        <w:rPr>
          <w:rFonts w:hint="eastAsia" w:ascii="宋体" w:hAnsi="宋体" w:eastAsia="宋体" w:cs="宋体"/>
          <w:color w:val="auto"/>
          <w:sz w:val="24"/>
          <w:szCs w:val="24"/>
          <w:highlight w:val="none"/>
        </w:rPr>
        <w:t>18.3 其他保险</w:t>
      </w:r>
      <w:bookmarkEnd w:id="1109"/>
      <w:bookmarkEnd w:id="1110"/>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安全生产责任险：</w:t>
      </w:r>
      <w:r>
        <w:rPr>
          <w:rFonts w:hint="eastAsia" w:ascii="宋体" w:hAnsi="宋体" w:eastAsia="宋体" w:cs="宋体"/>
          <w:color w:val="auto"/>
          <w:sz w:val="24"/>
          <w:szCs w:val="24"/>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11" w:name="_Toc532375672"/>
      <w:bookmarkStart w:id="1112" w:name="_Toc532377411"/>
      <w:r>
        <w:rPr>
          <w:rFonts w:hint="eastAsia" w:ascii="宋体" w:hAnsi="宋体" w:eastAsia="宋体" w:cs="宋体"/>
          <w:color w:val="auto"/>
          <w:sz w:val="24"/>
          <w:szCs w:val="24"/>
          <w:highlight w:val="none"/>
        </w:rPr>
        <w:t>18.7 通知义务</w:t>
      </w:r>
      <w:bookmarkEnd w:id="1111"/>
      <w:bookmarkEnd w:id="1112"/>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color w:val="auto"/>
          <w:sz w:val="24"/>
          <w:szCs w:val="24"/>
          <w:highlight w:val="none"/>
          <w:u w:val="single"/>
        </w:rPr>
        <w:t>按通用合同条款执行</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13" w:name="_Toc532377412"/>
      <w:bookmarkStart w:id="1114" w:name="_Toc532375673"/>
      <w:r>
        <w:rPr>
          <w:rFonts w:hint="eastAsia" w:ascii="宋体" w:hAnsi="宋体" w:eastAsia="宋体" w:cs="宋体"/>
          <w:color w:val="auto"/>
          <w:sz w:val="24"/>
          <w:szCs w:val="24"/>
          <w:highlight w:val="none"/>
        </w:rPr>
        <w:t>18.8 其他</w:t>
      </w:r>
      <w:bookmarkEnd w:id="1113"/>
      <w:bookmarkEnd w:id="1114"/>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18.8.1 工程开工日前，承包人向发包人提交各项生效的保险证据和保险单副本。未按本项约定提交的，每延后1天，承包人按500元/天支付违约金。</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18.8.2 承包人保险赔偿金不足以补偿发包人损失时，</w:t>
      </w:r>
      <w:bookmarkStart w:id="1115" w:name="_Hlk524378346"/>
      <w:r>
        <w:rPr>
          <w:rFonts w:hint="eastAsia" w:ascii="宋体" w:hAnsi="宋体" w:eastAsia="宋体" w:cs="宋体"/>
          <w:color w:val="auto"/>
          <w:sz w:val="24"/>
          <w:szCs w:val="24"/>
          <w:highlight w:val="none"/>
        </w:rPr>
        <w:t>差额由承包人负责补足</w:t>
      </w:r>
      <w:bookmarkEnd w:id="1115"/>
      <w:r>
        <w:rPr>
          <w:rFonts w:hint="eastAsia" w:ascii="宋体" w:hAnsi="宋体" w:eastAsia="宋体" w:cs="宋体"/>
          <w:color w:val="auto"/>
          <w:sz w:val="24"/>
          <w:szCs w:val="24"/>
          <w:highlight w:val="none"/>
        </w:rPr>
        <w:t>。</w:t>
      </w:r>
    </w:p>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116" w:name="_Toc532377413"/>
      <w:bookmarkStart w:id="1117" w:name="_Toc351203620"/>
      <w:bookmarkStart w:id="1118" w:name="_Toc532375674"/>
      <w:bookmarkStart w:id="1119" w:name="_Toc337558835"/>
      <w:bookmarkStart w:id="1120" w:name="_Toc296346641"/>
      <w:bookmarkStart w:id="1121" w:name="_Toc296503140"/>
      <w:r>
        <w:rPr>
          <w:rFonts w:hint="eastAsia" w:ascii="宋体" w:hAnsi="宋体" w:eastAsia="宋体" w:cs="宋体"/>
          <w:color w:val="auto"/>
          <w:kern w:val="2"/>
          <w:sz w:val="24"/>
          <w:szCs w:val="24"/>
          <w:highlight w:val="none"/>
        </w:rPr>
        <w:t>19. 索赔</w:t>
      </w:r>
      <w:bookmarkEnd w:id="1116"/>
      <w:bookmarkEnd w:id="1117"/>
      <w:bookmarkEnd w:id="1118"/>
    </w:p>
    <w:bookmarkEnd w:id="1119"/>
    <w:bookmarkEnd w:id="1120"/>
    <w:bookmarkEnd w:id="1121"/>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22" w:name="_Toc532377414"/>
      <w:bookmarkStart w:id="1123" w:name="_Toc532375675"/>
      <w:bookmarkStart w:id="1124" w:name="_Toc296346642"/>
      <w:bookmarkStart w:id="1125" w:name="_Toc296503141"/>
      <w:bookmarkStart w:id="1126" w:name="_Toc351203621"/>
      <w:bookmarkStart w:id="1127" w:name="_Toc337558836"/>
      <w:r>
        <w:rPr>
          <w:rFonts w:hint="eastAsia" w:ascii="宋体" w:hAnsi="宋体" w:eastAsia="宋体" w:cs="宋体"/>
          <w:color w:val="auto"/>
          <w:sz w:val="24"/>
          <w:szCs w:val="24"/>
          <w:highlight w:val="none"/>
        </w:rPr>
        <w:t>19.1 承包人的索赔</w:t>
      </w:r>
      <w:bookmarkEnd w:id="1122"/>
      <w:bookmarkEnd w:id="1123"/>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根据合同约定，承包人认为有权得到追加付款和（或）延长工期的，应按以下程序向发包人提出索赔：</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（1）承包人应在索赔事件发生后28天内，向监理人递交索赔意向通知书，并说明发生索赔事件的事由；承包人未在前述28天内发出索赔意向通知书的，丧失要求追加付款和（或）延长工期的权利；</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（3）索赔事件具有持续影响的，承包人应按监理人要求的合理时间间隔继续递交延续索赔通知，说明持续影响的实际情况和记录，列出累计的追加付款金额和（或）工期延长天数；</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（4）在索赔事件影响结束后28天内，承包人应向监理人递交最终索赔报告，说明最终要求索赔的追加付款金额和（或）延长的工期，并附必要的记录和证明材料。</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28" w:name="_Toc532375676"/>
      <w:bookmarkStart w:id="1129" w:name="_Toc532377415"/>
      <w:r>
        <w:rPr>
          <w:rFonts w:hint="eastAsia" w:ascii="宋体" w:hAnsi="宋体" w:eastAsia="宋体" w:cs="宋体"/>
          <w:color w:val="auto"/>
          <w:sz w:val="24"/>
          <w:szCs w:val="24"/>
          <w:highlight w:val="none"/>
        </w:rPr>
        <w:t>19.2 对承包人索赔的处理</w:t>
      </w:r>
      <w:bookmarkEnd w:id="1128"/>
      <w:bookmarkEnd w:id="1129"/>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对承包人索赔的处理如下：</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（1）监理人应在收到索赔报告后14天内完成审查并报送发包人。监理人对索赔报告存在异议的，有权要求承包人提交全部原始记录副本</w:t>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（3）承包人接受索赔处理结果的，索赔款项在当期进度款中进行支付；承包人不接受索赔处理结果的，按照第20条〔争议解决〕约定处理</w:t>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（4）工期延误的关键线路按照经监理人、发包人审批同意的施工组织设计计算</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30" w:name="_Toc532375677"/>
      <w:bookmarkStart w:id="1131" w:name="_Toc532377416"/>
      <w:r>
        <w:rPr>
          <w:rFonts w:hint="eastAsia" w:ascii="宋体" w:hAnsi="宋体" w:eastAsia="宋体" w:cs="宋体"/>
          <w:color w:val="auto"/>
          <w:sz w:val="24"/>
          <w:szCs w:val="24"/>
          <w:highlight w:val="none"/>
        </w:rPr>
        <w:t>19.3发包人的索赔</w:t>
      </w:r>
      <w:bookmarkEnd w:id="1130"/>
      <w:bookmarkEnd w:id="1131"/>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根据合同约定，发包人认为有权得到赔付金额和（或）延长缺陷责任期的，监理人应向承包人发出通知并附有详细的证明。</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132" w:name="_Hlk528652769"/>
      <w:r>
        <w:rPr>
          <w:rFonts w:hint="eastAsia" w:ascii="宋体" w:hAnsi="宋体" w:eastAsia="宋体" w:cs="宋体"/>
          <w:color w:val="auto"/>
          <w:sz w:val="24"/>
          <w:szCs w:val="24"/>
          <w:highlight w:val="none"/>
        </w:rPr>
        <w:t>通过监理人向承包人正式递交最终索赔报告</w:t>
      </w:r>
      <w:bookmarkEnd w:id="1132"/>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33" w:name="_Toc532375678"/>
      <w:bookmarkStart w:id="1134" w:name="_Toc532377417"/>
      <w:r>
        <w:rPr>
          <w:rFonts w:hint="eastAsia" w:ascii="宋体" w:hAnsi="宋体" w:eastAsia="宋体" w:cs="宋体"/>
          <w:color w:val="auto"/>
          <w:sz w:val="24"/>
          <w:szCs w:val="24"/>
          <w:highlight w:val="none"/>
        </w:rPr>
        <w:t>19.4 对发包人索赔的处理</w:t>
      </w:r>
      <w:bookmarkEnd w:id="1133"/>
      <w:bookmarkEnd w:id="1134"/>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对发包人索赔的处理如下：</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（1）承包人收到发包人提交的索赔报告后，应及时审查索赔报告的内容、查验发包人证明材料；</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35" w:name="_Toc532377418"/>
      <w:bookmarkStart w:id="1136" w:name="_Toc532375679"/>
      <w:bookmarkStart w:id="1137" w:name="_Hlk528928420"/>
      <w:r>
        <w:rPr>
          <w:rFonts w:hint="eastAsia" w:ascii="宋体" w:hAnsi="宋体" w:eastAsia="宋体" w:cs="宋体"/>
          <w:color w:val="auto"/>
          <w:sz w:val="24"/>
          <w:szCs w:val="24"/>
          <w:highlight w:val="none"/>
        </w:rPr>
        <w:t>19.5 提出索赔的期限</w:t>
      </w:r>
      <w:bookmarkEnd w:id="1135"/>
      <w:bookmarkEnd w:id="1136"/>
    </w:p>
    <w:p>
      <w:pPr>
        <w:pageBreakBefore w:val="0"/>
        <w:kinsoku/>
        <w:wordWrap/>
        <w:overflowPunct/>
        <w:topLinePunct w:val="0"/>
        <w:autoSpaceDE w:val="0"/>
        <w:autoSpaceDN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bookmarkStart w:id="1138" w:name="_Hlk524298376"/>
      <w:r>
        <w:rPr>
          <w:rFonts w:hint="eastAsia" w:ascii="宋体" w:hAnsi="宋体" w:eastAsia="宋体" w:cs="宋体"/>
          <w:color w:val="auto"/>
          <w:sz w:val="24"/>
          <w:szCs w:val="24"/>
          <w:highlight w:val="none"/>
        </w:rPr>
        <w:t>任一索赔事件发生后28天内，承包人/发包人未向对方发出索赔意向通知书的，视为其已放弃索赔权，无权再就该索赔事项提出任何索赔。</w:t>
      </w:r>
    </w:p>
    <w:bookmarkEnd w:id="1124"/>
    <w:bookmarkEnd w:id="1125"/>
    <w:bookmarkEnd w:id="1126"/>
    <w:bookmarkEnd w:id="1127"/>
    <w:bookmarkEnd w:id="1137"/>
    <w:bookmarkEnd w:id="1138"/>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139" w:name="_Toc351203651"/>
      <w:bookmarkStart w:id="1140" w:name="_Toc532377419"/>
      <w:bookmarkStart w:id="1141" w:name="_Toc532375680"/>
      <w:r>
        <w:rPr>
          <w:rFonts w:hint="eastAsia" w:ascii="宋体" w:hAnsi="宋体" w:eastAsia="宋体" w:cs="宋体"/>
          <w:color w:val="auto"/>
          <w:kern w:val="2"/>
          <w:sz w:val="24"/>
          <w:szCs w:val="24"/>
          <w:highlight w:val="none"/>
        </w:rPr>
        <w:t>20. 争议解决</w:t>
      </w:r>
      <w:bookmarkEnd w:id="1139"/>
      <w:bookmarkEnd w:id="1140"/>
      <w:bookmarkEnd w:id="1141"/>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42" w:name="_Toc532375681"/>
      <w:bookmarkStart w:id="1143" w:name="_Toc532377420"/>
      <w:r>
        <w:rPr>
          <w:rFonts w:hint="eastAsia" w:ascii="宋体" w:hAnsi="宋体" w:eastAsia="宋体" w:cs="宋体"/>
          <w:color w:val="auto"/>
          <w:sz w:val="24"/>
          <w:szCs w:val="24"/>
          <w:highlight w:val="none"/>
        </w:rPr>
        <w:t>20.3 争议评审</w:t>
      </w:r>
      <w:bookmarkEnd w:id="1142"/>
      <w:bookmarkEnd w:id="1143"/>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44" w:name="_Toc532377421"/>
      <w:bookmarkStart w:id="1145" w:name="_Toc532375682"/>
      <w:r>
        <w:rPr>
          <w:rFonts w:hint="eastAsia" w:ascii="宋体" w:hAnsi="宋体" w:eastAsia="宋体" w:cs="宋体"/>
          <w:color w:val="auto"/>
          <w:sz w:val="24"/>
          <w:szCs w:val="24"/>
          <w:highlight w:val="none"/>
        </w:rPr>
        <w:t>20.4 仲裁或诉讼</w:t>
      </w:r>
      <w:bookmarkEnd w:id="1144"/>
      <w:bookmarkEnd w:id="1145"/>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p>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bookmarkStart w:id="1146" w:name="_Toc532375683"/>
      <w:bookmarkStart w:id="1147" w:name="_Toc532377422"/>
      <w:r>
        <w:rPr>
          <w:rFonts w:hint="eastAsia" w:ascii="宋体" w:hAnsi="宋体" w:eastAsia="宋体" w:cs="宋体"/>
          <w:color w:val="auto"/>
          <w:kern w:val="2"/>
          <w:sz w:val="24"/>
          <w:szCs w:val="24"/>
          <w:highlight w:val="none"/>
        </w:rPr>
        <w:t>21. 补充条款</w:t>
      </w:r>
      <w:bookmarkEnd w:id="1146"/>
      <w:bookmarkEnd w:id="1147"/>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48" w:name="_Toc532377423"/>
      <w:bookmarkStart w:id="1149" w:name="_Toc532375684"/>
      <w:r>
        <w:rPr>
          <w:rFonts w:hint="eastAsia" w:ascii="宋体" w:hAnsi="宋体" w:eastAsia="宋体" w:cs="宋体"/>
          <w:color w:val="auto"/>
          <w:sz w:val="24"/>
          <w:szCs w:val="24"/>
          <w:highlight w:val="none"/>
        </w:rPr>
        <w:t>21.1 退出机制</w:t>
      </w:r>
      <w:bookmarkEnd w:id="1148"/>
      <w:bookmarkEnd w:id="1149"/>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21.1.1有下列情形之一的，发包人有权解除合同，亦有权兑付履约担保，并对承包人做清退出场处理</w:t>
      </w:r>
      <w:r>
        <w:rPr>
          <w:rFonts w:hint="eastAsia" w:ascii="宋体" w:hAnsi="宋体" w:eastAsia="宋体" w:cs="宋体"/>
          <w:color w:val="auto"/>
          <w:kern w:val="0"/>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（1）因承包人原因造成较大及以上等级生产安全事故或工程质量事故的；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（2）因承包人债权债务纠纷或其他纠纷导致工程无法正常施工的。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3"/>
        <w:pageBreakBefore w:val="0"/>
        <w:kinsoku/>
        <w:wordWrap/>
        <w:overflowPunct/>
        <w:topLinePunct w:val="0"/>
        <w:bidi w:val="0"/>
        <w:spacing w:after="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21.1.2有下列情形之一的，承包人有权解除合同，并按16.1.4约定执行：</w:t>
      </w:r>
    </w:p>
    <w:p>
      <w:pPr>
        <w:pStyle w:val="23"/>
        <w:pageBreakBefore w:val="0"/>
        <w:kinsoku/>
        <w:wordWrap/>
        <w:overflowPunct/>
        <w:topLinePunct w:val="0"/>
        <w:bidi w:val="0"/>
        <w:spacing w:after="0"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（1）因发包人征地、拆迁、补偿、审批手续等原因致使本工程延期开工超过90天的。</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eastAsia" w:ascii="宋体" w:hAnsi="宋体" w:eastAsia="宋体" w:cs="宋体"/>
          <w:color w:val="auto"/>
          <w:sz w:val="24"/>
          <w:szCs w:val="24"/>
          <w:highlight w:val="none"/>
        </w:rPr>
      </w:pPr>
      <w:bookmarkStart w:id="1150" w:name="_Toc532377424"/>
      <w:bookmarkStart w:id="1151" w:name="_Toc532375685"/>
      <w:r>
        <w:rPr>
          <w:rFonts w:hint="eastAsia" w:ascii="宋体" w:hAnsi="宋体" w:eastAsia="宋体" w:cs="宋体"/>
          <w:color w:val="auto"/>
          <w:sz w:val="24"/>
          <w:szCs w:val="24"/>
          <w:highlight w:val="none"/>
        </w:rPr>
        <w:t>21.2智慧工地</w:t>
      </w:r>
      <w:bookmarkEnd w:id="1150"/>
      <w:bookmarkEnd w:id="1151"/>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工地建设可参照重庆市城乡建设委员会《关于印发“智慧工地”建设工作方案的通知》（渝建〔2017〕414号）的相关要求建设。</w:t>
      </w:r>
      <w:bookmarkEnd w:id="1092"/>
    </w:p>
    <w:p>
      <w:pPr>
        <w:pStyle w:val="7"/>
        <w:pageBreakBefore w:val="0"/>
        <w:tabs>
          <w:tab w:val="left" w:pos="2551"/>
        </w:tabs>
        <w:kinsoku/>
        <w:wordWrap/>
        <w:overflowPunct/>
        <w:topLinePunct w:val="0"/>
        <w:bidi w:val="0"/>
        <w:spacing w:before="0" w:beforeAutospacing="0" w:after="0" w:afterAutospacing="0" w:line="500" w:lineRule="exact"/>
        <w:ind w:left="0" w:leftChars="0" w:firstLine="0" w:firstLineChars="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21.3低价风险担保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承包人提供低价风险担保的情形：采用经评审的最低投标价法的项目</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低于最高限价85%时。</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承包人提供低价风险担保的形式、金额及期限：</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（1）低价风险担保的形式：现金或银行保函或现金+银行保函的组合；采用保函形式的，保函必须为不可撤销、不可转让且见索即付的独立保函；</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（2）低价风险担保的金额：</w:t>
      </w:r>
      <w:r>
        <w:rPr>
          <w:rFonts w:hint="eastAsia" w:ascii="宋体" w:hAnsi="宋体" w:eastAsia="宋体" w:cs="宋体"/>
          <w:color w:val="auto"/>
          <w:sz w:val="24"/>
          <w:szCs w:val="24"/>
          <w:highlight w:val="none"/>
          <w:u w:val="single"/>
        </w:rPr>
        <w:t>（最高限价×85%-</w:t>
      </w:r>
      <w:r>
        <w:rPr>
          <w:rFonts w:hint="eastAsia" w:ascii="宋体" w:hAnsi="宋体" w:eastAsia="宋体" w:cs="宋体"/>
          <w:color w:val="auto"/>
          <w:sz w:val="24"/>
          <w:szCs w:val="24"/>
          <w:highlight w:val="none"/>
          <w:u w:val="single"/>
          <w:lang w:val="en-US" w:eastAsia="zh-CN"/>
        </w:rPr>
        <w:t>成交</w:t>
      </w:r>
      <w:r>
        <w:rPr>
          <w:rFonts w:hint="eastAsia" w:ascii="宋体" w:hAnsi="宋体" w:eastAsia="宋体" w:cs="宋体"/>
          <w:color w:val="auto"/>
          <w:sz w:val="24"/>
          <w:szCs w:val="24"/>
          <w:highlight w:val="none"/>
          <w:u w:val="single"/>
        </w:rPr>
        <w:t>价）×3，且最高不超过最高限价的85%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（3）低价风险担保的提交时间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从</w:t>
      </w:r>
      <w:r>
        <w:rPr>
          <w:rFonts w:hint="eastAsia" w:ascii="宋体" w:hAnsi="宋体" w:eastAsia="宋体" w:cs="宋体"/>
          <w:color w:val="auto"/>
          <w:sz w:val="24"/>
          <w:szCs w:val="24"/>
          <w:highlight w:val="none"/>
          <w:u w:val="single"/>
          <w:lang w:val="en-US" w:eastAsia="zh-CN"/>
        </w:rPr>
        <w:t>采购</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u w:val="single"/>
          <w:lang w:val="en-US" w:eastAsia="zh-CN"/>
        </w:rPr>
        <w:t>成交</w:t>
      </w:r>
      <w:r>
        <w:rPr>
          <w:rFonts w:hint="eastAsia" w:ascii="宋体" w:hAnsi="宋体" w:eastAsia="宋体" w:cs="宋体"/>
          <w:color w:val="auto"/>
          <w:sz w:val="24"/>
          <w:szCs w:val="24"/>
          <w:highlight w:val="none"/>
          <w:u w:val="single"/>
        </w:rPr>
        <w:t>通知书送达拟</w:t>
      </w:r>
      <w:r>
        <w:rPr>
          <w:rFonts w:hint="eastAsia" w:ascii="宋体" w:hAnsi="宋体" w:eastAsia="宋体" w:cs="宋体"/>
          <w:color w:val="auto"/>
          <w:sz w:val="24"/>
          <w:szCs w:val="24"/>
          <w:highlight w:val="none"/>
          <w:u w:val="single"/>
          <w:lang w:val="en-US" w:eastAsia="zh-CN"/>
        </w:rPr>
        <w:t>成交人</w:t>
      </w:r>
      <w:r>
        <w:rPr>
          <w:rFonts w:hint="eastAsia" w:ascii="宋体" w:hAnsi="宋体" w:eastAsia="宋体" w:cs="宋体"/>
          <w:color w:val="auto"/>
          <w:sz w:val="24"/>
          <w:szCs w:val="24"/>
          <w:highlight w:val="none"/>
          <w:u w:val="single"/>
        </w:rPr>
        <w:t>之日起  工作日内；</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（4）低价风险担保的期限：自低价风险担保生效之日起至竣工验收合格之日止。</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低价风险担保的退还时间：</w:t>
      </w:r>
      <w:r>
        <w:rPr>
          <w:rFonts w:hint="eastAsia" w:ascii="宋体" w:hAnsi="宋体" w:eastAsia="宋体" w:cs="宋体"/>
          <w:color w:val="auto"/>
          <w:sz w:val="24"/>
          <w:szCs w:val="24"/>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eastAsia="宋体" w:cs="宋体"/>
          <w:color w:val="auto"/>
          <w:sz w:val="24"/>
          <w:szCs w:val="24"/>
          <w:highlight w:val="none"/>
        </w:rPr>
        <w:t>。</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（5）低价风险担保的扣减：</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eastAsia="宋体" w:cs="宋体"/>
          <w:color w:val="auto"/>
          <w:sz w:val="24"/>
          <w:szCs w:val="24"/>
          <w:highlight w:val="none"/>
          <w:u w:val="single"/>
        </w:rPr>
        <w:t>50～100%</w:t>
      </w:r>
      <w:r>
        <w:rPr>
          <w:rFonts w:hint="eastAsia" w:ascii="宋体" w:hAnsi="宋体" w:eastAsia="宋体" w:cs="宋体"/>
          <w:color w:val="auto"/>
          <w:sz w:val="24"/>
          <w:szCs w:val="24"/>
          <w:highlight w:val="none"/>
        </w:rPr>
        <w:t>扣减，直至解除合同；</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②承包人在工程施工期间或竣工验收时，工程质量不符合国家现行有关施工质量验收规范要求的，按低价风险担保金额的</w:t>
      </w:r>
      <w:r>
        <w:rPr>
          <w:rFonts w:hint="eastAsia" w:ascii="宋体" w:hAnsi="宋体" w:eastAsia="宋体" w:cs="宋体"/>
          <w:color w:val="auto"/>
          <w:sz w:val="24"/>
          <w:szCs w:val="24"/>
          <w:highlight w:val="none"/>
          <w:u w:val="single"/>
        </w:rPr>
        <w:t>50～100%</w:t>
      </w:r>
      <w:r>
        <w:rPr>
          <w:rFonts w:hint="eastAsia" w:ascii="宋体" w:hAnsi="宋体" w:eastAsia="宋体" w:cs="宋体"/>
          <w:color w:val="auto"/>
          <w:sz w:val="24"/>
          <w:szCs w:val="24"/>
          <w:highlight w:val="none"/>
        </w:rPr>
        <w:t>扣减，直至解除合同；</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③承包人因16.2.3项原因被解除合同的，低价风险担保将全额扣除；</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④因承包人过错导致的其他情形：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keepNext/>
        <w:keepLines/>
        <w:pageBreakBefore w:val="0"/>
        <w:widowControl w:val="0"/>
        <w:kinsoku/>
        <w:wordWrap/>
        <w:overflowPunct/>
        <w:topLinePunct w:val="0"/>
        <w:autoSpaceDE/>
        <w:autoSpaceDN/>
        <w:bidi w:val="0"/>
        <w:adjustRightInd/>
        <w:snapToGrid/>
        <w:spacing w:before="156" w:beforeLines="50" w:beforeAutospacing="0" w:after="156" w:afterLines="50" w:afterAutospacing="0" w:line="50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21.4 关于不平衡报价的约定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本项目工程实行总价与清单单价双控制的方式实施，不允许不平衡报价</w:t>
      </w:r>
      <w:r>
        <w:rPr>
          <w:rFonts w:hint="eastAsia" w:ascii="宋体" w:hAnsi="宋体" w:eastAsia="宋体" w:cs="宋体"/>
          <w:color w:val="auto"/>
          <w:sz w:val="24"/>
          <w:szCs w:val="24"/>
          <w:highlight w:val="none"/>
          <w:u w:val="single"/>
          <w:lang w:eastAsia="zh-CN"/>
        </w:rPr>
        <w:t>。</w:t>
      </w:r>
      <w:bookmarkStart w:id="1152" w:name="_Toc532375686"/>
      <w:bookmarkStart w:id="1153" w:name="_Toc532377425"/>
      <w:bookmarkStart w:id="1154" w:name="_Toc351203652"/>
    </w:p>
    <w:p>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color w:val="auto"/>
          <w:kern w:val="2"/>
          <w:sz w:val="24"/>
          <w:szCs w:val="24"/>
          <w:highlight w:val="none"/>
        </w:rPr>
        <w:sectPr>
          <w:pgSz w:w="11895" w:h="16845"/>
          <w:pgMar w:top="1431" w:right="1276" w:bottom="1353" w:left="1276" w:header="1134" w:footer="1134" w:gutter="0"/>
          <w:pgNumType w:fmt="decimal"/>
          <w:cols w:space="720" w:num="1"/>
        </w:sectPr>
      </w:pPr>
    </w:p>
    <w:p>
      <w:pPr>
        <w:pStyle w:val="6"/>
        <w:keepNext/>
        <w:keepLines/>
        <w:pageBreakBefore w:val="0"/>
        <w:kinsoku/>
        <w:wordWrap/>
        <w:overflowPunct/>
        <w:topLinePunct w:val="0"/>
        <w:bidi w:val="0"/>
        <w:spacing w:before="156" w:beforeLines="50" w:beforeAutospacing="0" w:after="156" w:afterLines="50" w:afterAutospacing="0" w:line="500" w:lineRule="exact"/>
        <w:jc w:val="both"/>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color w:val="auto"/>
          <w:kern w:val="2"/>
          <w:sz w:val="24"/>
          <w:szCs w:val="24"/>
          <w:highlight w:val="none"/>
        </w:rPr>
        <w:t>22. 合同附件</w:t>
      </w:r>
      <w:bookmarkEnd w:id="1152"/>
      <w:bookmarkEnd w:id="1153"/>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以下附件是本合同的有效组成部分：</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附件1：工程质量保修书</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附件2：主要建设工程文件目录</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附件3：承包人项目管理机构组成表</w:t>
      </w:r>
    </w:p>
    <w:p>
      <w:pPr>
        <w:pStyle w:val="124"/>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附件4：履约担保（如有）</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附件5：专业工程暂估价表</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附件6：</w:t>
      </w:r>
      <w:r>
        <w:rPr>
          <w:rFonts w:hint="eastAsia" w:ascii="宋体" w:hAnsi="宋体" w:eastAsia="宋体" w:cs="宋体"/>
          <w:color w:val="auto"/>
          <w:sz w:val="24"/>
          <w:szCs w:val="24"/>
          <w:highlight w:val="none"/>
        </w:rPr>
        <w:t>廉洁从业协议</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：安全管理协议</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：农民工工资补充协议</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附件9：低价风险担保保函示范文本（独立保函）（如有）</w:t>
      </w:r>
    </w:p>
    <w:p>
      <w:pPr>
        <w:pageBreakBefore w:val="0"/>
        <w:kinsoku/>
        <w:wordWrap/>
        <w:overflowPunct/>
        <w:topLinePunct w:val="0"/>
        <w:bidi w:val="0"/>
        <w:spacing w:line="5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
        </w:rPr>
        <w:t>项目竣工结算审计资料清单</w:t>
      </w:r>
    </w:p>
    <w:bookmarkEnd w:id="1154"/>
    <w:p>
      <w:pPr>
        <w:pageBreakBefore w:val="0"/>
        <w:kinsoku/>
        <w:wordWrap/>
        <w:overflowPunct/>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1155" w:name="_Toc296347225"/>
      <w:bookmarkStart w:id="1156" w:name="_Toc296346727"/>
      <w:bookmarkStart w:id="1157" w:name="_Toc296891266"/>
      <w:bookmarkStart w:id="1158" w:name="_Toc296503226"/>
      <w:bookmarkStart w:id="1159" w:name="_Toc296944565"/>
      <w:bookmarkStart w:id="1160" w:name="_Toc267261693"/>
      <w:bookmarkStart w:id="1161" w:name="_Toc296891054"/>
      <w:r>
        <w:rPr>
          <w:rFonts w:hint="eastAsia" w:ascii="宋体" w:hAnsi="宋体" w:eastAsia="宋体" w:cs="宋体"/>
          <w:color w:val="auto"/>
          <w:sz w:val="24"/>
          <w:szCs w:val="24"/>
          <w:highlight w:val="none"/>
        </w:rPr>
        <w:t>件1：</w:t>
      </w:r>
      <w:bookmarkEnd w:id="1155"/>
      <w:bookmarkEnd w:id="1156"/>
      <w:bookmarkEnd w:id="1157"/>
      <w:bookmarkEnd w:id="1158"/>
      <w:bookmarkEnd w:id="1159"/>
      <w:bookmarkEnd w:id="1160"/>
      <w:bookmarkEnd w:id="1161"/>
    </w:p>
    <w:p>
      <w:pPr>
        <w:pageBreakBefore w:val="0"/>
        <w:kinsoku/>
        <w:wordWrap/>
        <w:overflowPunct/>
        <w:topLinePunct w:val="0"/>
        <w:bidi w:val="0"/>
        <w:spacing w:before="156" w:beforeLines="50" w:after="156" w:afterLines="5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w:t>
      </w:r>
    </w:p>
    <w:p>
      <w:pPr>
        <w:pageBreakBefore w:val="0"/>
        <w:kinsoku/>
        <w:wordWrap/>
        <w:overflowPunct/>
        <w:topLinePunct w:val="0"/>
        <w:bidi w:val="0"/>
        <w:snapToGrid w:val="0"/>
        <w:spacing w:line="500" w:lineRule="exact"/>
        <w:ind w:firstLine="481"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color w:val="auto"/>
          <w:sz w:val="24"/>
          <w:szCs w:val="24"/>
          <w:highlight w:val="none"/>
          <w:u w:val="single"/>
        </w:rPr>
        <w:t xml:space="preserve">                             </w:t>
      </w:r>
    </w:p>
    <w:p>
      <w:pPr>
        <w:pageBreakBefore w:val="0"/>
        <w:kinsoku/>
        <w:wordWrap/>
        <w:overflowPunct/>
        <w:topLinePunct w:val="0"/>
        <w:bidi w:val="0"/>
        <w:snapToGrid w:val="0"/>
        <w:spacing w:line="500" w:lineRule="exact"/>
        <w:ind w:firstLine="481"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color w:val="auto"/>
          <w:sz w:val="24"/>
          <w:szCs w:val="24"/>
          <w:highlight w:val="none"/>
          <w:u w:val="single"/>
        </w:rPr>
        <w:t xml:space="preserve">                             </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p>
    <w:p>
      <w:pPr>
        <w:pageBreakBefore w:val="0"/>
        <w:kinsoku/>
        <w:wordWrap/>
        <w:overflowPunct/>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bookmarkStart w:id="1162" w:name="_Toc532375687"/>
      <w:r>
        <w:rPr>
          <w:rFonts w:hint="eastAsia" w:ascii="宋体" w:hAnsi="宋体" w:eastAsia="宋体" w:cs="宋体"/>
          <w:color w:val="auto"/>
          <w:sz w:val="24"/>
          <w:szCs w:val="24"/>
          <w:highlight w:val="none"/>
        </w:rPr>
        <w:t>一、工程质量保修范围和内容</w:t>
      </w:r>
      <w:bookmarkEnd w:id="1162"/>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承包人承包范围内容均属质量保修范围内容；其中：</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1.属于设计原因造成的质量问题，承包人负责维修，不留隐患，费用由发包人承担；</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2.属于施工造成的质量问题，承包人负责维修，不留隐患；</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3.属于业主使用不当造成的质量问题，配合抢修，费用由发包人承担。</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bookmarkStart w:id="1163" w:name="_Toc532375688"/>
      <w:r>
        <w:rPr>
          <w:rFonts w:hint="eastAsia" w:ascii="宋体" w:hAnsi="宋体" w:eastAsia="宋体" w:cs="宋体"/>
          <w:color w:val="auto"/>
          <w:sz w:val="24"/>
          <w:szCs w:val="24"/>
          <w:highlight w:val="none"/>
        </w:rPr>
        <w:t>二、质量保修期</w:t>
      </w:r>
      <w:bookmarkEnd w:id="1163"/>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根据《建设工程质量管理条例》及有关规定，本工程质量保修期约定如下：</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1.基础设施工程、房屋建筑的地基基础工程和主体结构工程，为设计文件规定的该工程的合理使用年限；</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2.屋面防水工程、有防水要求的卫生间、房间和外墙面的防渗漏，为5年；</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3.供热与供冷系统，为2个采暖期、供冷期；</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4.电气管线、给排水管道、设备安装和装修工程，为2年；</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5.其他项目保修期限：2年；</w:t>
      </w:r>
      <w:r>
        <w:rPr>
          <w:rFonts w:hint="eastAsia" w:ascii="宋体" w:hAnsi="宋体" w:eastAsia="宋体" w:cs="宋体"/>
          <w:i/>
          <w:color w:val="auto"/>
          <w:sz w:val="24"/>
          <w:szCs w:val="24"/>
          <w:highlight w:val="none"/>
        </w:rPr>
        <w:t>[提示：如有不同，根据具体情况修改]</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建设工程的保修期，自工程竣工验收合格之日起计算。</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bookmarkStart w:id="1164" w:name="_Toc532375689"/>
      <w:r>
        <w:rPr>
          <w:rFonts w:hint="eastAsia" w:ascii="宋体" w:hAnsi="宋体" w:eastAsia="宋体" w:cs="宋体"/>
          <w:color w:val="auto"/>
          <w:sz w:val="24"/>
          <w:szCs w:val="24"/>
          <w:highlight w:val="none"/>
        </w:rPr>
        <w:t>三、质量保修责任</w:t>
      </w:r>
      <w:bookmarkEnd w:id="1164"/>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bookmarkStart w:id="1165" w:name="_Toc532375690"/>
      <w:r>
        <w:rPr>
          <w:rFonts w:hint="eastAsia" w:ascii="宋体" w:hAnsi="宋体" w:eastAsia="宋体" w:cs="宋体"/>
          <w:color w:val="auto"/>
          <w:sz w:val="24"/>
          <w:szCs w:val="24"/>
          <w:highlight w:val="none"/>
        </w:rPr>
        <w:t>四、保修费用</w:t>
      </w:r>
      <w:bookmarkEnd w:id="1165"/>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保修费用由质量缺陷的责任方承担。</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bookmarkStart w:id="1166" w:name="_Toc532375691"/>
      <w:r>
        <w:rPr>
          <w:rFonts w:hint="eastAsia" w:ascii="宋体" w:hAnsi="宋体" w:eastAsia="宋体" w:cs="宋体"/>
          <w:color w:val="auto"/>
          <w:sz w:val="24"/>
          <w:szCs w:val="24"/>
          <w:highlight w:val="none"/>
        </w:rPr>
        <w:t>五、双方约定的其他工程质量保修事项</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按国家相关法律和规定执行</w:t>
      </w:r>
      <w:r>
        <w:rPr>
          <w:rFonts w:hint="eastAsia" w:ascii="宋体" w:hAnsi="宋体" w:eastAsia="宋体" w:cs="宋体"/>
          <w:color w:val="auto"/>
          <w:sz w:val="24"/>
          <w:szCs w:val="24"/>
          <w:highlight w:val="none"/>
        </w:rPr>
        <w:t>。</w:t>
      </w:r>
      <w:bookmarkEnd w:id="1166"/>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本工程质量保修书由发包人、承包人在工程竣工验收前共同签署，作为施工合同附件，其有效期限至保修期满。</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六、本文件生效</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本工程质量保修书经发包人与承包人盖章后生效。</w:t>
      </w:r>
    </w:p>
    <w:p>
      <w:pPr>
        <w:pStyle w:val="23"/>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（盖单位公章）</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（签名）</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p>
    <w:p>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（盖单位公章）</w:t>
      </w: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p>
    <w:p>
      <w:pPr>
        <w:pageBreakBefore w:val="0"/>
        <w:kinsoku/>
        <w:wordWrap/>
        <w:overflowPunct/>
        <w:topLinePunct w:val="0"/>
        <w:bidi w:val="0"/>
        <w:spacing w:line="5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（签名）</w:t>
      </w:r>
    </w:p>
    <w:p>
      <w:pPr>
        <w:pageBreakBefore w:val="0"/>
        <w:kinsoku/>
        <w:wordWrap/>
        <w:overflowPunct/>
        <w:topLinePunct w:val="0"/>
        <w:bidi w:val="0"/>
        <w:spacing w:line="500" w:lineRule="exact"/>
        <w:ind w:firstLine="478" w:firstLineChars="200"/>
        <w:textAlignment w:val="auto"/>
        <w:rPr>
          <w:rFonts w:hint="eastAsia" w:ascii="宋体" w:hAnsi="宋体" w:eastAsia="宋体" w:cs="宋体"/>
          <w:snapToGrid w:val="0"/>
          <w:color w:val="auto"/>
          <w:spacing w:val="1"/>
          <w:w w:val="99"/>
          <w:kern w:val="0"/>
          <w:position w:val="-2"/>
          <w:sz w:val="24"/>
          <w:szCs w:val="24"/>
          <w:highlight w:val="none"/>
        </w:rPr>
      </w:pPr>
    </w:p>
    <w:p>
      <w:pPr>
        <w:pageBreakBefore w:val="0"/>
        <w:kinsoku/>
        <w:wordWrap/>
        <w:overflowPunct/>
        <w:topLinePunct w:val="0"/>
        <w:bidi w:val="0"/>
        <w:spacing w:line="500" w:lineRule="exact"/>
        <w:ind w:firstLine="478" w:firstLineChars="200"/>
        <w:textAlignment w:val="auto"/>
        <w:rPr>
          <w:rFonts w:hint="eastAsia" w:ascii="宋体" w:hAnsi="宋体" w:eastAsia="宋体" w:cs="宋体"/>
          <w:snapToGrid w:val="0"/>
          <w:color w:val="auto"/>
          <w:spacing w:val="1"/>
          <w:w w:val="99"/>
          <w:kern w:val="0"/>
          <w:position w:val="-2"/>
          <w:sz w:val="24"/>
          <w:szCs w:val="24"/>
          <w:highlight w:val="none"/>
        </w:rPr>
      </w:pPr>
    </w:p>
    <w:p>
      <w:pPr>
        <w:pageBreakBefore w:val="0"/>
        <w:kinsoku/>
        <w:wordWrap/>
        <w:overflowPunct/>
        <w:topLinePunct w:val="0"/>
        <w:bidi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签约时间：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附件2：</w:t>
      </w:r>
    </w:p>
    <w:p>
      <w:pPr>
        <w:spacing w:before="156" w:beforeLines="50" w:after="156" w:afterLines="50"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主要建设工程文件目录</w:t>
      </w:r>
    </w:p>
    <w:tbl>
      <w:tblPr>
        <w:tblStyle w:val="64"/>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文件名称</w:t>
            </w:r>
          </w:p>
        </w:tc>
        <w:tc>
          <w:tcPr>
            <w:tcW w:w="1418"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套数</w:t>
            </w:r>
          </w:p>
        </w:tc>
        <w:tc>
          <w:tcPr>
            <w:tcW w:w="1418" w:type="dxa"/>
            <w:noWrap w:val="0"/>
            <w:vAlign w:val="top"/>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移交时间</w:t>
            </w:r>
          </w:p>
        </w:tc>
        <w:tc>
          <w:tcPr>
            <w:tcW w:w="2917" w:type="dxa"/>
            <w:noWrap w:val="0"/>
            <w:vAlign w:val="top"/>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2917" w:type="dxa"/>
            <w:noWrap w:val="0"/>
            <w:vAlign w:val="top"/>
          </w:tcPr>
          <w:p>
            <w:pPr>
              <w:spacing w:line="400" w:lineRule="exact"/>
              <w:ind w:firstLine="420" w:firstLineChars="200"/>
              <w:rPr>
                <w:rFonts w:hint="eastAsia" w:ascii="宋体" w:hAnsi="宋体" w:eastAsia="宋体" w:cs="宋体"/>
                <w:color w:val="auto"/>
                <w:szCs w:val="21"/>
                <w:highlight w:val="none"/>
              </w:rPr>
            </w:pPr>
          </w:p>
        </w:tc>
      </w:tr>
    </w:tbl>
    <w:p>
      <w:pPr>
        <w:spacing w:line="360" w:lineRule="auto"/>
        <w:ind w:firstLine="420" w:firstLineChars="200"/>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w:t>
      </w:r>
      <w:bookmarkStart w:id="1167" w:name="_Toc296944567"/>
      <w:bookmarkStart w:id="1168" w:name="_Toc296347227"/>
      <w:bookmarkStart w:id="1169" w:name="_Toc267261699"/>
      <w:bookmarkStart w:id="1170" w:name="_Toc296346729"/>
      <w:bookmarkStart w:id="1171" w:name="_Toc296891268"/>
      <w:bookmarkStart w:id="1172" w:name="_Toc296891056"/>
      <w:bookmarkStart w:id="1173" w:name="_Toc296503228"/>
      <w:r>
        <w:rPr>
          <w:rFonts w:hint="eastAsia" w:ascii="宋体" w:hAnsi="宋体" w:eastAsia="宋体" w:cs="宋体"/>
          <w:color w:val="auto"/>
          <w:szCs w:val="21"/>
          <w:highlight w:val="none"/>
        </w:rPr>
        <w:t>件3：</w:t>
      </w:r>
    </w:p>
    <w:bookmarkEnd w:id="1167"/>
    <w:bookmarkEnd w:id="1168"/>
    <w:bookmarkEnd w:id="1169"/>
    <w:bookmarkEnd w:id="1170"/>
    <w:bookmarkEnd w:id="1171"/>
    <w:bookmarkEnd w:id="1172"/>
    <w:bookmarkEnd w:id="1173"/>
    <w:p>
      <w:pPr>
        <w:spacing w:before="156" w:beforeLines="50" w:after="156" w:afterLines="50"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承包人项目管理机构组成表</w:t>
      </w:r>
    </w:p>
    <w:tbl>
      <w:tblPr>
        <w:tblStyle w:val="6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418"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418"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1134" w:type="dxa"/>
            <w:noWrap w:val="0"/>
            <w:vAlign w:val="center"/>
          </w:tcPr>
          <w:p>
            <w:pPr>
              <w:spacing w:line="400" w:lineRule="exact"/>
              <w:ind w:firstLine="420" w:firstLineChars="200"/>
              <w:rPr>
                <w:rFonts w:hint="eastAsia" w:ascii="宋体" w:hAnsi="宋体" w:eastAsia="宋体" w:cs="宋体"/>
                <w:color w:val="auto"/>
                <w:szCs w:val="21"/>
                <w:highlight w:val="none"/>
              </w:rPr>
            </w:pPr>
          </w:p>
        </w:tc>
        <w:tc>
          <w:tcPr>
            <w:tcW w:w="4252" w:type="dxa"/>
            <w:noWrap w:val="0"/>
            <w:vAlign w:val="center"/>
          </w:tcPr>
          <w:p>
            <w:pPr>
              <w:spacing w:line="400" w:lineRule="exact"/>
              <w:ind w:firstLine="420" w:firstLineChars="200"/>
              <w:rPr>
                <w:rFonts w:hint="eastAsia" w:ascii="宋体" w:hAnsi="宋体" w:eastAsia="宋体" w:cs="宋体"/>
                <w:color w:val="auto"/>
                <w:szCs w:val="21"/>
                <w:highlight w:val="none"/>
              </w:rPr>
            </w:pPr>
          </w:p>
        </w:tc>
      </w:tr>
    </w:tbl>
    <w:p>
      <w:pPr>
        <w:spacing w:line="48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br w:type="page"/>
      </w:r>
      <w:bookmarkStart w:id="1174" w:name="_Toc267261701"/>
      <w:r>
        <w:rPr>
          <w:rFonts w:hint="eastAsia" w:ascii="宋体" w:hAnsi="宋体" w:eastAsia="宋体" w:cs="宋体"/>
          <w:color w:val="auto"/>
          <w:szCs w:val="21"/>
          <w:highlight w:val="none"/>
        </w:rPr>
        <w:t>附</w:t>
      </w:r>
      <w:bookmarkStart w:id="1175" w:name="_Toc296503231"/>
      <w:bookmarkStart w:id="1176" w:name="_Toc296891271"/>
      <w:bookmarkStart w:id="1177" w:name="_Toc296891059"/>
      <w:bookmarkStart w:id="1178" w:name="_Toc296347230"/>
      <w:bookmarkStart w:id="1179" w:name="_Toc296944570"/>
      <w:bookmarkStart w:id="1180" w:name="_Toc296346732"/>
      <w:r>
        <w:rPr>
          <w:rFonts w:hint="eastAsia" w:ascii="宋体" w:hAnsi="宋体" w:eastAsia="宋体" w:cs="宋体"/>
          <w:color w:val="auto"/>
          <w:szCs w:val="21"/>
          <w:highlight w:val="none"/>
        </w:rPr>
        <w:t>件4：</w:t>
      </w:r>
      <w:r>
        <w:rPr>
          <w:rFonts w:hint="eastAsia" w:ascii="宋体" w:hAnsi="宋体" w:eastAsia="宋体" w:cs="宋体"/>
          <w:color w:val="auto"/>
          <w:szCs w:val="21"/>
          <w:highlight w:val="none"/>
          <w:lang w:val="en-US" w:eastAsia="zh-CN"/>
        </w:rPr>
        <w:t>履约担保（如有）</w:t>
      </w:r>
    </w:p>
    <w:bookmarkEnd w:id="1174"/>
    <w:bookmarkEnd w:id="1175"/>
    <w:bookmarkEnd w:id="1176"/>
    <w:bookmarkEnd w:id="1177"/>
    <w:bookmarkEnd w:id="1178"/>
    <w:bookmarkEnd w:id="1179"/>
    <w:bookmarkEnd w:id="1180"/>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（以下简称“申请人”）就工程</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（以下简称“本工程”）施工和有关事项协商一致，根据本工程中标通知书、</w:t>
      </w:r>
      <w:r>
        <w:rPr>
          <w:rFonts w:hint="eastAsia" w:ascii="宋体" w:hAnsi="宋体" w:eastAsia="宋体" w:cs="宋体"/>
          <w:color w:val="auto"/>
          <w:kern w:val="2"/>
          <w:sz w:val="21"/>
          <w:szCs w:val="21"/>
          <w:highlight w:val="none"/>
          <w:lang w:eastAsia="zh-CN"/>
        </w:rPr>
        <w:t>磋商文件</w:t>
      </w:r>
      <w:r>
        <w:rPr>
          <w:rFonts w:hint="eastAsia" w:ascii="宋体" w:hAnsi="宋体" w:eastAsia="宋体" w:cs="宋体"/>
          <w:color w:val="auto"/>
          <w:kern w:val="2"/>
          <w:sz w:val="21"/>
          <w:szCs w:val="21"/>
          <w:highlight w:val="none"/>
        </w:rPr>
        <w:t>和投标文件，了解到申请人为本工程项下之承包人、受益人为本工程项下之发包人，基于申请人的请求，我方（即“开立人”）同意就申请人履行本工程依据中标通知书、</w:t>
      </w:r>
      <w:r>
        <w:rPr>
          <w:rFonts w:hint="eastAsia" w:ascii="宋体" w:hAnsi="宋体" w:eastAsia="宋体" w:cs="宋体"/>
          <w:color w:val="auto"/>
          <w:kern w:val="2"/>
          <w:sz w:val="21"/>
          <w:szCs w:val="21"/>
          <w:highlight w:val="none"/>
          <w:lang w:eastAsia="zh-CN"/>
        </w:rPr>
        <w:t>磋商文件</w:t>
      </w:r>
      <w:r>
        <w:rPr>
          <w:rFonts w:hint="eastAsia" w:ascii="宋体" w:hAnsi="宋体" w:eastAsia="宋体" w:cs="宋体"/>
          <w:color w:val="auto"/>
          <w:kern w:val="2"/>
          <w:sz w:val="21"/>
          <w:szCs w:val="21"/>
          <w:highlight w:val="none"/>
        </w:rPr>
        <w:t>和投标文件签订的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起至合同约定的工期截止日后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w:t>
      </w:r>
    </w:p>
    <w:p>
      <w:pPr>
        <w:spacing w:before="156" w:beforeLines="50" w:after="156" w:afterLines="50"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专业工程暂估价表</w:t>
      </w:r>
    </w:p>
    <w:tbl>
      <w:tblPr>
        <w:tblStyle w:val="64"/>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noWrap w:val="0"/>
            <w:vAlign w:val="top"/>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专业工程名称</w:t>
            </w:r>
          </w:p>
        </w:tc>
        <w:tc>
          <w:tcPr>
            <w:tcW w:w="5103" w:type="dxa"/>
            <w:noWrap w:val="0"/>
            <w:vAlign w:val="top"/>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工程内容</w:t>
            </w:r>
          </w:p>
        </w:tc>
        <w:tc>
          <w:tcPr>
            <w:tcW w:w="1560" w:type="dxa"/>
            <w:noWrap w:val="0"/>
            <w:vAlign w:val="top"/>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984"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5103" w:type="dxa"/>
            <w:noWrap w:val="0"/>
            <w:vAlign w:val="top"/>
          </w:tcPr>
          <w:p>
            <w:pPr>
              <w:spacing w:line="400" w:lineRule="exact"/>
              <w:ind w:firstLine="420" w:firstLineChars="200"/>
              <w:rPr>
                <w:rFonts w:hint="eastAsia" w:ascii="宋体" w:hAnsi="宋体" w:eastAsia="宋体" w:cs="宋体"/>
                <w:color w:val="auto"/>
                <w:szCs w:val="21"/>
                <w:highlight w:val="none"/>
              </w:rPr>
            </w:pPr>
          </w:p>
        </w:tc>
        <w:tc>
          <w:tcPr>
            <w:tcW w:w="1560" w:type="dxa"/>
            <w:noWrap w:val="0"/>
            <w:vAlign w:val="top"/>
          </w:tcPr>
          <w:p>
            <w:pPr>
              <w:spacing w:line="4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6" w:type="dxa"/>
            <w:gridSpan w:val="4"/>
            <w:noWrap w:val="0"/>
            <w:vAlign w:val="top"/>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小计：</w:t>
            </w:r>
          </w:p>
        </w:tc>
      </w:tr>
    </w:tbl>
    <w:p>
      <w:pPr>
        <w:spacing w:line="360" w:lineRule="auto"/>
        <w:ind w:firstLine="420" w:firstLineChars="200"/>
        <w:rPr>
          <w:rFonts w:hint="eastAsia" w:ascii="宋体" w:hAnsi="宋体" w:eastAsia="宋体" w:cs="宋体"/>
          <w:color w:val="auto"/>
          <w:szCs w:val="21"/>
          <w:highlight w:val="none"/>
        </w:rPr>
      </w:pPr>
    </w:p>
    <w:p>
      <w:pPr>
        <w:pStyle w:val="23"/>
        <w:spacing w:line="360" w:lineRule="auto"/>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p>
    <w:p>
      <w:pPr>
        <w:spacing w:before="156" w:beforeLines="50" w:after="156" w:afterLines="50"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廉洁从业协议</w:t>
      </w:r>
    </w:p>
    <w:p>
      <w:pPr>
        <w:keepNext w:val="0"/>
        <w:keepLines w:val="0"/>
        <w:pageBreakBefore w:val="0"/>
        <w:widowControl w:val="0"/>
        <w:kinsoku/>
        <w:wordWrap/>
        <w:overflowPunct/>
        <w:topLinePunct w:val="0"/>
        <w:autoSpaceDE/>
        <w:autoSpaceDN/>
        <w:bidi w:val="0"/>
        <w:adjustRightInd/>
        <w:snapToGrid w:val="0"/>
        <w:spacing w:line="500" w:lineRule="exact"/>
        <w:ind w:firstLine="481"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color w:val="auto"/>
          <w:sz w:val="24"/>
          <w:szCs w:val="24"/>
          <w:highlight w:val="none"/>
          <w:u w:val="single"/>
        </w:rPr>
        <w:t xml:space="preserve">                             </w:t>
      </w:r>
    </w:p>
    <w:p>
      <w:pPr>
        <w:keepNext w:val="0"/>
        <w:keepLines w:val="0"/>
        <w:pageBreakBefore w:val="0"/>
        <w:widowControl w:val="0"/>
        <w:kinsoku/>
        <w:wordWrap/>
        <w:overflowPunct/>
        <w:topLinePunct w:val="0"/>
        <w:autoSpaceDE/>
        <w:autoSpaceDN/>
        <w:bidi w:val="0"/>
        <w:adjustRightInd/>
        <w:snapToGrid w:val="0"/>
        <w:spacing w:line="500" w:lineRule="exact"/>
        <w:ind w:firstLine="481"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color w:val="auto"/>
          <w:sz w:val="24"/>
          <w:szCs w:val="24"/>
          <w:highlight w:val="none"/>
          <w:u w:val="single"/>
        </w:rPr>
        <w:t xml:space="preserve">                  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发包人承包人的权利和义务</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（1）严格遵守党的政策规定和国家有关法律法规及相关部门的有关规定。</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（2）严格执行工程的合同文件，自觉按合同办事。</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（6）发现对方严重违反协议义务条款的行为，有向其上级有关部门举报、建议给予处理并要求告知处理结果的权利。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发包人的义务</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（2）发包人工作人员不得参加承包人安排的超标准宴请和娱乐活动；不得接受承包人提供的通讯工具、交通工具和高档办公用品等。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（3）发包人及其工作人员不得要求或者接受承包人为其住房装修、婚丧嫁娶活动、配偶子女的工作安排以及出国出境、旅游等提供方便等。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（4）发包人工作人员及其配偶、子女不得从事与发包人工程有关的材料设备供应、工程分包、劳务等经济活动等。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（5）发包人及其工作人员不得以任何理由向承包人推荐分包单位或推销材料，不得要求承包人购买合同规定外的材料和设备。</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承包人义务</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（2）承包人不得以任何名义为发包人及其工作人员报销应由发包人单位或个人支付的任何费用。</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（3）承包人不得以任何理由安排发包人工作人员参加超标准宴请及娱乐活动。</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（4）承包人不得为发包人单位和个人购置或提供通讯工具、交通工具和高档办公用品等。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违约责任</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（1）发包人及其工作人员违反合同第1、2条，按管理权限，依据有关规定给予党纪、政纪或组织处理；涉嫌犯罪的，移交司法机关追究刑事责任；给承包人单位造成经济损失的，应予以赔偿。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（2）承包人及其工作人员违反合同第1、3条，按管理权限，依据有关规定给予党纪、政纪或组织处理；给发包人单位造成经济损失的，应予以赔偿。</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协议有效期为甲乙双方签署之日起至该工程项目竣工验收后止。</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7.协议作为 工程施工合同的附件，与工程施工合同具有同等的法律效力，经合同双方签署立即生效。</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或其授权的代理人：                  或授权的代理人：</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p>
    <w:p>
      <w:pPr>
        <w:spacing w:before="156" w:beforeLines="50" w:after="156" w:afterLines="50" w:line="480" w:lineRule="auto"/>
        <w:jc w:val="center"/>
        <w:rPr>
          <w:rFonts w:hint="eastAsia" w:ascii="宋体" w:hAnsi="宋体" w:eastAsia="宋体" w:cs="宋体"/>
          <w:color w:val="auto"/>
          <w:szCs w:val="21"/>
          <w:highlight w:val="none"/>
        </w:rPr>
      </w:pPr>
      <w:bookmarkStart w:id="1181" w:name="_Toc239510288"/>
      <w:bookmarkStart w:id="1182" w:name="_Toc435689499"/>
      <w:bookmarkStart w:id="1183" w:name="_Toc435690184"/>
      <w:bookmarkStart w:id="1184" w:name="_Toc448406299"/>
      <w:bookmarkStart w:id="1185" w:name="_Toc336680145"/>
      <w:bookmarkStart w:id="1186" w:name="_Toc247431422"/>
      <w:r>
        <w:rPr>
          <w:rFonts w:hint="eastAsia" w:ascii="宋体" w:hAnsi="宋体" w:eastAsia="宋体" w:cs="宋体"/>
          <w:color w:val="auto"/>
          <w:szCs w:val="21"/>
          <w:highlight w:val="none"/>
        </w:rPr>
        <w:t>安全管理协议</w:t>
      </w:r>
      <w:bookmarkEnd w:id="1181"/>
      <w:bookmarkEnd w:id="1182"/>
      <w:bookmarkEnd w:id="1183"/>
      <w:bookmarkEnd w:id="1184"/>
      <w:bookmarkEnd w:id="1185"/>
      <w:bookmarkEnd w:id="1186"/>
    </w:p>
    <w:p>
      <w:pPr>
        <w:keepNext w:val="0"/>
        <w:keepLines w:val="0"/>
        <w:pageBreakBefore w:val="0"/>
        <w:widowControl w:val="0"/>
        <w:kinsoku/>
        <w:wordWrap/>
        <w:overflowPunct/>
        <w:topLinePunct w:val="0"/>
        <w:autoSpaceDE/>
        <w:autoSpaceDN/>
        <w:bidi w:val="0"/>
        <w:adjustRightInd/>
        <w:snapToGrid w:val="0"/>
        <w:spacing w:line="500" w:lineRule="exact"/>
        <w:ind w:firstLine="481"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color w:val="auto"/>
          <w:sz w:val="24"/>
          <w:szCs w:val="24"/>
          <w:highlight w:val="none"/>
          <w:u w:val="single"/>
        </w:rPr>
        <w:t xml:space="preserve">                             </w:t>
      </w:r>
    </w:p>
    <w:p>
      <w:pPr>
        <w:keepNext w:val="0"/>
        <w:keepLines w:val="0"/>
        <w:pageBreakBefore w:val="0"/>
        <w:widowControl w:val="0"/>
        <w:kinsoku/>
        <w:wordWrap/>
        <w:overflowPunct/>
        <w:topLinePunct w:val="0"/>
        <w:autoSpaceDE/>
        <w:autoSpaceDN/>
        <w:bidi w:val="0"/>
        <w:adjustRightInd/>
        <w:snapToGrid w:val="0"/>
        <w:spacing w:line="500" w:lineRule="exact"/>
        <w:ind w:firstLine="481"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color w:val="auto"/>
          <w:sz w:val="24"/>
          <w:szCs w:val="24"/>
          <w:highlight w:val="none"/>
          <w:u w:val="single"/>
        </w:rPr>
        <w:t xml:space="preserve">                             </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为了确保实现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安全生产目标，进一步明确双方的安全管理责任，加强安全生产管理工作的协调、管理力度，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187" w:name="_Toc247418263"/>
      <w:bookmarkStart w:id="1188" w:name="_Toc532375700"/>
      <w:bookmarkStart w:id="1189" w:name="_Toc247431423"/>
      <w:bookmarkStart w:id="1190" w:name="_Toc239510289"/>
      <w:r>
        <w:rPr>
          <w:rFonts w:hint="eastAsia" w:ascii="宋体" w:hAnsi="宋体" w:eastAsia="宋体" w:cs="宋体"/>
          <w:color w:val="auto"/>
          <w:sz w:val="24"/>
          <w:szCs w:val="24"/>
          <w:highlight w:val="none"/>
        </w:rPr>
        <w:t>一、协议有效期限</w:t>
      </w:r>
      <w:bookmarkEnd w:id="1187"/>
      <w:bookmarkEnd w:id="1188"/>
      <w:bookmarkEnd w:id="1189"/>
      <w:bookmarkEnd w:id="1190"/>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本协议中所涉及的安全管理责任自合同签订之日起开始生效，至合同工程全部完工验收且经发包人与承包人签订移交协议生效后之日终止。</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191" w:name="_Toc247418264"/>
      <w:bookmarkStart w:id="1192" w:name="_Toc247431424"/>
      <w:bookmarkStart w:id="1193" w:name="_Toc239510290"/>
      <w:bookmarkStart w:id="1194" w:name="_Toc532375701"/>
      <w:r>
        <w:rPr>
          <w:rFonts w:hint="eastAsia" w:ascii="宋体" w:hAnsi="宋体" w:eastAsia="宋体" w:cs="宋体"/>
          <w:color w:val="auto"/>
          <w:sz w:val="24"/>
          <w:szCs w:val="24"/>
          <w:highlight w:val="none"/>
        </w:rPr>
        <w:t>二、责任目标</w:t>
      </w:r>
      <w:bookmarkEnd w:id="1191"/>
      <w:bookmarkEnd w:id="1192"/>
      <w:bookmarkEnd w:id="1193"/>
      <w:bookmarkEnd w:id="1194"/>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（一）承包人承诺承担和履行合同和发包人所规定的安全责任，且满足要求。</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（二）承包人的安全控制目标是确保本工程在实施过程中：</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1．不发生人身重伤事故；</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2．不发生火灾事故；</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3．不发生负有同等及以上事故责任的造成人身重伤的一般交通事故；</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4．不发生集体食物中毒事件（同时5人及以上的食物中毒）；</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5．不发生流行性传染病 （无甲型传染病、其他常见传染病未形成多人同时患病）；</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6．不发生重大环境污染事件（生活、工业垃圾及其他污染物造成环境污染和大面积水土流失）；</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7．不发生对施工区附近生产、生活造成重大影响的事件（如造成重大设备损坏、重大财产损失、人员伤害等）；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8．不发生治安保卫事件（构成刑事拘留及以上的事件、盗窃直接损失超过1万元人民币的事件）。</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bookmarkStart w:id="1195" w:name="_Toc239510291"/>
      <w:bookmarkStart w:id="1196" w:name="_Toc247418265"/>
      <w:bookmarkStart w:id="1197" w:name="_Toc247431425"/>
      <w:r>
        <w:rPr>
          <w:rFonts w:hint="eastAsia" w:ascii="宋体" w:hAnsi="宋体" w:eastAsia="宋体" w:cs="宋体"/>
          <w:color w:val="auto"/>
          <w:sz w:val="24"/>
          <w:szCs w:val="24"/>
          <w:highlight w:val="none"/>
        </w:rPr>
        <w:t>（三）承包人承诺在施工中控制以下安全事故的发生：</w:t>
      </w:r>
      <w:bookmarkEnd w:id="1195"/>
      <w:bookmarkEnd w:id="1196"/>
      <w:bookmarkEnd w:id="1197"/>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1．人员轻伤事故。</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2．负有同等及以上事故责任的人身轻伤交通事故。</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3．其他安全未遂事故和异常事件。</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198" w:name="_Toc247418266"/>
      <w:bookmarkStart w:id="1199" w:name="_Toc239510292"/>
      <w:bookmarkStart w:id="1200" w:name="_Toc247431426"/>
      <w:bookmarkStart w:id="1201" w:name="_Toc532375702"/>
      <w:r>
        <w:rPr>
          <w:rFonts w:hint="eastAsia" w:ascii="宋体" w:hAnsi="宋体" w:eastAsia="宋体" w:cs="宋体"/>
          <w:color w:val="auto"/>
          <w:sz w:val="24"/>
          <w:szCs w:val="24"/>
          <w:highlight w:val="none"/>
        </w:rPr>
        <w:t>三、安全责任</w:t>
      </w:r>
      <w:bookmarkEnd w:id="1198"/>
      <w:bookmarkEnd w:id="1199"/>
      <w:bookmarkEnd w:id="1200"/>
      <w:bookmarkEnd w:id="1201"/>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1．承包人负有安全生产的管理责任和直接责任。</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2．承包人的法人或签署合同的公司总经理或受委托的代理人对合同安全负有全面的领导责任。</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3．承包人项目经理对施工现场的安全工作负有全面的直接领导责任。</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4．承包人保证执行“谁施工、谁负责”的施工安全原则。</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5．承包人保证服从发包人对安全工作的统一协调和管理。</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6．承包人保证对本工程项目安全生产条件及其管理资源自行投入，保证安全资金的专款专用。</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7．承包人保证建立本工程项目的安全管理体系及安全保证体系（注：项目安全管理大纲/手册、管理性的程序文件等）。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8．承包人保证现场的安全管理专职人员必须持有建设主管部门安全生产培训考核合格证书。</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9．承包人保证为现场所有工作人员（含分包商员工及劳务人员）配备符合国家标准的有承包人和/或其下属分包商标志的个人基本劳动保护用品。</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10．承包人保证按照国家法律规定为现场所有工作人员（含分包商员工及劳务人员）购买意外伤害保险。</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11．承包人保证施工生活营地（包括自建的和租用的营地）满足消防、安全用电、卫生防疫、防暴雨、防雷击等方面的安全要求。</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12．承包人保证对带入现场的设备、工具、材料按照国家法规和标准进行检测、试验，并持有法定部门出具的检验证书。</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13．承包人保证制订施工现场的文明施工措施，保护环境、树木和植被，保持施工现场的良好秩序和整洁的作业环境。</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14．承包人负责在施工过程中与当地政府、周边群众及其他承包商保持良好的沟通和交流。承包人遇到与周边群众发生纠纷时，应负责协调工作，确保工程能够顺利进行。</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02" w:name="_Toc239510293"/>
      <w:bookmarkStart w:id="1203" w:name="_Toc247418267"/>
      <w:bookmarkStart w:id="1204" w:name="_Toc247431427"/>
      <w:bookmarkStart w:id="1205" w:name="_Toc532375703"/>
      <w:r>
        <w:rPr>
          <w:rFonts w:hint="eastAsia" w:ascii="宋体" w:hAnsi="宋体" w:eastAsia="宋体" w:cs="宋体"/>
          <w:color w:val="auto"/>
          <w:sz w:val="24"/>
          <w:szCs w:val="24"/>
          <w:highlight w:val="none"/>
        </w:rPr>
        <w:t>四、接口及协调</w:t>
      </w:r>
      <w:bookmarkEnd w:id="1202"/>
      <w:bookmarkEnd w:id="1203"/>
      <w:bookmarkEnd w:id="1204"/>
      <w:bookmarkEnd w:id="1205"/>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1．发包人委托监理公司对该工程实施监理，监理公司在安全管理方面代表发包人行使监督检查职能，承包人必须给予配合和支持。</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2．承包人人员、车辆的出入，带入现场的设备、机具、材料，在现场使用的或直接管理的办公、生活、生产性设施的安全管理须满足发包人现场管理的基本要求。</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5．承包人指定的专职安全管理人员应与发包人委托的监理公司建立联系，在业务上接受发包人委托的监理公司的协调和指导。</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6．开工后承包人的专职安全管理人员应按照发包人委托的监理公司的规定，定期报送安全月度快报、季报、年报和各种专项事故报告等。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7．在工程实体未全部正式移交发包人施工管理部门之前，承包人依旧对施工范围内的安全管理负责。</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06" w:name="_Toc239510294"/>
      <w:bookmarkStart w:id="1207" w:name="_Toc247431428"/>
      <w:bookmarkStart w:id="1208" w:name="_Toc247418268"/>
      <w:bookmarkStart w:id="1209" w:name="_Toc532375704"/>
      <w:r>
        <w:rPr>
          <w:rFonts w:hint="eastAsia" w:ascii="宋体" w:hAnsi="宋体" w:eastAsia="宋体" w:cs="宋体"/>
          <w:color w:val="auto"/>
          <w:sz w:val="24"/>
          <w:szCs w:val="24"/>
          <w:highlight w:val="none"/>
        </w:rPr>
        <w:t>五、安全资质审查</w:t>
      </w:r>
      <w:bookmarkEnd w:id="1206"/>
      <w:bookmarkEnd w:id="1207"/>
      <w:bookmarkEnd w:id="1208"/>
      <w:bookmarkEnd w:id="1209"/>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承包人在项目开工前5个工作天内向发包人委托的监理公司提供以下安全资质供审查和存档：</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1．企业安全生产许可证书复印件。</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2．企业近三年的施工简历及安全施工业绩证明文件。</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3．企业主要安全管理人员（包括项目经理、专职安全管理人员）经建设主管部门安全生产知识考核合格证书。</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4．特种作业人员资格证书。</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5．项目安全管理机构及其人员配备（承包人必须配有专职的安全员）。</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6．适用于项目的安全管理体系及保证体系文件（安全管理大纲及管理程序文件）。</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10" w:name="_Toc239510295"/>
      <w:bookmarkStart w:id="1211" w:name="_Toc247431429"/>
      <w:bookmarkStart w:id="1212" w:name="_Toc247418269"/>
      <w:bookmarkStart w:id="1213" w:name="_Toc532375705"/>
      <w:r>
        <w:rPr>
          <w:rFonts w:hint="eastAsia" w:ascii="宋体" w:hAnsi="宋体" w:eastAsia="宋体" w:cs="宋体"/>
          <w:color w:val="auto"/>
          <w:sz w:val="24"/>
          <w:szCs w:val="24"/>
          <w:highlight w:val="none"/>
        </w:rPr>
        <w:t>六、人员基本素质</w:t>
      </w:r>
      <w:bookmarkEnd w:id="1210"/>
      <w:bookmarkEnd w:id="1211"/>
      <w:bookmarkEnd w:id="1212"/>
      <w:bookmarkEnd w:id="1213"/>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承包人提供的人员必须满足下列要求：</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2．无刑事案件牵连。</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3．无吸毒、酗酒、赌博、嫖娼等恶习及违法行为。</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14" w:name="_Toc532375706"/>
      <w:bookmarkStart w:id="1215" w:name="_Toc239510296"/>
      <w:bookmarkStart w:id="1216" w:name="_Toc247431430"/>
      <w:bookmarkStart w:id="1217" w:name="_Toc247418270"/>
      <w:r>
        <w:rPr>
          <w:rFonts w:hint="eastAsia" w:ascii="宋体" w:hAnsi="宋体" w:eastAsia="宋体" w:cs="宋体"/>
          <w:color w:val="auto"/>
          <w:sz w:val="24"/>
          <w:szCs w:val="24"/>
          <w:highlight w:val="none"/>
        </w:rPr>
        <w:t>七、劳动保护</w:t>
      </w:r>
      <w:bookmarkEnd w:id="1214"/>
      <w:bookmarkEnd w:id="1215"/>
      <w:bookmarkEnd w:id="1216"/>
      <w:bookmarkEnd w:id="1217"/>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1．承包人负责为本单位任何用工形式的员工提供个人劳动保护用品（包括工作服、安全帽、安全鞋等）。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2．承包人负责向特殊工种的员工提供特殊劳动保护，否则不得从事特殊工种作业。</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3．发包人委托的监理公司有权检查承包人的个人劳动保护用品是否符合国家的相应标准。</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承包人在特殊风险场所作业而需要特殊防护用品或安全仪表时，必须在上述防护用品全部到位后才能开工。</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5．承包人应配备临时安全围栏、警示带、警告标志、防火布等集体防护用品。</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18" w:name="_Toc247431431"/>
      <w:bookmarkStart w:id="1219" w:name="_Toc239510297"/>
      <w:bookmarkStart w:id="1220" w:name="_Toc247418271"/>
      <w:bookmarkStart w:id="1221" w:name="_Toc532375707"/>
      <w:r>
        <w:rPr>
          <w:rFonts w:hint="eastAsia" w:ascii="宋体" w:hAnsi="宋体" w:eastAsia="宋体" w:cs="宋体"/>
          <w:color w:val="auto"/>
          <w:sz w:val="24"/>
          <w:szCs w:val="24"/>
          <w:highlight w:val="none"/>
        </w:rPr>
        <w:t>八、施工机具与材料</w:t>
      </w:r>
      <w:bookmarkEnd w:id="1218"/>
      <w:bookmarkEnd w:id="1219"/>
      <w:bookmarkEnd w:id="1220"/>
      <w:bookmarkEnd w:id="1221"/>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1．承包人对带入现场的施工机械和工器具的安全负责。</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2．对于承包人带入现场的特殊工器具，如起重设备、索具、机动车辆、压缩气瓶等，承包人必须按国家法规和标准进行检测、试验，并持有法定部门出具的检验证书。</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3．对于不属于法定检测的工器具，承包人也必须建立相应的管理、检测制度，这些工器具包括登高工具、脚手架材料、电动工具、安全防护设备及用具等。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22" w:name="_Toc247418272"/>
      <w:bookmarkStart w:id="1223" w:name="_Toc247431432"/>
      <w:bookmarkStart w:id="1224" w:name="_Toc532375708"/>
      <w:bookmarkStart w:id="1225" w:name="_Toc239510298"/>
      <w:r>
        <w:rPr>
          <w:rFonts w:hint="eastAsia" w:ascii="宋体" w:hAnsi="宋体" w:eastAsia="宋体" w:cs="宋体"/>
          <w:color w:val="auto"/>
          <w:sz w:val="24"/>
          <w:szCs w:val="24"/>
          <w:highlight w:val="none"/>
        </w:rPr>
        <w:t>九、开工前安全条件检查</w:t>
      </w:r>
      <w:bookmarkEnd w:id="1222"/>
      <w:bookmarkEnd w:id="1223"/>
      <w:bookmarkEnd w:id="1224"/>
      <w:bookmarkEnd w:id="1225"/>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26" w:name="_Toc247418273"/>
      <w:bookmarkStart w:id="1227" w:name="_Toc239510299"/>
      <w:bookmarkStart w:id="1228" w:name="_Toc532375709"/>
      <w:bookmarkStart w:id="1229" w:name="_Toc247431433"/>
      <w:r>
        <w:rPr>
          <w:rFonts w:hint="eastAsia" w:ascii="宋体" w:hAnsi="宋体" w:eastAsia="宋体" w:cs="宋体"/>
          <w:color w:val="auto"/>
          <w:sz w:val="24"/>
          <w:szCs w:val="24"/>
          <w:highlight w:val="none"/>
        </w:rPr>
        <w:t>十、安全监督</w:t>
      </w:r>
      <w:bookmarkEnd w:id="1226"/>
      <w:bookmarkEnd w:id="1227"/>
      <w:bookmarkEnd w:id="1228"/>
      <w:bookmarkEnd w:id="1229"/>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1．承包人应配备有满足项目安全管理需要的专职安全管理人员。</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2．承包人的专职安全管理人员必须持建设主管部门颁发的安全生产知识考核合格证书。</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3．承包人的专职安全管理人员在业务上接受发包人委托的监理公司和发包人安全管理部门的协调和指导。</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4．承包人应建立班前安全交底制度；施工期间坚持开展安全检查和日常安全监督并形成相应的记录。</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5．承包人应在每个作业区任命兼职安全员，赋予兼职安全员相应的授权和义务，并对兼职安全员进行定期考核。</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6．承包人应接受和配合发包人专业部门及委托的监理公司的监督与安全评价。</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30" w:name="_Toc247431434"/>
      <w:bookmarkStart w:id="1231" w:name="_Toc247418274"/>
      <w:bookmarkStart w:id="1232" w:name="_Toc532375710"/>
      <w:bookmarkStart w:id="1233" w:name="_Toc239510300"/>
      <w:r>
        <w:rPr>
          <w:rFonts w:hint="eastAsia" w:ascii="宋体" w:hAnsi="宋体" w:eastAsia="宋体" w:cs="宋体"/>
          <w:color w:val="auto"/>
          <w:sz w:val="24"/>
          <w:szCs w:val="24"/>
          <w:highlight w:val="none"/>
        </w:rPr>
        <w:t>十一、安全培训与授权</w:t>
      </w:r>
      <w:bookmarkEnd w:id="1230"/>
      <w:bookmarkEnd w:id="1231"/>
      <w:bookmarkEnd w:id="1232"/>
      <w:bookmarkEnd w:id="1233"/>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2．承包人应在特殊工种之外的其他工种中，筛选出高风险工种，并对其开展针对性的专题安全培训。</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3．承包人应组织 “入场培训”和考核。发包人委托的监理公司有权监督培训、考核情况或组织抽查考核。</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4．承包人应建立安全培训和考核机制，编制培训教材和培训滚动计划。承包人应组织安全考试/考核，建立培训考核记录，发包人委托的监理公司有权查看这些记录。</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34" w:name="_Toc247418275"/>
      <w:bookmarkStart w:id="1235" w:name="_Toc247431435"/>
      <w:bookmarkStart w:id="1236" w:name="_Toc239510301"/>
      <w:bookmarkStart w:id="1237" w:name="_Toc532375711"/>
      <w:r>
        <w:rPr>
          <w:rFonts w:hint="eastAsia" w:ascii="宋体" w:hAnsi="宋体" w:eastAsia="宋体" w:cs="宋体"/>
          <w:color w:val="auto"/>
          <w:sz w:val="24"/>
          <w:szCs w:val="24"/>
          <w:highlight w:val="none"/>
        </w:rPr>
        <w:t>十二、职业健康与卫生防疫</w:t>
      </w:r>
      <w:bookmarkEnd w:id="1234"/>
      <w:bookmarkEnd w:id="1235"/>
      <w:bookmarkEnd w:id="1236"/>
      <w:bookmarkEnd w:id="1237"/>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2．承包人应保证卫生防疫基本设施的投入，以满足医疗、急救的要求，建立外部医疗支持渠道。</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38" w:name="_Toc247431436"/>
      <w:bookmarkStart w:id="1239" w:name="_Toc532375712"/>
      <w:bookmarkStart w:id="1240" w:name="_Toc239510302"/>
      <w:bookmarkStart w:id="1241" w:name="_Toc247418276"/>
      <w:r>
        <w:rPr>
          <w:rFonts w:hint="eastAsia" w:ascii="宋体" w:hAnsi="宋体" w:eastAsia="宋体" w:cs="宋体"/>
          <w:color w:val="auto"/>
          <w:sz w:val="24"/>
          <w:szCs w:val="24"/>
          <w:highlight w:val="none"/>
        </w:rPr>
        <w:t>十三、文明施工与环保要求</w:t>
      </w:r>
      <w:bookmarkEnd w:id="1238"/>
      <w:bookmarkEnd w:id="1239"/>
      <w:bookmarkEnd w:id="1240"/>
      <w:bookmarkEnd w:id="1241"/>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2．承包人作业时应避免建筑材料抛洒、飞扬、流淌；应尽可能降低噪音、震动。</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3．承包人应根据实际需要，在施工现场布置临时卫生设施（洗手间、卫生间等），施工作业不破坏环境卫生，不污染现场环境。</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4．承包人在施工中应充分重视对环境的保护，保护绿色植被，保护古树。施工如需伤害古树，必须报告发包人委托的监理公司，在未得到指令前，禁止擅自伤害古树。</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6．承包人在施工中应禁止向环境，排放工业污水、生活污水、废油或其他有害物质。</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42" w:name="_Toc247418277"/>
      <w:bookmarkStart w:id="1243" w:name="_Toc247431437"/>
      <w:bookmarkStart w:id="1244" w:name="_Toc239510303"/>
      <w:bookmarkStart w:id="1245" w:name="_Toc532375713"/>
      <w:r>
        <w:rPr>
          <w:rFonts w:hint="eastAsia" w:ascii="宋体" w:hAnsi="宋体" w:eastAsia="宋体" w:cs="宋体"/>
          <w:color w:val="auto"/>
          <w:sz w:val="24"/>
          <w:szCs w:val="24"/>
          <w:highlight w:val="none"/>
        </w:rPr>
        <w:t>十四、工程风险管理与事故预防</w:t>
      </w:r>
      <w:bookmarkEnd w:id="1242"/>
      <w:bookmarkEnd w:id="1243"/>
      <w:bookmarkEnd w:id="1244"/>
      <w:bookmarkEnd w:id="1245"/>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bookmarkStart w:id="1246" w:name="_Toc247418278"/>
      <w:bookmarkStart w:id="1247" w:name="_Toc247431438"/>
      <w:bookmarkStart w:id="1248" w:name="_Toc239510304"/>
      <w:r>
        <w:rPr>
          <w:rFonts w:hint="eastAsia" w:ascii="宋体" w:hAnsi="宋体" w:eastAsia="宋体" w:cs="宋体"/>
          <w:color w:val="auto"/>
          <w:sz w:val="24"/>
          <w:szCs w:val="24"/>
          <w:highlight w:val="none"/>
        </w:rPr>
        <w:t>（一）基本要求</w:t>
      </w:r>
      <w:bookmarkEnd w:id="1246"/>
      <w:bookmarkEnd w:id="1247"/>
      <w:bookmarkEnd w:id="1248"/>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bookmarkStart w:id="1249" w:name="_Toc532375714"/>
      <w:r>
        <w:rPr>
          <w:rFonts w:hint="eastAsia" w:ascii="宋体" w:hAnsi="宋体" w:eastAsia="宋体" w:cs="宋体"/>
          <w:color w:val="auto"/>
          <w:sz w:val="24"/>
          <w:szCs w:val="24"/>
          <w:highlight w:val="none"/>
        </w:rPr>
        <w:t>1．承包人应对施工过程进行全面、深入的危险源识别和风险分析。在施工安全组织设计中提供危险源及重要危险源清单、作业风险分析报告，该报告应包括（但不限于）如下信息：</w:t>
      </w:r>
      <w:bookmarkEnd w:id="1249"/>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（1）高风险作业和工种清单：作业名称、类别和数量、主要事故风险。</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（2）施工能源和机械的种类、数量和主要事故风险。</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（3）施工作业条件的类型和主要事故风险。</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（4）主要工艺过程（或施工活动）的类别及其相关的事故风险。</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（5）主要火灾危险（可燃物、点火源）。</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（6）主要自然灾害（洪水、大风、雷暴、暴雨、地质灾害等）。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（7）主要环境保护事件（有害垃圾、机械的跑冒滴漏、原材料流失、水土流失等）。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2．承包人应针对识别出的危险源制定有针对性的事故预防措施并确保在施工中得到有效落实。</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3．承包人应建立日常施工活动的动态作业风险分析和安全交底制度。该制度应明确规定风险分析的方法、责任和交底的内容、时间及记录。</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bookmarkStart w:id="1250" w:name="_Toc247418279"/>
      <w:bookmarkStart w:id="1251" w:name="_Toc247431439"/>
      <w:bookmarkStart w:id="1252" w:name="_Toc239510305"/>
      <w:r>
        <w:rPr>
          <w:rFonts w:hint="eastAsia" w:ascii="宋体" w:hAnsi="宋体" w:eastAsia="宋体" w:cs="宋体"/>
          <w:color w:val="auto"/>
          <w:sz w:val="24"/>
          <w:szCs w:val="24"/>
          <w:highlight w:val="none"/>
        </w:rPr>
        <w:t>（二）现场作业基本安全条件</w:t>
      </w:r>
      <w:bookmarkEnd w:id="1250"/>
      <w:bookmarkEnd w:id="1251"/>
      <w:bookmarkEnd w:id="1252"/>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53" w:name="_Toc532375715"/>
      <w:bookmarkStart w:id="1254" w:name="_Toc247418280"/>
      <w:bookmarkStart w:id="1255" w:name="_Toc239510306"/>
      <w:bookmarkStart w:id="1256" w:name="_Toc247431440"/>
      <w:r>
        <w:rPr>
          <w:rFonts w:hint="eastAsia" w:ascii="宋体" w:hAnsi="宋体" w:eastAsia="宋体" w:cs="宋体"/>
          <w:color w:val="auto"/>
          <w:sz w:val="24"/>
          <w:szCs w:val="24"/>
          <w:highlight w:val="none"/>
        </w:rPr>
        <w:t>十五、事故报告与应急救援</w:t>
      </w:r>
      <w:bookmarkEnd w:id="1253"/>
      <w:bookmarkEnd w:id="1254"/>
      <w:bookmarkEnd w:id="1255"/>
      <w:bookmarkEnd w:id="1256"/>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1．承包人应制定对于未遂事故及以上级别的安全事件和事故，定期报送安全月度快报、季报、年报和各种专项事故报告等。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2．承包人应建立安全事故统计记录、未遂事故统计记录、违章统计记录，并根据统计情况进行分析，并就分析结果制定相应的预防措施。</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3．承包人应建立事故应急救援机制，明确事故处置的基本原则，即现场发生事故时，首先抢救生命，向救援组织报警，并采取措施限制事故扩大。</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4．承包人应建立相应的应急响应组织，以便能迅速处理突发意外。</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6．承包人应对应急预案进行适当演练，保证应急预案的可操作性。</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7．在工地的其他施工单位发生重大事故时，承包人应无条件立即配合、支持事故抢险。</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8．承包人必须为事故处置支付各项费用，包括受伤者的抚恤、补偿等费用，并按合同要求赔偿对发包人造成的损失。</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9．由于发包人原因而造成的事故，发包人应负责按事故的具体损失情况给予承包人经济赔偿。</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10．涉及承包人员工的伤害事故，承包人除要报告发包人委托的监理公司外，还应负责按照国家、行业和本单位上级公司的要求，上报事故。</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bookmarkStart w:id="1257" w:name="_Toc532375716"/>
      <w:bookmarkStart w:id="1258" w:name="_Toc247431441"/>
      <w:bookmarkStart w:id="1259" w:name="_Toc239510307"/>
      <w:bookmarkStart w:id="1260" w:name="_Toc247418281"/>
      <w:r>
        <w:rPr>
          <w:rFonts w:hint="eastAsia" w:ascii="宋体" w:hAnsi="宋体" w:eastAsia="宋体" w:cs="宋体"/>
          <w:color w:val="auto"/>
          <w:sz w:val="24"/>
          <w:szCs w:val="24"/>
          <w:highlight w:val="none"/>
        </w:rPr>
        <w:t>十六、安全业绩考核</w:t>
      </w:r>
      <w:bookmarkEnd w:id="1257"/>
      <w:bookmarkEnd w:id="1258"/>
      <w:bookmarkEnd w:id="1259"/>
      <w:bookmarkEnd w:id="1260"/>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为了落实安全管理的责任，承包人在施工过程中发生安全事故时，承包人除应按国家有关规定承担责任和处罚外，发包人还将按照以下标准进行考核：</w:t>
      </w:r>
    </w:p>
    <w:tbl>
      <w:tblPr>
        <w:tblStyle w:val="64"/>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签约合同价</w:t>
            </w:r>
            <w:r>
              <w:rPr>
                <w:rFonts w:hint="eastAsia" w:ascii="宋体" w:hAnsi="宋体" w:eastAsia="宋体" w:cs="宋体"/>
                <w:color w:val="auto"/>
                <w:sz w:val="21"/>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签约合同价的4‰</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（3）特别重大事故，是指造成30人以上死亡，或者100人以上重伤（包括急性工业中毒，下同），或者1亿元以上直接经济损失的事故；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（4）所称的“以上”包括本数，所称的“以下”不包括本数。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1261" w:name="_Toc247431442"/>
      <w:bookmarkStart w:id="1262" w:name="_Toc247418282"/>
      <w:bookmarkStart w:id="1263" w:name="_Toc532375717"/>
      <w:bookmarkStart w:id="1264" w:name="_Toc239510308"/>
      <w:r>
        <w:rPr>
          <w:rFonts w:hint="eastAsia" w:ascii="宋体" w:hAnsi="宋体" w:eastAsia="宋体" w:cs="宋体"/>
          <w:color w:val="auto"/>
          <w:sz w:val="24"/>
          <w:szCs w:val="24"/>
          <w:highlight w:val="none"/>
        </w:rPr>
        <w:t>十七、协议条款的修订</w:t>
      </w:r>
      <w:bookmarkEnd w:id="1261"/>
      <w:bookmarkEnd w:id="1262"/>
      <w:bookmarkEnd w:id="1263"/>
      <w:bookmarkEnd w:id="1264"/>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在项目实施过程中，经双方友好协商，本协议的有关条款也可做出相应的修改。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本工程安全管理协议，由发包人、承包人双方在施工承包合同签订后7天内共同签署，作为施工合同附件。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  包  人（</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  包  人（</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或其委托代理人（签名）：</w:t>
      </w:r>
      <w:r>
        <w:rPr>
          <w:rFonts w:hint="eastAsia" w:ascii="宋体" w:hAnsi="宋体" w:eastAsia="宋体" w:cs="宋体"/>
          <w:color w:val="auto"/>
          <w:sz w:val="24"/>
          <w:szCs w:val="24"/>
          <w:highlight w:val="none"/>
          <w:u w:val="single"/>
        </w:rPr>
        <w:t xml:space="preserve">                   </w:t>
      </w:r>
    </w:p>
    <w:p>
      <w:pPr>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br w:type="page"/>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p>
    <w:p>
      <w:pPr>
        <w:spacing w:before="108" w:line="222" w:lineRule="auto"/>
        <w:jc w:val="center"/>
        <w:rPr>
          <w:rFonts w:hint="eastAsia" w:ascii="宋体" w:hAnsi="宋体" w:eastAsia="宋体" w:cs="宋体"/>
          <w:color w:val="auto"/>
          <w:spacing w:val="3"/>
          <w:sz w:val="40"/>
          <w:szCs w:val="40"/>
          <w:highlight w:val="none"/>
        </w:rPr>
      </w:pPr>
      <w:r>
        <w:rPr>
          <w:rFonts w:hint="eastAsia" w:ascii="宋体" w:hAnsi="宋体" w:eastAsia="宋体" w:cs="宋体"/>
          <w:color w:val="auto"/>
          <w:spacing w:val="3"/>
          <w:sz w:val="40"/>
          <w:szCs w:val="40"/>
          <w:highlight w:val="none"/>
          <w:lang w:val="en-US" w:eastAsia="zh-CN"/>
        </w:rPr>
        <w:t>农民工工资</w:t>
      </w:r>
      <w:r>
        <w:rPr>
          <w:rFonts w:hint="eastAsia" w:ascii="宋体" w:hAnsi="宋体" w:eastAsia="宋体" w:cs="宋体"/>
          <w:color w:val="auto"/>
          <w:spacing w:val="3"/>
          <w:sz w:val="40"/>
          <w:szCs w:val="40"/>
          <w:highlight w:val="none"/>
        </w:rPr>
        <w:t>补充协议</w:t>
      </w:r>
    </w:p>
    <w:p>
      <w:pPr>
        <w:ind w:firstLine="2640" w:firstLineChars="600"/>
        <w:jc w:val="both"/>
        <w:rPr>
          <w:rFonts w:hint="eastAsia" w:ascii="宋体" w:hAnsi="宋体" w:eastAsia="宋体" w:cs="宋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重庆两山建设开发有限公司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项目(以下简称“本项目”)签订了《建设工程施工合同》。施工合同约定，工程进度款按节点支付，农民工工资按实支付。故未明确农民工工资专用账户信息、人工费占工程款的支付比例: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按渝建发(2017)13号文第四条规定:“建设单位应按照合同约定及时确认施工总承包企业已完工产值，以不低于当月已完工产值的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rPr>
        <w:t>作为当月人工费(工资款)，单独拨付至施工总承包企业的工资专用账户对应项目中(若人工费数额大于当月已完工产值的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25%  </w:t>
      </w:r>
      <w:r>
        <w:rPr>
          <w:rFonts w:hint="eastAsia" w:ascii="宋体" w:hAnsi="宋体" w:eastAsia="宋体" w:cs="宋体"/>
          <w:color w:val="auto"/>
          <w:sz w:val="24"/>
          <w:szCs w:val="24"/>
          <w:highlight w:val="none"/>
        </w:rPr>
        <w:t>时，按实际人工费数额拨付:若人工费数额小于当月已完工产值的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rPr>
        <w:t>时，按当月已完工产值的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rPr>
        <w:t>拨付)。”经协商一致双方签订补充协议如下:</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首次工程款人工费支付比例为经审核应支付累计产值的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rPr>
        <w:t>，以后每月按实名制管理办法核定当月人工费，并与经审核的当月产值的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rPr>
        <w:t>进行比较，若人工费数额大于当月已完工产值的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rPr>
        <w:t>时，按实际人工费数额拨付;若人工费数额小于当月已完工产值的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时，按当月已完工产值的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rPr>
        <w:t>拨付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每月25日前拨付农民工工资，如遇节假日或周末提前发放</w:t>
      </w:r>
      <w:r>
        <w:rPr>
          <w:rFonts w:hint="eastAsia" w:ascii="宋体" w:hAnsi="宋体" w:eastAsia="宋体" w:cs="宋体"/>
          <w:color w:val="auto"/>
          <w:sz w:val="24"/>
          <w:szCs w:val="24"/>
          <w:highlight w:val="none"/>
        </w:rPr>
        <w:t>。</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农民工工资专用账户信息:</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该补充协议一式捌份，甲乙双方各执肆份，作为《建设工程施工合同》的组成部分，双方签署即生效。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6160" w:hanging="5280" w:hangingChars="2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6160" w:hanging="5280" w:hangingChars="2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u w:val="none"/>
          <w:lang w:val="en-US" w:eastAsia="zh-CN"/>
        </w:rPr>
        <w:t xml:space="preserve">                            承包人：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法定代表人或委托代理人: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统一社会信用代码：                   统一社会信用代码：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纳税人识别号：                       纳税人识别号：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                                 地址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                                 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                             银行账户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                                 账号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  间：     年    月    日          时  间：   年    月   日</w:t>
      </w:r>
    </w:p>
    <w:p>
      <w:pPr>
        <w:rPr>
          <w:rFonts w:hint="eastAsia" w:ascii="宋体" w:hAnsi="宋体" w:eastAsia="宋体" w:cs="宋体"/>
          <w:color w:val="auto"/>
          <w:highlight w:val="none"/>
        </w:rPr>
      </w:pPr>
    </w:p>
    <w:p>
      <w:pPr>
        <w:snapToGrid w:val="0"/>
        <w:spacing w:line="360" w:lineRule="auto"/>
        <w:ind w:firstLine="560"/>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szCs w:val="24"/>
          <w:highlight w:val="none"/>
        </w:rPr>
        <w:t>农民工工资补充协议附件1：</w:t>
      </w:r>
    </w:p>
    <w:p>
      <w:pPr>
        <w:widowControl/>
        <w:snapToGrid w:val="0"/>
        <w:spacing w:after="100" w:afterAutospacing="1"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关于农民工工资发放情况的说明表</w:t>
      </w:r>
    </w:p>
    <w:tbl>
      <w:tblPr>
        <w:tblStyle w:val="64"/>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pPr>
              <w:widowControl/>
              <w:snapToGrid w:val="0"/>
              <w:spacing w:after="100" w:afterAutospacing="1"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pPr>
              <w:widowControl/>
              <w:snapToGrid w:val="0"/>
              <w:spacing w:after="100" w:afterAutospacing="1"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施工单位：</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pPr>
              <w:widowControl/>
              <w:snapToGrid w:val="0"/>
              <w:spacing w:after="100" w:afterAutospacing="1"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监理单位：</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pPr>
              <w:widowControl/>
              <w:snapToGrid w:val="0"/>
              <w:spacing w:after="100" w:afterAutospacing="1" w:line="400" w:lineRule="exact"/>
              <w:rPr>
                <w:rFonts w:hint="eastAsia" w:ascii="宋体" w:hAnsi="宋体" w:eastAsia="宋体" w:cs="宋体"/>
                <w:color w:val="auto"/>
                <w:kern w:val="0"/>
                <w:sz w:val="21"/>
                <w:szCs w:val="21"/>
                <w:highlight w:val="none"/>
                <w:u w:val="single"/>
              </w:rPr>
            </w:pPr>
          </w:p>
          <w:p>
            <w:pPr>
              <w:widowControl/>
              <w:snapToGrid w:val="0"/>
              <w:spacing w:after="100" w:afterAutospacing="1"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（项目业主单位名称）：</w:t>
            </w:r>
          </w:p>
          <w:p>
            <w:pPr>
              <w:widowControl/>
              <w:snapToGrid w:val="0"/>
              <w:spacing w:after="100" w:afterAutospacing="1"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3"/>
              <w:rPr>
                <w:rFonts w:hint="eastAsia"/>
                <w:color w:val="auto"/>
                <w:sz w:val="21"/>
                <w:szCs w:val="21"/>
                <w:highlight w:val="none"/>
                <w:lang w:eastAsia="zh-CN"/>
              </w:rPr>
            </w:pPr>
          </w:p>
          <w:p>
            <w:pPr>
              <w:widowControl/>
              <w:snapToGrid w:val="0"/>
              <w:spacing w:after="100" w:afterAutospacing="1" w:line="400" w:lineRule="exact"/>
              <w:ind w:firstLine="1260" w:firstLineChars="6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施工单位项目负责人签名（加盖项目章）：</w:t>
            </w:r>
            <w:r>
              <w:rPr>
                <w:rFonts w:hint="eastAsia" w:ascii="宋体" w:hAnsi="宋体" w:eastAsia="宋体" w:cs="宋体"/>
                <w:color w:val="auto"/>
                <w:kern w:val="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pPr>
              <w:widowControl/>
              <w:snapToGrid w:val="0"/>
              <w:spacing w:after="100" w:afterAutospacing="1"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监理单位意见：</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sz w:val="21"/>
                <w:szCs w:val="21"/>
                <w:highlight w:val="none"/>
                <w:u w:val="single"/>
              </w:rPr>
            </w:pPr>
          </w:p>
          <w:p>
            <w:pPr>
              <w:widowControl/>
              <w:snapToGrid w:val="0"/>
              <w:spacing w:after="100" w:afterAutospacing="1" w:line="40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             总监签名并加盖项目章：</w:t>
            </w:r>
            <w:r>
              <w:rPr>
                <w:rFonts w:hint="eastAsia" w:ascii="宋体" w:hAnsi="宋体" w:eastAsia="宋体" w:cs="宋体"/>
                <w:color w:val="auto"/>
                <w:kern w:val="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pPr>
              <w:widowControl/>
              <w:snapToGrid w:val="0"/>
              <w:spacing w:after="100" w:afterAutospacing="1"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工程部项目负责人意见：</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sz w:val="21"/>
                <w:szCs w:val="21"/>
                <w:highlight w:val="none"/>
                <w:u w:val="single"/>
              </w:rPr>
            </w:pPr>
          </w:p>
          <w:p>
            <w:pPr>
              <w:widowControl/>
              <w:snapToGrid w:val="0"/>
              <w:spacing w:after="100" w:afterAutospacing="1" w:line="40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                   项目负责人签名：</w:t>
            </w:r>
            <w:r>
              <w:rPr>
                <w:rFonts w:hint="eastAsia" w:ascii="宋体" w:hAnsi="宋体" w:eastAsia="宋体" w:cs="宋体"/>
                <w:color w:val="auto"/>
                <w:kern w:val="0"/>
                <w:sz w:val="21"/>
                <w:szCs w:val="21"/>
                <w:highlight w:val="none"/>
                <w:u w:val="single"/>
              </w:rPr>
              <w:t xml:space="preserve">        </w:t>
            </w:r>
          </w:p>
        </w:tc>
      </w:tr>
    </w:tbl>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br w:type="page"/>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：低价风险担保保函示范文本（独立保函）（如有）</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低价风险担保保函示范文本</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（独立保函）</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开立人：</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（受益人名称）： </w:t>
      </w:r>
    </w:p>
    <w:p>
      <w:pPr>
        <w:pStyle w:val="23"/>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（以下简称“申请人”）于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（以下简称“受益人”）的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（项目名称）的投标，收到受益人于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日签发的</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，成为该项目的中标人。基于申请人的请求，我方同意就申请人履行该项目</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约定的义务，向贵方提供不可撤销、不可转让的见索即付独立保函（以下简称“本保函”）。</w:t>
      </w:r>
    </w:p>
    <w:p>
      <w:pPr>
        <w:pStyle w:val="23"/>
        <w:keepNext w:val="0"/>
        <w:keepLines w:val="0"/>
        <w:pageBreakBefore w:val="0"/>
        <w:widowControl w:val="0"/>
        <w:numPr>
          <w:ilvl w:val="0"/>
          <w:numId w:val="17"/>
        </w:numPr>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本保函担保范围：申请人未按照</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约定签订合同或未按签订的合同约定履行相关义务，应当向贵方承担的违约责任和赔偿因此造成的损失、利息、律师费、诉讼费用等实现债权的费用。</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三、本保函有效期自开立之日起至合同约定的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四、我方承诺，在收到受益人发来的书面付款通知后的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工作日内无条件支付，前述书面付款通知即为付款要求之单据，且应满足以下要求：</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（1）付款通知到达的日期在本保函的有效期内；</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（2）载明要求支付的金额；</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（3）载明申请人未按照</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约定签订合同或违反合同义务的条款和内容；</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（4）付款通知中应声明不存在</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约定、合同文件约定或我国法律规定免除申请人或开立人支付责任的情形；</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（5）付款通知应在本保函有效期内到达的地址是：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受益人发出的书面付款通知应由其为鉴明受益人法定代表人（负责人）或授权代理人签名加盖公章。</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六、与本保函有关的合同不成立、不生效、无效、被撤销、被解除，不影响本保函的独立有效。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八、本保函适用的法律为中华人民共和国法律，争议裁判管辖地为中华人民共和国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九、本保函自我方法定代表人或授权代表签名并加盖公章之日起生效。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 立 人：                              （公章）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（签名）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开立时间：      年      月</w:t>
      </w:r>
      <w:r>
        <w:rPr>
          <w:rFonts w:hint="eastAsia" w:ascii="宋体" w:hAnsi="宋体" w:eastAsia="宋体" w:cs="宋体"/>
          <w:color w:val="auto"/>
          <w:sz w:val="24"/>
          <w:szCs w:val="24"/>
          <w:highlight w:val="none"/>
          <w:lang w:val="en-US" w:eastAsia="zh-CN"/>
        </w:rPr>
        <w:t xml:space="preserve">      日</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sectPr>
          <w:pgSz w:w="11895" w:h="16845"/>
          <w:pgMar w:top="1431" w:right="1276" w:bottom="1353" w:left="1276" w:header="1134" w:footer="1134" w:gutter="0"/>
          <w:pgNumType w:fmt="decimal"/>
          <w:cols w:space="720" w:num="1"/>
        </w:sectPr>
      </w:pPr>
    </w:p>
    <w:p>
      <w:pPr>
        <w:spacing w:before="68" w:line="219" w:lineRule="auto"/>
        <w:ind w:left="220"/>
        <w:rPr>
          <w:rFonts w:hint="eastAsia" w:ascii="宋体" w:hAnsi="宋体" w:eastAsia="宋体" w:cs="宋体"/>
          <w:color w:val="auto"/>
          <w:sz w:val="21"/>
          <w:szCs w:val="21"/>
          <w:highlight w:val="none"/>
          <w:lang w:val="en-US"/>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p>
    <w:p>
      <w:pPr>
        <w:spacing w:before="108" w:line="222" w:lineRule="auto"/>
        <w:ind w:left="2260"/>
        <w:rPr>
          <w:rFonts w:hint="eastAsia" w:ascii="宋体" w:hAnsi="宋体" w:eastAsia="宋体" w:cs="宋体"/>
          <w:color w:val="auto"/>
          <w:sz w:val="40"/>
          <w:szCs w:val="40"/>
          <w:highlight w:val="none"/>
        </w:rPr>
      </w:pPr>
      <w:r>
        <w:rPr>
          <w:rFonts w:hint="eastAsia" w:ascii="宋体" w:hAnsi="宋体" w:eastAsia="宋体" w:cs="宋体"/>
          <w:color w:val="auto"/>
          <w:spacing w:val="6"/>
          <w:sz w:val="40"/>
          <w:szCs w:val="40"/>
          <w:highlight w:val="none"/>
        </w:rPr>
        <w:t>项目</w:t>
      </w:r>
      <w:r>
        <w:rPr>
          <w:rFonts w:hint="eastAsia" w:ascii="宋体" w:hAnsi="宋体" w:eastAsia="宋体" w:cs="宋体"/>
          <w:color w:val="auto"/>
          <w:spacing w:val="4"/>
          <w:sz w:val="40"/>
          <w:szCs w:val="40"/>
          <w:highlight w:val="none"/>
        </w:rPr>
        <w:t>竣</w:t>
      </w:r>
      <w:r>
        <w:rPr>
          <w:rFonts w:hint="eastAsia" w:ascii="宋体" w:hAnsi="宋体" w:eastAsia="宋体" w:cs="宋体"/>
          <w:color w:val="auto"/>
          <w:spacing w:val="3"/>
          <w:sz w:val="40"/>
          <w:szCs w:val="40"/>
          <w:highlight w:val="none"/>
        </w:rPr>
        <w:t>工结算审计资料清单</w:t>
      </w:r>
    </w:p>
    <w:p>
      <w:pPr>
        <w:spacing w:before="152" w:line="420" w:lineRule="exact"/>
        <w:ind w:left="204"/>
        <w:rPr>
          <w:rFonts w:hint="eastAsia" w:ascii="宋体" w:hAnsi="宋体" w:eastAsia="宋体" w:cs="宋体"/>
          <w:color w:val="auto"/>
          <w:sz w:val="21"/>
          <w:szCs w:val="21"/>
          <w:highlight w:val="none"/>
        </w:rPr>
      </w:pPr>
      <w:r>
        <w:rPr>
          <w:rFonts w:hint="eastAsia" w:ascii="宋体" w:hAnsi="宋体" w:eastAsia="宋体" w:cs="宋体"/>
          <w:color w:val="auto"/>
          <w:spacing w:val="-11"/>
          <w:position w:val="16"/>
          <w:sz w:val="21"/>
          <w:szCs w:val="21"/>
          <w:highlight w:val="none"/>
        </w:rPr>
        <w:t>提</w:t>
      </w:r>
      <w:r>
        <w:rPr>
          <w:rFonts w:hint="eastAsia" w:ascii="宋体" w:hAnsi="宋体" w:eastAsia="宋体" w:cs="宋体"/>
          <w:color w:val="auto"/>
          <w:spacing w:val="-6"/>
          <w:position w:val="16"/>
          <w:sz w:val="21"/>
          <w:szCs w:val="21"/>
          <w:highlight w:val="none"/>
        </w:rPr>
        <w:t>供资料单位：</w:t>
      </w:r>
    </w:p>
    <w:p>
      <w:pPr>
        <w:spacing w:line="220" w:lineRule="auto"/>
        <w:ind w:left="207"/>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项</w:t>
      </w:r>
      <w:r>
        <w:rPr>
          <w:rFonts w:hint="eastAsia" w:ascii="宋体" w:hAnsi="宋体" w:eastAsia="宋体" w:cs="宋体"/>
          <w:color w:val="auto"/>
          <w:spacing w:val="-9"/>
          <w:sz w:val="21"/>
          <w:szCs w:val="21"/>
          <w:highlight w:val="none"/>
        </w:rPr>
        <w:t>目名称：</w:t>
      </w:r>
    </w:p>
    <w:p>
      <w:pPr>
        <w:spacing w:before="169" w:line="220" w:lineRule="auto"/>
        <w:ind w:left="20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郑重承诺：我单位提供</w:t>
      </w:r>
      <w:r>
        <w:rPr>
          <w:rFonts w:hint="eastAsia" w:ascii="宋体" w:hAnsi="宋体" w:eastAsia="宋体" w:cs="宋体"/>
          <w:color w:val="auto"/>
          <w:spacing w:val="-4"/>
          <w:sz w:val="21"/>
          <w:szCs w:val="21"/>
          <w:highlight w:val="none"/>
        </w:rPr>
        <w:t>的</w:t>
      </w:r>
      <w:r>
        <w:rPr>
          <w:rFonts w:hint="eastAsia" w:ascii="宋体" w:hAnsi="宋体" w:eastAsia="宋体" w:cs="宋体"/>
          <w:color w:val="auto"/>
          <w:spacing w:val="-3"/>
          <w:sz w:val="21"/>
          <w:szCs w:val="21"/>
          <w:highlight w:val="none"/>
        </w:rPr>
        <w:t>以下资料真实、合法、完整，今后补交的资料一律不作为审计的依据， 并</w:t>
      </w:r>
    </w:p>
    <w:p>
      <w:pPr>
        <w:spacing w:before="170" w:line="220" w:lineRule="auto"/>
        <w:ind w:left="2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承担违背承诺引起的一切法律责任</w:t>
      </w:r>
      <w:r>
        <w:rPr>
          <w:rFonts w:hint="eastAsia" w:ascii="宋体" w:hAnsi="宋体" w:eastAsia="宋体" w:cs="宋体"/>
          <w:color w:val="auto"/>
          <w:sz w:val="21"/>
          <w:szCs w:val="21"/>
          <w:highlight w:val="none"/>
        </w:rPr>
        <w:t>。</w:t>
      </w:r>
    </w:p>
    <w:p>
      <w:pPr>
        <w:spacing w:line="66" w:lineRule="auto"/>
        <w:rPr>
          <w:rFonts w:hint="eastAsia" w:ascii="宋体" w:hAnsi="宋体" w:eastAsia="宋体" w:cs="宋体"/>
          <w:color w:val="auto"/>
          <w:sz w:val="2"/>
          <w:highlight w:val="none"/>
        </w:rPr>
      </w:pPr>
    </w:p>
    <w:tbl>
      <w:tblPr>
        <w:tblStyle w:val="527"/>
        <w:tblW w:w="932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2760"/>
        <w:gridCol w:w="2295"/>
        <w:gridCol w:w="1454"/>
        <w:gridCol w:w="2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97" w:type="dxa"/>
            <w:tcBorders>
              <w:left w:val="single" w:color="000000" w:sz="4" w:space="0"/>
              <w:right w:val="single" w:color="000000" w:sz="6" w:space="0"/>
            </w:tcBorders>
            <w:noWrap w:val="0"/>
            <w:vAlign w:val="top"/>
          </w:tcPr>
          <w:p>
            <w:pPr>
              <w:spacing w:before="174" w:line="221" w:lineRule="auto"/>
              <w:ind w:left="14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2760" w:type="dxa"/>
            <w:tcBorders>
              <w:left w:val="single" w:color="000000" w:sz="6" w:space="0"/>
              <w:right w:val="single" w:color="000000" w:sz="6" w:space="0"/>
            </w:tcBorders>
            <w:noWrap w:val="0"/>
            <w:vAlign w:val="top"/>
          </w:tcPr>
          <w:p>
            <w:pPr>
              <w:spacing w:before="175" w:line="220" w:lineRule="auto"/>
              <w:ind w:left="97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资料名称</w:t>
            </w:r>
          </w:p>
        </w:tc>
        <w:tc>
          <w:tcPr>
            <w:tcW w:w="2295" w:type="dxa"/>
            <w:tcBorders>
              <w:left w:val="single" w:color="000000" w:sz="6" w:space="0"/>
              <w:right w:val="single" w:color="000000" w:sz="6" w:space="0"/>
            </w:tcBorders>
            <w:noWrap w:val="0"/>
            <w:vAlign w:val="top"/>
          </w:tcPr>
          <w:p>
            <w:pPr>
              <w:spacing w:before="175" w:line="220" w:lineRule="auto"/>
              <w:ind w:left="72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装订</w:t>
            </w:r>
            <w:r>
              <w:rPr>
                <w:rFonts w:hint="eastAsia" w:ascii="宋体" w:hAnsi="宋体" w:eastAsia="宋体" w:cs="宋体"/>
                <w:color w:val="auto"/>
                <w:spacing w:val="-1"/>
                <w:sz w:val="21"/>
                <w:szCs w:val="21"/>
                <w:highlight w:val="none"/>
              </w:rPr>
              <w:t>成册</w:t>
            </w:r>
          </w:p>
        </w:tc>
        <w:tc>
          <w:tcPr>
            <w:tcW w:w="1454" w:type="dxa"/>
            <w:tcBorders>
              <w:left w:val="single" w:color="000000" w:sz="6" w:space="0"/>
              <w:right w:val="single" w:color="000000" w:sz="6" w:space="0"/>
            </w:tcBorders>
            <w:noWrap w:val="0"/>
            <w:vAlign w:val="top"/>
          </w:tcPr>
          <w:p>
            <w:pPr>
              <w:spacing w:before="174" w:line="220" w:lineRule="auto"/>
              <w:ind w:left="5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数</w:t>
            </w:r>
            <w:r>
              <w:rPr>
                <w:rFonts w:hint="eastAsia" w:ascii="宋体" w:hAnsi="宋体" w:eastAsia="宋体" w:cs="宋体"/>
                <w:color w:val="auto"/>
                <w:spacing w:val="-2"/>
                <w:sz w:val="21"/>
                <w:szCs w:val="21"/>
                <w:highlight w:val="none"/>
              </w:rPr>
              <w:t>量</w:t>
            </w:r>
          </w:p>
        </w:tc>
        <w:tc>
          <w:tcPr>
            <w:tcW w:w="2123" w:type="dxa"/>
            <w:tcBorders>
              <w:left w:val="single" w:color="000000" w:sz="6" w:space="0"/>
              <w:right w:val="single" w:color="000000" w:sz="6" w:space="0"/>
            </w:tcBorders>
            <w:noWrap w:val="0"/>
            <w:vAlign w:val="top"/>
          </w:tcPr>
          <w:p>
            <w:pPr>
              <w:spacing w:before="174" w:line="221" w:lineRule="auto"/>
              <w:ind w:left="8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2"/>
                <w:sz w:val="21"/>
                <w:szCs w:val="21"/>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186" w:line="185" w:lineRule="auto"/>
              <w:ind w:left="3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60" w:type="dxa"/>
            <w:tcBorders>
              <w:left w:val="single" w:color="000000" w:sz="6" w:space="0"/>
              <w:right w:val="single" w:color="000000" w:sz="6" w:space="0"/>
            </w:tcBorders>
            <w:noWrap w:val="0"/>
            <w:vAlign w:val="top"/>
          </w:tcPr>
          <w:p>
            <w:pPr>
              <w:spacing w:before="152" w:line="220" w:lineRule="auto"/>
              <w:ind w:left="10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送</w:t>
            </w:r>
            <w:r>
              <w:rPr>
                <w:rFonts w:hint="eastAsia" w:ascii="宋体" w:hAnsi="宋体" w:eastAsia="宋体" w:cs="宋体"/>
                <w:color w:val="auto"/>
                <w:spacing w:val="-1"/>
                <w:sz w:val="21"/>
                <w:szCs w:val="21"/>
                <w:highlight w:val="none"/>
              </w:rPr>
              <w:t>审函</w:t>
            </w:r>
          </w:p>
        </w:tc>
        <w:tc>
          <w:tcPr>
            <w:tcW w:w="2295" w:type="dxa"/>
            <w:tcBorders>
              <w:left w:val="single" w:color="000000" w:sz="6" w:space="0"/>
              <w:right w:val="single" w:color="000000" w:sz="6" w:space="0"/>
            </w:tcBorders>
            <w:noWrap w:val="0"/>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52"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noWrap w:val="0"/>
            <w:vAlign w:val="top"/>
          </w:tcPr>
          <w:p>
            <w:pPr>
              <w:spacing w:before="188" w:line="184" w:lineRule="auto"/>
              <w:ind w:left="3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760" w:type="dxa"/>
            <w:tcBorders>
              <w:left w:val="single" w:color="000000" w:sz="6" w:space="0"/>
              <w:right w:val="single" w:color="000000" w:sz="6" w:space="0"/>
            </w:tcBorders>
            <w:noWrap w:val="0"/>
            <w:vAlign w:val="top"/>
          </w:tcPr>
          <w:p>
            <w:pPr>
              <w:spacing w:before="152"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工程结算书</w:t>
            </w:r>
            <w:r>
              <w:rPr>
                <w:rFonts w:hint="eastAsia" w:ascii="宋体" w:hAnsi="宋体" w:eastAsia="宋体" w:cs="宋体"/>
                <w:color w:val="auto"/>
                <w:sz w:val="21"/>
                <w:szCs w:val="21"/>
                <w:highlight w:val="none"/>
              </w:rPr>
              <w:t>、工程量计算表</w:t>
            </w:r>
          </w:p>
        </w:tc>
        <w:tc>
          <w:tcPr>
            <w:tcW w:w="2295" w:type="dxa"/>
            <w:tcBorders>
              <w:left w:val="single" w:color="000000" w:sz="6" w:space="0"/>
              <w:right w:val="single" w:color="000000" w:sz="6" w:space="0"/>
            </w:tcBorders>
            <w:noWrap w:val="0"/>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203" w:line="183" w:lineRule="auto"/>
              <w:ind w:left="3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760" w:type="dxa"/>
            <w:tcBorders>
              <w:left w:val="single" w:color="000000" w:sz="6" w:space="0"/>
              <w:right w:val="single" w:color="000000" w:sz="6" w:space="0"/>
            </w:tcBorders>
            <w:noWrap w:val="0"/>
            <w:vAlign w:val="top"/>
          </w:tcPr>
          <w:p>
            <w:pPr>
              <w:spacing w:before="167"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项目建议书及批复</w:t>
            </w:r>
          </w:p>
        </w:tc>
        <w:tc>
          <w:tcPr>
            <w:tcW w:w="2295" w:type="dxa"/>
            <w:tcBorders>
              <w:left w:val="single" w:color="000000" w:sz="6" w:space="0"/>
              <w:right w:val="single" w:color="000000" w:sz="6" w:space="0"/>
            </w:tcBorders>
            <w:noWrap w:val="0"/>
            <w:vAlign w:val="top"/>
          </w:tcPr>
          <w:p>
            <w:pPr>
              <w:spacing w:before="167"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67"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97" w:type="dxa"/>
            <w:tcBorders>
              <w:left w:val="single" w:color="000000" w:sz="4" w:space="0"/>
              <w:right w:val="single" w:color="000000" w:sz="6" w:space="0"/>
            </w:tcBorders>
            <w:noWrap w:val="0"/>
            <w:vAlign w:val="top"/>
          </w:tcPr>
          <w:p>
            <w:pPr>
              <w:spacing w:line="269" w:lineRule="auto"/>
              <w:rPr>
                <w:rFonts w:hint="eastAsia" w:ascii="宋体" w:hAnsi="宋体" w:eastAsia="宋体" w:cs="宋体"/>
                <w:color w:val="auto"/>
                <w:sz w:val="21"/>
                <w:highlight w:val="none"/>
              </w:rPr>
            </w:pPr>
          </w:p>
          <w:p>
            <w:pPr>
              <w:spacing w:before="68" w:line="184" w:lineRule="auto"/>
              <w:ind w:left="3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760" w:type="dxa"/>
            <w:tcBorders>
              <w:left w:val="single" w:color="000000" w:sz="6" w:space="0"/>
              <w:right w:val="single" w:color="000000" w:sz="6" w:space="0"/>
            </w:tcBorders>
            <w:noWrap w:val="0"/>
            <w:vAlign w:val="top"/>
          </w:tcPr>
          <w:p>
            <w:pPr>
              <w:spacing w:before="123" w:line="376" w:lineRule="exact"/>
              <w:ind w:left="111"/>
              <w:rPr>
                <w:rFonts w:hint="eastAsia" w:ascii="宋体" w:hAnsi="宋体" w:eastAsia="宋体" w:cs="宋体"/>
                <w:color w:val="auto"/>
                <w:sz w:val="21"/>
                <w:szCs w:val="21"/>
                <w:highlight w:val="none"/>
              </w:rPr>
            </w:pPr>
            <w:r>
              <w:rPr>
                <w:rFonts w:hint="eastAsia" w:ascii="宋体" w:hAnsi="宋体" w:eastAsia="宋体" w:cs="宋体"/>
                <w:color w:val="auto"/>
                <w:spacing w:val="-1"/>
                <w:position w:val="12"/>
                <w:sz w:val="21"/>
                <w:szCs w:val="21"/>
                <w:highlight w:val="none"/>
              </w:rPr>
              <w:t>可行性研究</w:t>
            </w:r>
            <w:r>
              <w:rPr>
                <w:rFonts w:hint="eastAsia" w:ascii="宋体" w:hAnsi="宋体" w:eastAsia="宋体" w:cs="宋体"/>
                <w:color w:val="auto"/>
                <w:position w:val="12"/>
                <w:sz w:val="21"/>
                <w:szCs w:val="21"/>
                <w:highlight w:val="none"/>
              </w:rPr>
              <w:t>报告及批复</w:t>
            </w:r>
          </w:p>
          <w:p>
            <w:pPr>
              <w:spacing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3"/>
                <w:sz w:val="21"/>
                <w:szCs w:val="21"/>
                <w:highlight w:val="none"/>
              </w:rPr>
              <w:t>立项批复)</w:t>
            </w:r>
          </w:p>
        </w:tc>
        <w:tc>
          <w:tcPr>
            <w:tcW w:w="2295" w:type="dxa"/>
            <w:tcBorders>
              <w:left w:val="single" w:color="000000" w:sz="6" w:space="0"/>
              <w:right w:val="single" w:color="000000" w:sz="6" w:space="0"/>
            </w:tcBorders>
            <w:noWrap w:val="0"/>
            <w:vAlign w:val="top"/>
          </w:tcPr>
          <w:p>
            <w:pPr>
              <w:spacing w:before="303" w:line="219" w:lineRule="auto"/>
              <w:ind w:left="5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复印件(盖章</w:t>
            </w:r>
            <w:r>
              <w:rPr>
                <w:rFonts w:hint="eastAsia" w:ascii="宋体" w:hAnsi="宋体" w:eastAsia="宋体" w:cs="宋体"/>
                <w:color w:val="auto"/>
                <w:spacing w:val="-1"/>
                <w:sz w:val="21"/>
                <w:szCs w:val="21"/>
                <w:highlight w:val="none"/>
              </w:rPr>
              <w:t>)</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303"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7" w:type="dxa"/>
            <w:tcBorders>
              <w:left w:val="single" w:color="000000" w:sz="4" w:space="0"/>
              <w:right w:val="single" w:color="000000" w:sz="6" w:space="0"/>
            </w:tcBorders>
            <w:noWrap w:val="0"/>
            <w:vAlign w:val="top"/>
          </w:tcPr>
          <w:p>
            <w:pPr>
              <w:spacing w:before="221" w:line="181" w:lineRule="auto"/>
              <w:ind w:left="3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760" w:type="dxa"/>
            <w:tcBorders>
              <w:left w:val="single" w:color="000000" w:sz="6" w:space="0"/>
              <w:right w:val="single" w:color="000000" w:sz="6" w:space="0"/>
            </w:tcBorders>
            <w:noWrap w:val="0"/>
            <w:vAlign w:val="top"/>
          </w:tcPr>
          <w:p>
            <w:pPr>
              <w:spacing w:before="184" w:line="21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已审查合格的地质勘查报告</w:t>
            </w:r>
          </w:p>
        </w:tc>
        <w:tc>
          <w:tcPr>
            <w:tcW w:w="2295" w:type="dxa"/>
            <w:tcBorders>
              <w:left w:val="single" w:color="000000" w:sz="6" w:space="0"/>
              <w:right w:val="single" w:color="000000" w:sz="6" w:space="0"/>
            </w:tcBorders>
            <w:noWrap w:val="0"/>
            <w:vAlign w:val="top"/>
          </w:tcPr>
          <w:p>
            <w:pPr>
              <w:spacing w:before="184" w:line="219" w:lineRule="auto"/>
              <w:ind w:left="62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原</w:t>
            </w:r>
            <w:r>
              <w:rPr>
                <w:rFonts w:hint="eastAsia" w:ascii="宋体" w:hAnsi="宋体" w:eastAsia="宋体" w:cs="宋体"/>
                <w:color w:val="auto"/>
                <w:spacing w:val="-2"/>
                <w:sz w:val="21"/>
                <w:szCs w:val="21"/>
                <w:highlight w:val="none"/>
              </w:rPr>
              <w:t>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84"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697" w:type="dxa"/>
            <w:tcBorders>
              <w:left w:val="single" w:color="000000" w:sz="4" w:space="0"/>
              <w:right w:val="single" w:color="000000" w:sz="6" w:space="0"/>
            </w:tcBorders>
            <w:noWrap w:val="0"/>
            <w:vAlign w:val="top"/>
          </w:tcPr>
          <w:p>
            <w:pPr>
              <w:spacing w:line="463" w:lineRule="auto"/>
              <w:rPr>
                <w:rFonts w:hint="eastAsia" w:ascii="宋体" w:hAnsi="宋体" w:eastAsia="宋体" w:cs="宋体"/>
                <w:color w:val="auto"/>
                <w:sz w:val="21"/>
                <w:highlight w:val="none"/>
              </w:rPr>
            </w:pPr>
          </w:p>
          <w:p>
            <w:pPr>
              <w:spacing w:before="69" w:line="183" w:lineRule="auto"/>
              <w:ind w:left="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760" w:type="dxa"/>
            <w:tcBorders>
              <w:left w:val="single" w:color="000000" w:sz="6" w:space="0"/>
              <w:right w:val="single" w:color="000000" w:sz="6" w:space="0"/>
            </w:tcBorders>
            <w:noWrap w:val="0"/>
            <w:vAlign w:val="top"/>
          </w:tcPr>
          <w:p>
            <w:pPr>
              <w:spacing w:before="108" w:line="337" w:lineRule="auto"/>
              <w:ind w:left="110" w:right="118" w:hanging="2"/>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施</w:t>
            </w:r>
            <w:r>
              <w:rPr>
                <w:rFonts w:hint="eastAsia" w:ascii="宋体" w:hAnsi="宋体" w:eastAsia="宋体" w:cs="宋体"/>
                <w:color w:val="auto"/>
                <w:spacing w:val="8"/>
                <w:sz w:val="21"/>
                <w:szCs w:val="21"/>
                <w:highlight w:val="none"/>
              </w:rPr>
              <w:t>工图预算批复(即财政预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算评审文件</w:t>
            </w:r>
            <w:r>
              <w:rPr>
                <w:rFonts w:hint="eastAsia" w:ascii="宋体" w:hAnsi="宋体" w:eastAsia="宋体" w:cs="宋体"/>
                <w:color w:val="auto"/>
                <w:sz w:val="21"/>
                <w:szCs w:val="21"/>
                <w:highlight w:val="none"/>
              </w:rPr>
              <w:t>、区政府审定预</w:t>
            </w:r>
          </w:p>
          <w:p>
            <w:pPr>
              <w:spacing w:line="218"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算会议纪要</w:t>
            </w:r>
            <w:r>
              <w:rPr>
                <w:rFonts w:hint="eastAsia" w:ascii="宋体" w:hAnsi="宋体" w:eastAsia="宋体" w:cs="宋体"/>
                <w:color w:val="auto"/>
                <w:sz w:val="21"/>
                <w:szCs w:val="21"/>
                <w:highlight w:val="none"/>
              </w:rPr>
              <w:t>或领导批示</w:t>
            </w:r>
          </w:p>
        </w:tc>
        <w:tc>
          <w:tcPr>
            <w:tcW w:w="2295" w:type="dxa"/>
            <w:tcBorders>
              <w:left w:val="single" w:color="000000" w:sz="6" w:space="0"/>
              <w:right w:val="single" w:color="000000" w:sz="6" w:space="0"/>
            </w:tcBorders>
            <w:noWrap w:val="0"/>
            <w:vAlign w:val="top"/>
          </w:tcPr>
          <w:p>
            <w:pPr>
              <w:spacing w:line="428" w:lineRule="auto"/>
              <w:rPr>
                <w:rFonts w:hint="eastAsia" w:ascii="宋体" w:hAnsi="宋体" w:eastAsia="宋体" w:cs="宋体"/>
                <w:color w:val="auto"/>
                <w:sz w:val="21"/>
                <w:highlight w:val="none"/>
              </w:rPr>
            </w:pPr>
          </w:p>
          <w:p>
            <w:pPr>
              <w:spacing w:before="69"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line="428" w:lineRule="auto"/>
              <w:rPr>
                <w:rFonts w:hint="eastAsia" w:ascii="宋体" w:hAnsi="宋体" w:eastAsia="宋体" w:cs="宋体"/>
                <w:color w:val="auto"/>
                <w:sz w:val="21"/>
                <w:highlight w:val="none"/>
              </w:rPr>
            </w:pPr>
          </w:p>
          <w:p>
            <w:pPr>
              <w:spacing w:before="69"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noWrap w:val="0"/>
            <w:vAlign w:val="top"/>
          </w:tcPr>
          <w:p>
            <w:pPr>
              <w:spacing w:before="176" w:line="181" w:lineRule="auto"/>
              <w:ind w:left="3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760" w:type="dxa"/>
            <w:tcBorders>
              <w:left w:val="single" w:color="000000" w:sz="6" w:space="0"/>
              <w:right w:val="single" w:color="000000" w:sz="6" w:space="0"/>
            </w:tcBorders>
            <w:noWrap w:val="0"/>
            <w:vAlign w:val="top"/>
          </w:tcPr>
          <w:p>
            <w:pPr>
              <w:spacing w:before="139"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建设项目选址</w:t>
            </w:r>
            <w:r>
              <w:rPr>
                <w:rFonts w:hint="eastAsia" w:ascii="宋体" w:hAnsi="宋体" w:eastAsia="宋体" w:cs="宋体"/>
                <w:color w:val="auto"/>
                <w:sz w:val="21"/>
                <w:szCs w:val="21"/>
                <w:highlight w:val="none"/>
              </w:rPr>
              <w:t>意见书</w:t>
            </w:r>
          </w:p>
        </w:tc>
        <w:tc>
          <w:tcPr>
            <w:tcW w:w="2295" w:type="dxa"/>
            <w:tcBorders>
              <w:left w:val="single" w:color="000000" w:sz="6" w:space="0"/>
              <w:right w:val="single" w:color="000000" w:sz="6" w:space="0"/>
            </w:tcBorders>
            <w:noWrap w:val="0"/>
            <w:vAlign w:val="top"/>
          </w:tcPr>
          <w:p>
            <w:pPr>
              <w:spacing w:before="139"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4"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7" w:type="dxa"/>
            <w:tcBorders>
              <w:left w:val="single" w:color="000000" w:sz="4" w:space="0"/>
              <w:right w:val="single" w:color="000000" w:sz="6" w:space="0"/>
            </w:tcBorders>
            <w:noWrap w:val="0"/>
            <w:vAlign w:val="top"/>
          </w:tcPr>
          <w:p>
            <w:pPr>
              <w:spacing w:before="174" w:line="183" w:lineRule="auto"/>
              <w:ind w:left="3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760" w:type="dxa"/>
            <w:tcBorders>
              <w:left w:val="single" w:color="000000" w:sz="6" w:space="0"/>
              <w:right w:val="single" w:color="000000" w:sz="6" w:space="0"/>
            </w:tcBorders>
            <w:noWrap w:val="0"/>
            <w:vAlign w:val="top"/>
          </w:tcPr>
          <w:p>
            <w:pPr>
              <w:spacing w:before="140"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建设用地规划</w:t>
            </w:r>
            <w:r>
              <w:rPr>
                <w:rFonts w:hint="eastAsia" w:ascii="宋体" w:hAnsi="宋体" w:eastAsia="宋体" w:cs="宋体"/>
                <w:color w:val="auto"/>
                <w:sz w:val="21"/>
                <w:szCs w:val="21"/>
                <w:highlight w:val="none"/>
              </w:rPr>
              <w:t>许可证</w:t>
            </w:r>
          </w:p>
        </w:tc>
        <w:tc>
          <w:tcPr>
            <w:tcW w:w="2295" w:type="dxa"/>
            <w:tcBorders>
              <w:left w:val="single" w:color="000000" w:sz="6" w:space="0"/>
              <w:right w:val="single" w:color="000000" w:sz="6" w:space="0"/>
            </w:tcBorders>
            <w:noWrap w:val="0"/>
            <w:vAlign w:val="top"/>
          </w:tcPr>
          <w:p>
            <w:pPr>
              <w:spacing w:before="139"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4"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noWrap w:val="0"/>
            <w:vAlign w:val="top"/>
          </w:tcPr>
          <w:p>
            <w:pPr>
              <w:spacing w:before="175" w:line="183" w:lineRule="auto"/>
              <w:ind w:left="3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760" w:type="dxa"/>
            <w:tcBorders>
              <w:left w:val="single" w:color="000000" w:sz="6" w:space="0"/>
              <w:right w:val="single" w:color="000000" w:sz="6" w:space="0"/>
            </w:tcBorders>
            <w:noWrap w:val="0"/>
            <w:vAlign w:val="top"/>
          </w:tcPr>
          <w:p>
            <w:pPr>
              <w:spacing w:before="140"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建设工程规划</w:t>
            </w:r>
            <w:r>
              <w:rPr>
                <w:rFonts w:hint="eastAsia" w:ascii="宋体" w:hAnsi="宋体" w:eastAsia="宋体" w:cs="宋体"/>
                <w:color w:val="auto"/>
                <w:sz w:val="21"/>
                <w:szCs w:val="21"/>
                <w:highlight w:val="none"/>
              </w:rPr>
              <w:t>许可证</w:t>
            </w:r>
          </w:p>
        </w:tc>
        <w:tc>
          <w:tcPr>
            <w:tcW w:w="2295" w:type="dxa"/>
            <w:tcBorders>
              <w:left w:val="single" w:color="000000" w:sz="6" w:space="0"/>
              <w:right w:val="single" w:color="000000" w:sz="6" w:space="0"/>
            </w:tcBorders>
            <w:noWrap w:val="0"/>
            <w:vAlign w:val="top"/>
          </w:tcPr>
          <w:p>
            <w:pPr>
              <w:spacing w:before="140"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5"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noWrap w:val="0"/>
            <w:vAlign w:val="top"/>
          </w:tcPr>
          <w:p>
            <w:pPr>
              <w:spacing w:before="176"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10</w:t>
            </w:r>
          </w:p>
        </w:tc>
        <w:tc>
          <w:tcPr>
            <w:tcW w:w="2760" w:type="dxa"/>
            <w:tcBorders>
              <w:left w:val="single" w:color="000000" w:sz="6" w:space="0"/>
              <w:right w:val="single" w:color="000000" w:sz="6" w:space="0"/>
            </w:tcBorders>
            <w:noWrap w:val="0"/>
            <w:vAlign w:val="top"/>
          </w:tcPr>
          <w:p>
            <w:pPr>
              <w:spacing w:before="140" w:line="22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勘</w:t>
            </w:r>
            <w:r>
              <w:rPr>
                <w:rFonts w:hint="eastAsia" w:ascii="宋体" w:hAnsi="宋体" w:eastAsia="宋体" w:cs="宋体"/>
                <w:color w:val="auto"/>
                <w:spacing w:val="-1"/>
                <w:sz w:val="21"/>
                <w:szCs w:val="21"/>
                <w:highlight w:val="none"/>
              </w:rPr>
              <w:t>查合同</w:t>
            </w:r>
          </w:p>
        </w:tc>
        <w:tc>
          <w:tcPr>
            <w:tcW w:w="2295" w:type="dxa"/>
            <w:tcBorders>
              <w:left w:val="single" w:color="000000" w:sz="6" w:space="0"/>
              <w:right w:val="single" w:color="000000" w:sz="6" w:space="0"/>
            </w:tcBorders>
            <w:noWrap w:val="0"/>
            <w:vAlign w:val="top"/>
          </w:tcPr>
          <w:p>
            <w:pPr>
              <w:spacing w:before="140"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5"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7" w:type="dxa"/>
            <w:tcBorders>
              <w:left w:val="single" w:color="000000" w:sz="4" w:space="0"/>
              <w:right w:val="single" w:color="000000" w:sz="6" w:space="0"/>
            </w:tcBorders>
            <w:noWrap w:val="0"/>
            <w:vAlign w:val="top"/>
          </w:tcPr>
          <w:p>
            <w:pPr>
              <w:spacing w:before="160" w:line="185"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w:t>
            </w:r>
          </w:p>
        </w:tc>
        <w:tc>
          <w:tcPr>
            <w:tcW w:w="2760" w:type="dxa"/>
            <w:tcBorders>
              <w:left w:val="single" w:color="000000" w:sz="6" w:space="0"/>
              <w:right w:val="single" w:color="000000" w:sz="6" w:space="0"/>
            </w:tcBorders>
            <w:noWrap w:val="0"/>
            <w:vAlign w:val="top"/>
          </w:tcPr>
          <w:p>
            <w:pPr>
              <w:spacing w:before="125" w:line="221"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设计合同</w:t>
            </w:r>
          </w:p>
        </w:tc>
        <w:tc>
          <w:tcPr>
            <w:tcW w:w="2295" w:type="dxa"/>
            <w:tcBorders>
              <w:left w:val="single" w:color="000000" w:sz="6" w:space="0"/>
              <w:right w:val="single" w:color="000000" w:sz="6" w:space="0"/>
            </w:tcBorders>
            <w:noWrap w:val="0"/>
            <w:vAlign w:val="top"/>
          </w:tcPr>
          <w:p>
            <w:pPr>
              <w:spacing w:before="125"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10"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noWrap w:val="0"/>
            <w:vAlign w:val="top"/>
          </w:tcPr>
          <w:p>
            <w:pPr>
              <w:spacing w:before="175" w:line="185"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12</w:t>
            </w:r>
          </w:p>
        </w:tc>
        <w:tc>
          <w:tcPr>
            <w:tcW w:w="2760" w:type="dxa"/>
            <w:tcBorders>
              <w:left w:val="single" w:color="000000" w:sz="6" w:space="0"/>
              <w:right w:val="single" w:color="000000" w:sz="6" w:space="0"/>
            </w:tcBorders>
            <w:noWrap w:val="0"/>
            <w:vAlign w:val="top"/>
          </w:tcPr>
          <w:p>
            <w:pPr>
              <w:spacing w:before="141" w:line="222"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监理</w:t>
            </w:r>
            <w:r>
              <w:rPr>
                <w:rFonts w:hint="eastAsia" w:ascii="宋体" w:hAnsi="宋体" w:eastAsia="宋体" w:cs="宋体"/>
                <w:color w:val="auto"/>
                <w:spacing w:val="-1"/>
                <w:sz w:val="21"/>
                <w:szCs w:val="21"/>
                <w:highlight w:val="none"/>
              </w:rPr>
              <w:t>合同</w:t>
            </w:r>
          </w:p>
        </w:tc>
        <w:tc>
          <w:tcPr>
            <w:tcW w:w="2295" w:type="dxa"/>
            <w:tcBorders>
              <w:left w:val="single" w:color="000000" w:sz="6" w:space="0"/>
              <w:right w:val="single" w:color="000000" w:sz="6" w:space="0"/>
            </w:tcBorders>
            <w:noWrap w:val="0"/>
            <w:vAlign w:val="top"/>
          </w:tcPr>
          <w:p>
            <w:pPr>
              <w:spacing w:before="141"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6"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97" w:type="dxa"/>
            <w:tcBorders>
              <w:left w:val="single" w:color="000000" w:sz="4" w:space="0"/>
              <w:right w:val="single" w:color="000000" w:sz="6" w:space="0"/>
            </w:tcBorders>
            <w:noWrap w:val="0"/>
            <w:vAlign w:val="top"/>
          </w:tcPr>
          <w:p>
            <w:pPr>
              <w:spacing w:before="177"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13</w:t>
            </w:r>
          </w:p>
        </w:tc>
        <w:tc>
          <w:tcPr>
            <w:tcW w:w="2760" w:type="dxa"/>
            <w:tcBorders>
              <w:left w:val="single" w:color="000000" w:sz="6" w:space="0"/>
              <w:right w:val="single" w:color="000000" w:sz="6" w:space="0"/>
            </w:tcBorders>
            <w:noWrap w:val="0"/>
            <w:vAlign w:val="top"/>
          </w:tcPr>
          <w:p>
            <w:pPr>
              <w:spacing w:before="141" w:line="220" w:lineRule="auto"/>
              <w:ind w:left="11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磋商文件</w:t>
            </w:r>
          </w:p>
        </w:tc>
        <w:tc>
          <w:tcPr>
            <w:tcW w:w="2295" w:type="dxa"/>
            <w:tcBorders>
              <w:left w:val="single" w:color="000000" w:sz="6" w:space="0"/>
              <w:right w:val="single" w:color="000000" w:sz="6" w:space="0"/>
            </w:tcBorders>
            <w:noWrap w:val="0"/>
            <w:vAlign w:val="top"/>
          </w:tcPr>
          <w:p>
            <w:pPr>
              <w:spacing w:before="14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11"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noWrap w:val="0"/>
            <w:vAlign w:val="top"/>
          </w:tcPr>
          <w:p>
            <w:pPr>
              <w:spacing w:before="175" w:line="185"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14</w:t>
            </w:r>
          </w:p>
        </w:tc>
        <w:tc>
          <w:tcPr>
            <w:tcW w:w="2760" w:type="dxa"/>
            <w:tcBorders>
              <w:left w:val="single" w:color="000000" w:sz="6" w:space="0"/>
              <w:right w:val="single" w:color="000000" w:sz="6" w:space="0"/>
            </w:tcBorders>
            <w:noWrap w:val="0"/>
            <w:vAlign w:val="top"/>
          </w:tcPr>
          <w:p>
            <w:pPr>
              <w:spacing w:before="141"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投标文件(中标单</w:t>
            </w:r>
            <w:r>
              <w:rPr>
                <w:rFonts w:hint="eastAsia" w:ascii="宋体" w:hAnsi="宋体" w:eastAsia="宋体" w:cs="宋体"/>
                <w:color w:val="auto"/>
                <w:sz w:val="21"/>
                <w:szCs w:val="21"/>
                <w:highlight w:val="none"/>
              </w:rPr>
              <w:t>位)</w:t>
            </w:r>
          </w:p>
        </w:tc>
        <w:tc>
          <w:tcPr>
            <w:tcW w:w="2295" w:type="dxa"/>
            <w:tcBorders>
              <w:left w:val="single" w:color="000000" w:sz="6" w:space="0"/>
              <w:right w:val="single" w:color="000000" w:sz="6" w:space="0"/>
            </w:tcBorders>
            <w:noWrap w:val="0"/>
            <w:vAlign w:val="top"/>
          </w:tcPr>
          <w:p>
            <w:pPr>
              <w:spacing w:before="14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6"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7" w:type="dxa"/>
            <w:tcBorders>
              <w:left w:val="single" w:color="000000" w:sz="4" w:space="0"/>
              <w:right w:val="single" w:color="000000" w:sz="6" w:space="0"/>
            </w:tcBorders>
            <w:noWrap w:val="0"/>
            <w:vAlign w:val="top"/>
          </w:tcPr>
          <w:p>
            <w:pPr>
              <w:spacing w:before="176"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15</w:t>
            </w:r>
          </w:p>
        </w:tc>
        <w:tc>
          <w:tcPr>
            <w:tcW w:w="2760" w:type="dxa"/>
            <w:tcBorders>
              <w:left w:val="single" w:color="000000" w:sz="6" w:space="0"/>
              <w:right w:val="single" w:color="000000" w:sz="6" w:space="0"/>
            </w:tcBorders>
            <w:noWrap w:val="0"/>
            <w:vAlign w:val="top"/>
          </w:tcPr>
          <w:p>
            <w:pPr>
              <w:spacing w:before="141"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投标预算书(中标</w:t>
            </w:r>
            <w:r>
              <w:rPr>
                <w:rFonts w:hint="eastAsia" w:ascii="宋体" w:hAnsi="宋体" w:eastAsia="宋体" w:cs="宋体"/>
                <w:color w:val="auto"/>
                <w:sz w:val="21"/>
                <w:szCs w:val="21"/>
                <w:highlight w:val="none"/>
              </w:rPr>
              <w:t>单位)</w:t>
            </w:r>
          </w:p>
        </w:tc>
        <w:tc>
          <w:tcPr>
            <w:tcW w:w="2295" w:type="dxa"/>
            <w:tcBorders>
              <w:left w:val="single" w:color="000000" w:sz="6" w:space="0"/>
              <w:right w:val="single" w:color="000000" w:sz="6" w:space="0"/>
            </w:tcBorders>
            <w:noWrap w:val="0"/>
            <w:vAlign w:val="top"/>
          </w:tcPr>
          <w:p>
            <w:pPr>
              <w:spacing w:before="14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11"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97" w:type="dxa"/>
            <w:tcBorders>
              <w:left w:val="single" w:color="000000" w:sz="4" w:space="0"/>
              <w:right w:val="single" w:color="000000" w:sz="6" w:space="0"/>
            </w:tcBorders>
            <w:noWrap w:val="0"/>
            <w:vAlign w:val="top"/>
          </w:tcPr>
          <w:p>
            <w:pPr>
              <w:spacing w:line="287" w:lineRule="auto"/>
              <w:rPr>
                <w:rFonts w:hint="eastAsia" w:ascii="宋体" w:hAnsi="宋体" w:eastAsia="宋体" w:cs="宋体"/>
                <w:color w:val="auto"/>
                <w:sz w:val="21"/>
                <w:highlight w:val="none"/>
              </w:rPr>
            </w:pPr>
          </w:p>
          <w:p>
            <w:pPr>
              <w:spacing w:before="68"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16</w:t>
            </w:r>
          </w:p>
        </w:tc>
        <w:tc>
          <w:tcPr>
            <w:tcW w:w="2760" w:type="dxa"/>
            <w:tcBorders>
              <w:left w:val="single" w:color="000000" w:sz="6" w:space="0"/>
              <w:right w:val="single" w:color="000000" w:sz="6" w:space="0"/>
            </w:tcBorders>
            <w:noWrap w:val="0"/>
            <w:vAlign w:val="top"/>
          </w:tcPr>
          <w:p>
            <w:pPr>
              <w:spacing w:before="127" w:line="375" w:lineRule="exact"/>
              <w:ind w:left="129"/>
              <w:rPr>
                <w:rFonts w:hint="eastAsia" w:ascii="宋体" w:hAnsi="宋体" w:eastAsia="宋体" w:cs="宋体"/>
                <w:color w:val="auto"/>
                <w:sz w:val="21"/>
                <w:szCs w:val="21"/>
                <w:highlight w:val="none"/>
              </w:rPr>
            </w:pPr>
            <w:r>
              <w:rPr>
                <w:rFonts w:hint="eastAsia" w:ascii="宋体" w:hAnsi="宋体" w:eastAsia="宋体" w:cs="宋体"/>
                <w:color w:val="auto"/>
                <w:spacing w:val="-2"/>
                <w:position w:val="12"/>
                <w:sz w:val="21"/>
                <w:szCs w:val="21"/>
                <w:highlight w:val="none"/>
              </w:rPr>
              <w:t>中标通知书、招投标</w:t>
            </w:r>
            <w:r>
              <w:rPr>
                <w:rFonts w:hint="eastAsia" w:ascii="宋体" w:hAnsi="宋体" w:eastAsia="宋体" w:cs="宋体"/>
                <w:color w:val="auto"/>
                <w:spacing w:val="-1"/>
                <w:position w:val="12"/>
                <w:sz w:val="21"/>
                <w:szCs w:val="21"/>
                <w:highlight w:val="none"/>
              </w:rPr>
              <w:t>情况备</w:t>
            </w:r>
          </w:p>
          <w:p>
            <w:pPr>
              <w:spacing w:line="22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案登记</w:t>
            </w:r>
            <w:r>
              <w:rPr>
                <w:rFonts w:hint="eastAsia" w:ascii="宋体" w:hAnsi="宋体" w:eastAsia="宋体" w:cs="宋体"/>
                <w:color w:val="auto"/>
                <w:spacing w:val="-1"/>
                <w:sz w:val="21"/>
                <w:szCs w:val="21"/>
                <w:highlight w:val="none"/>
              </w:rPr>
              <w:t>表</w:t>
            </w:r>
          </w:p>
        </w:tc>
        <w:tc>
          <w:tcPr>
            <w:tcW w:w="2295" w:type="dxa"/>
            <w:tcBorders>
              <w:left w:val="single" w:color="000000" w:sz="6" w:space="0"/>
              <w:right w:val="single" w:color="000000" w:sz="6" w:space="0"/>
            </w:tcBorders>
            <w:noWrap w:val="0"/>
            <w:vAlign w:val="top"/>
          </w:tcPr>
          <w:p>
            <w:pPr>
              <w:spacing w:line="251" w:lineRule="auto"/>
              <w:rPr>
                <w:rFonts w:hint="eastAsia" w:ascii="宋体" w:hAnsi="宋体" w:eastAsia="宋体" w:cs="宋体"/>
                <w:color w:val="auto"/>
                <w:sz w:val="21"/>
                <w:highlight w:val="none"/>
              </w:rPr>
            </w:pPr>
          </w:p>
          <w:p>
            <w:pPr>
              <w:spacing w:before="69"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6"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noWrap w:val="0"/>
            <w:vAlign w:val="top"/>
          </w:tcPr>
          <w:p>
            <w:pPr>
              <w:spacing w:before="192"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17</w:t>
            </w:r>
          </w:p>
        </w:tc>
        <w:tc>
          <w:tcPr>
            <w:tcW w:w="2760" w:type="dxa"/>
            <w:tcBorders>
              <w:left w:val="single" w:color="000000" w:sz="6" w:space="0"/>
              <w:right w:val="single" w:color="000000" w:sz="6" w:space="0"/>
            </w:tcBorders>
            <w:noWrap w:val="0"/>
            <w:vAlign w:val="top"/>
          </w:tcPr>
          <w:p>
            <w:pPr>
              <w:spacing w:before="157" w:line="222"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合</w:t>
            </w:r>
            <w:r>
              <w:rPr>
                <w:rFonts w:hint="eastAsia" w:ascii="宋体" w:hAnsi="宋体" w:eastAsia="宋体" w:cs="宋体"/>
                <w:color w:val="auto"/>
                <w:spacing w:val="-2"/>
                <w:sz w:val="21"/>
                <w:szCs w:val="21"/>
                <w:highlight w:val="none"/>
              </w:rPr>
              <w:t>同</w:t>
            </w:r>
          </w:p>
        </w:tc>
        <w:tc>
          <w:tcPr>
            <w:tcW w:w="2295" w:type="dxa"/>
            <w:tcBorders>
              <w:left w:val="single" w:color="000000" w:sz="6" w:space="0"/>
              <w:right w:val="single" w:color="000000" w:sz="6" w:space="0"/>
            </w:tcBorders>
            <w:noWrap w:val="0"/>
            <w:vAlign w:val="top"/>
          </w:tcPr>
          <w:p>
            <w:pPr>
              <w:spacing w:before="15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12"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97" w:type="dxa"/>
            <w:tcBorders>
              <w:left w:val="single" w:color="000000" w:sz="4" w:space="0"/>
              <w:right w:val="single" w:color="000000" w:sz="6" w:space="0"/>
            </w:tcBorders>
            <w:noWrap w:val="0"/>
            <w:vAlign w:val="top"/>
          </w:tcPr>
          <w:p>
            <w:pPr>
              <w:spacing w:before="208"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18</w:t>
            </w:r>
          </w:p>
        </w:tc>
        <w:tc>
          <w:tcPr>
            <w:tcW w:w="2760" w:type="dxa"/>
            <w:tcBorders>
              <w:left w:val="single" w:color="000000" w:sz="6" w:space="0"/>
              <w:right w:val="single" w:color="000000" w:sz="6" w:space="0"/>
            </w:tcBorders>
            <w:noWrap w:val="0"/>
            <w:vAlign w:val="top"/>
          </w:tcPr>
          <w:p>
            <w:pPr>
              <w:spacing w:before="173" w:line="220"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补充</w:t>
            </w:r>
            <w:r>
              <w:rPr>
                <w:rFonts w:hint="eastAsia" w:ascii="宋体" w:hAnsi="宋体" w:eastAsia="宋体" w:cs="宋体"/>
                <w:color w:val="auto"/>
                <w:spacing w:val="-1"/>
                <w:sz w:val="21"/>
                <w:szCs w:val="21"/>
                <w:highlight w:val="none"/>
              </w:rPr>
              <w:t>协议</w:t>
            </w:r>
          </w:p>
        </w:tc>
        <w:tc>
          <w:tcPr>
            <w:tcW w:w="2295" w:type="dxa"/>
            <w:tcBorders>
              <w:left w:val="single" w:color="000000" w:sz="6" w:space="0"/>
              <w:right w:val="single" w:color="000000" w:sz="6" w:space="0"/>
            </w:tcBorders>
            <w:noWrap w:val="0"/>
            <w:vAlign w:val="top"/>
          </w:tcPr>
          <w:p>
            <w:pPr>
              <w:spacing w:before="17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7"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pgSz w:w="11895" w:h="16845"/>
          <w:pgMar w:top="1431" w:right="1276" w:bottom="1353" w:left="1276" w:header="1134" w:footer="1134" w:gutter="0"/>
          <w:pgNumType w:fmt="decimal"/>
          <w:cols w:space="720" w:num="1"/>
        </w:sect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66" w:lineRule="exact"/>
        <w:rPr>
          <w:rFonts w:hint="eastAsia" w:ascii="宋体" w:hAnsi="宋体" w:eastAsia="宋体" w:cs="宋体"/>
          <w:color w:val="auto"/>
          <w:highlight w:val="none"/>
        </w:rPr>
      </w:pPr>
    </w:p>
    <w:tbl>
      <w:tblPr>
        <w:tblStyle w:val="527"/>
        <w:tblW w:w="932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2760"/>
        <w:gridCol w:w="2295"/>
        <w:gridCol w:w="1454"/>
        <w:gridCol w:w="2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97" w:type="dxa"/>
            <w:tcBorders>
              <w:left w:val="single" w:color="000000" w:sz="4" w:space="0"/>
              <w:right w:val="single" w:color="000000" w:sz="6" w:space="0"/>
            </w:tcBorders>
            <w:noWrap w:val="0"/>
            <w:vAlign w:val="top"/>
          </w:tcPr>
          <w:p>
            <w:pPr>
              <w:spacing w:line="289" w:lineRule="auto"/>
              <w:rPr>
                <w:rFonts w:hint="eastAsia" w:ascii="宋体" w:hAnsi="宋体" w:eastAsia="宋体" w:cs="宋体"/>
                <w:color w:val="auto"/>
                <w:sz w:val="21"/>
                <w:highlight w:val="none"/>
              </w:rPr>
            </w:pPr>
          </w:p>
          <w:p>
            <w:pPr>
              <w:spacing w:before="69"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19</w:t>
            </w:r>
          </w:p>
        </w:tc>
        <w:tc>
          <w:tcPr>
            <w:tcW w:w="2760" w:type="dxa"/>
            <w:tcBorders>
              <w:left w:val="single" w:color="000000" w:sz="6" w:space="0"/>
              <w:right w:val="single" w:color="000000" w:sz="6" w:space="0"/>
            </w:tcBorders>
            <w:noWrap w:val="0"/>
            <w:vAlign w:val="top"/>
          </w:tcPr>
          <w:p>
            <w:pPr>
              <w:spacing w:before="130" w:line="375" w:lineRule="exact"/>
              <w:ind w:left="108"/>
              <w:rPr>
                <w:rFonts w:hint="eastAsia" w:ascii="宋体" w:hAnsi="宋体" w:eastAsia="宋体" w:cs="宋体"/>
                <w:color w:val="auto"/>
                <w:sz w:val="21"/>
                <w:szCs w:val="21"/>
                <w:highlight w:val="none"/>
              </w:rPr>
            </w:pPr>
            <w:r>
              <w:rPr>
                <w:rFonts w:hint="eastAsia" w:ascii="宋体" w:hAnsi="宋体" w:eastAsia="宋体" w:cs="宋体"/>
                <w:color w:val="auto"/>
                <w:spacing w:val="-6"/>
                <w:position w:val="12"/>
                <w:sz w:val="21"/>
                <w:szCs w:val="21"/>
                <w:highlight w:val="none"/>
              </w:rPr>
              <w:t>施</w:t>
            </w:r>
            <w:r>
              <w:rPr>
                <w:rFonts w:hint="eastAsia" w:ascii="宋体" w:hAnsi="宋体" w:eastAsia="宋体" w:cs="宋体"/>
                <w:color w:val="auto"/>
                <w:spacing w:val="-4"/>
                <w:position w:val="12"/>
                <w:sz w:val="21"/>
                <w:szCs w:val="21"/>
                <w:highlight w:val="none"/>
              </w:rPr>
              <w:t>工</w:t>
            </w:r>
            <w:r>
              <w:rPr>
                <w:rFonts w:hint="eastAsia" w:ascii="宋体" w:hAnsi="宋体" w:eastAsia="宋体" w:cs="宋体"/>
                <w:color w:val="auto"/>
                <w:spacing w:val="-3"/>
                <w:position w:val="12"/>
                <w:sz w:val="21"/>
                <w:szCs w:val="21"/>
                <w:highlight w:val="none"/>
              </w:rPr>
              <w:t>单位营业执照、</w:t>
            </w:r>
          </w:p>
          <w:p>
            <w:pPr>
              <w:spacing w:line="218"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施工资质证</w:t>
            </w:r>
            <w:r>
              <w:rPr>
                <w:rFonts w:hint="eastAsia" w:ascii="宋体" w:hAnsi="宋体" w:eastAsia="宋体" w:cs="宋体"/>
                <w:color w:val="auto"/>
                <w:sz w:val="21"/>
                <w:szCs w:val="21"/>
                <w:highlight w:val="none"/>
              </w:rPr>
              <w:t>书</w:t>
            </w:r>
          </w:p>
        </w:tc>
        <w:tc>
          <w:tcPr>
            <w:tcW w:w="2295" w:type="dxa"/>
            <w:tcBorders>
              <w:left w:val="single" w:color="000000" w:sz="6" w:space="0"/>
              <w:right w:val="single" w:color="000000" w:sz="6" w:space="0"/>
            </w:tcBorders>
            <w:noWrap w:val="0"/>
            <w:vAlign w:val="top"/>
          </w:tcPr>
          <w:p>
            <w:pPr>
              <w:spacing w:line="254" w:lineRule="auto"/>
              <w:rPr>
                <w:rFonts w:hint="eastAsia" w:ascii="宋体" w:hAnsi="宋体" w:eastAsia="宋体" w:cs="宋体"/>
                <w:color w:val="auto"/>
                <w:sz w:val="21"/>
                <w:highlight w:val="none"/>
              </w:rPr>
            </w:pPr>
          </w:p>
          <w:p>
            <w:pPr>
              <w:spacing w:before="69"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97" w:type="dxa"/>
            <w:tcBorders>
              <w:left w:val="single" w:color="000000" w:sz="4" w:space="0"/>
              <w:right w:val="single" w:color="000000" w:sz="6" w:space="0"/>
            </w:tcBorders>
            <w:noWrap w:val="0"/>
            <w:vAlign w:val="top"/>
          </w:tcPr>
          <w:p>
            <w:pPr>
              <w:spacing w:before="187"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w:t>
            </w:r>
          </w:p>
        </w:tc>
        <w:tc>
          <w:tcPr>
            <w:tcW w:w="2760" w:type="dxa"/>
            <w:tcBorders>
              <w:left w:val="single" w:color="000000" w:sz="6" w:space="0"/>
              <w:right w:val="single" w:color="000000" w:sz="6" w:space="0"/>
            </w:tcBorders>
            <w:noWrap w:val="0"/>
            <w:vAlign w:val="top"/>
          </w:tcPr>
          <w:p>
            <w:pPr>
              <w:spacing w:before="152" w:line="22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施工许可证</w:t>
            </w:r>
          </w:p>
        </w:tc>
        <w:tc>
          <w:tcPr>
            <w:tcW w:w="2295" w:type="dxa"/>
            <w:tcBorders>
              <w:left w:val="single" w:color="000000" w:sz="6" w:space="0"/>
              <w:right w:val="single" w:color="000000" w:sz="6" w:space="0"/>
            </w:tcBorders>
            <w:noWrap w:val="0"/>
            <w:vAlign w:val="top"/>
          </w:tcPr>
          <w:p>
            <w:pPr>
              <w:spacing w:before="152"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07"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201" w:line="185"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1</w:t>
            </w:r>
          </w:p>
        </w:tc>
        <w:tc>
          <w:tcPr>
            <w:tcW w:w="2760" w:type="dxa"/>
            <w:tcBorders>
              <w:left w:val="single" w:color="000000" w:sz="6" w:space="0"/>
              <w:right w:val="single" w:color="000000" w:sz="6" w:space="0"/>
            </w:tcBorders>
            <w:noWrap w:val="0"/>
            <w:vAlign w:val="top"/>
          </w:tcPr>
          <w:p>
            <w:pPr>
              <w:spacing w:before="166" w:line="219"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施工质量</w:t>
            </w:r>
            <w:r>
              <w:rPr>
                <w:rFonts w:hint="eastAsia" w:ascii="宋体" w:hAnsi="宋体" w:eastAsia="宋体" w:cs="宋体"/>
                <w:color w:val="auto"/>
                <w:sz w:val="21"/>
                <w:szCs w:val="21"/>
                <w:highlight w:val="none"/>
              </w:rPr>
              <w:t>监督书</w:t>
            </w:r>
          </w:p>
        </w:tc>
        <w:tc>
          <w:tcPr>
            <w:tcW w:w="2295" w:type="dxa"/>
            <w:tcBorders>
              <w:left w:val="single" w:color="000000" w:sz="6" w:space="0"/>
              <w:right w:val="single" w:color="000000" w:sz="6" w:space="0"/>
            </w:tcBorders>
            <w:noWrap w:val="0"/>
            <w:vAlign w:val="top"/>
          </w:tcPr>
          <w:p>
            <w:pPr>
              <w:spacing w:before="166"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1"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202" w:line="184"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2</w:t>
            </w:r>
          </w:p>
        </w:tc>
        <w:tc>
          <w:tcPr>
            <w:tcW w:w="2760" w:type="dxa"/>
            <w:tcBorders>
              <w:left w:val="single" w:color="000000" w:sz="6" w:space="0"/>
              <w:right w:val="single" w:color="000000" w:sz="6" w:space="0"/>
            </w:tcBorders>
            <w:noWrap w:val="0"/>
            <w:vAlign w:val="top"/>
          </w:tcPr>
          <w:p>
            <w:pPr>
              <w:spacing w:before="167" w:line="219"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施工安全</w:t>
            </w:r>
            <w:r>
              <w:rPr>
                <w:rFonts w:hint="eastAsia" w:ascii="宋体" w:hAnsi="宋体" w:eastAsia="宋体" w:cs="宋体"/>
                <w:color w:val="auto"/>
                <w:sz w:val="21"/>
                <w:szCs w:val="21"/>
                <w:highlight w:val="none"/>
              </w:rPr>
              <w:t>监督书</w:t>
            </w:r>
          </w:p>
        </w:tc>
        <w:tc>
          <w:tcPr>
            <w:tcW w:w="2295" w:type="dxa"/>
            <w:tcBorders>
              <w:left w:val="single" w:color="000000" w:sz="6" w:space="0"/>
              <w:right w:val="single" w:color="000000" w:sz="6" w:space="0"/>
            </w:tcBorders>
            <w:noWrap w:val="0"/>
            <w:vAlign w:val="top"/>
          </w:tcPr>
          <w:p>
            <w:pPr>
              <w:spacing w:before="167"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22"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7" w:type="dxa"/>
            <w:tcBorders>
              <w:left w:val="single" w:color="000000" w:sz="4" w:space="0"/>
              <w:right w:val="single" w:color="000000" w:sz="6" w:space="0"/>
            </w:tcBorders>
            <w:noWrap w:val="0"/>
            <w:vAlign w:val="top"/>
          </w:tcPr>
          <w:p>
            <w:pPr>
              <w:spacing w:before="187"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3</w:t>
            </w:r>
          </w:p>
        </w:tc>
        <w:tc>
          <w:tcPr>
            <w:tcW w:w="2760" w:type="dxa"/>
            <w:tcBorders>
              <w:left w:val="single" w:color="000000" w:sz="6" w:space="0"/>
              <w:right w:val="single" w:color="000000" w:sz="6" w:space="0"/>
            </w:tcBorders>
            <w:noWrap w:val="0"/>
            <w:vAlign w:val="top"/>
          </w:tcPr>
          <w:p>
            <w:pPr>
              <w:spacing w:before="153" w:line="21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开工</w:t>
            </w:r>
            <w:r>
              <w:rPr>
                <w:rFonts w:hint="eastAsia" w:ascii="宋体" w:hAnsi="宋体" w:eastAsia="宋体" w:cs="宋体"/>
                <w:color w:val="auto"/>
                <w:spacing w:val="-1"/>
                <w:sz w:val="21"/>
                <w:szCs w:val="21"/>
                <w:highlight w:val="none"/>
              </w:rPr>
              <w:t>报告</w:t>
            </w:r>
          </w:p>
        </w:tc>
        <w:tc>
          <w:tcPr>
            <w:tcW w:w="2295" w:type="dxa"/>
            <w:tcBorders>
              <w:left w:val="single" w:color="000000" w:sz="6" w:space="0"/>
              <w:right w:val="single" w:color="000000" w:sz="6" w:space="0"/>
            </w:tcBorders>
            <w:noWrap w:val="0"/>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noWrap w:val="0"/>
            <w:vAlign w:val="top"/>
          </w:tcPr>
          <w:p>
            <w:pPr>
              <w:spacing w:before="187" w:line="184"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4</w:t>
            </w:r>
          </w:p>
        </w:tc>
        <w:tc>
          <w:tcPr>
            <w:tcW w:w="2760" w:type="dxa"/>
            <w:tcBorders>
              <w:left w:val="single" w:color="000000" w:sz="6" w:space="0"/>
              <w:right w:val="single" w:color="000000" w:sz="6" w:space="0"/>
            </w:tcBorders>
            <w:noWrap w:val="0"/>
            <w:vAlign w:val="top"/>
          </w:tcPr>
          <w:p>
            <w:pPr>
              <w:spacing w:before="152"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设计交底、图</w:t>
            </w:r>
            <w:r>
              <w:rPr>
                <w:rFonts w:hint="eastAsia" w:ascii="宋体" w:hAnsi="宋体" w:eastAsia="宋体" w:cs="宋体"/>
                <w:color w:val="auto"/>
                <w:sz w:val="21"/>
                <w:szCs w:val="21"/>
                <w:highlight w:val="none"/>
              </w:rPr>
              <w:t>纸会审情况</w:t>
            </w:r>
          </w:p>
        </w:tc>
        <w:tc>
          <w:tcPr>
            <w:tcW w:w="2295" w:type="dxa"/>
            <w:tcBorders>
              <w:left w:val="single" w:color="000000" w:sz="6" w:space="0"/>
              <w:right w:val="single" w:color="000000" w:sz="6" w:space="0"/>
            </w:tcBorders>
            <w:noWrap w:val="0"/>
            <w:vAlign w:val="top"/>
          </w:tcPr>
          <w:p>
            <w:pPr>
              <w:spacing w:before="15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52"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7" w:type="dxa"/>
            <w:tcBorders>
              <w:left w:val="single" w:color="000000" w:sz="4" w:space="0"/>
              <w:right w:val="single" w:color="000000" w:sz="6" w:space="0"/>
            </w:tcBorders>
            <w:noWrap w:val="0"/>
            <w:vAlign w:val="top"/>
          </w:tcPr>
          <w:p>
            <w:pPr>
              <w:spacing w:before="202"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5</w:t>
            </w:r>
          </w:p>
        </w:tc>
        <w:tc>
          <w:tcPr>
            <w:tcW w:w="2760" w:type="dxa"/>
            <w:tcBorders>
              <w:left w:val="single" w:color="000000" w:sz="6" w:space="0"/>
              <w:right w:val="single" w:color="000000" w:sz="6" w:space="0"/>
            </w:tcBorders>
            <w:noWrap w:val="0"/>
            <w:vAlign w:val="top"/>
          </w:tcPr>
          <w:p>
            <w:pPr>
              <w:spacing w:before="167" w:line="22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施工组</w:t>
            </w:r>
            <w:r>
              <w:rPr>
                <w:rFonts w:hint="eastAsia" w:ascii="宋体" w:hAnsi="宋体" w:eastAsia="宋体" w:cs="宋体"/>
                <w:color w:val="auto"/>
                <w:sz w:val="21"/>
                <w:szCs w:val="21"/>
                <w:highlight w:val="none"/>
              </w:rPr>
              <w:t>织设计报审资料</w:t>
            </w:r>
          </w:p>
        </w:tc>
        <w:tc>
          <w:tcPr>
            <w:tcW w:w="2295" w:type="dxa"/>
            <w:tcBorders>
              <w:left w:val="single" w:color="000000" w:sz="6" w:space="0"/>
              <w:right w:val="single" w:color="000000" w:sz="6" w:space="0"/>
            </w:tcBorders>
            <w:noWrap w:val="0"/>
            <w:vAlign w:val="top"/>
          </w:tcPr>
          <w:p>
            <w:pPr>
              <w:spacing w:before="16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201"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6</w:t>
            </w:r>
          </w:p>
        </w:tc>
        <w:tc>
          <w:tcPr>
            <w:tcW w:w="2760" w:type="dxa"/>
            <w:tcBorders>
              <w:left w:val="single" w:color="000000" w:sz="6" w:space="0"/>
              <w:right w:val="single" w:color="000000" w:sz="6" w:space="0"/>
            </w:tcBorders>
            <w:noWrap w:val="0"/>
            <w:vAlign w:val="top"/>
          </w:tcPr>
          <w:p>
            <w:pPr>
              <w:spacing w:before="167"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设计变更相关</w:t>
            </w:r>
            <w:r>
              <w:rPr>
                <w:rFonts w:hint="eastAsia" w:ascii="宋体" w:hAnsi="宋体" w:eastAsia="宋体" w:cs="宋体"/>
                <w:color w:val="auto"/>
                <w:sz w:val="21"/>
                <w:szCs w:val="21"/>
                <w:highlight w:val="none"/>
              </w:rPr>
              <w:t>请示和批复</w:t>
            </w:r>
          </w:p>
        </w:tc>
        <w:tc>
          <w:tcPr>
            <w:tcW w:w="2295" w:type="dxa"/>
            <w:tcBorders>
              <w:left w:val="single" w:color="000000" w:sz="6" w:space="0"/>
              <w:right w:val="single" w:color="000000" w:sz="6" w:space="0"/>
            </w:tcBorders>
            <w:noWrap w:val="0"/>
            <w:vAlign w:val="top"/>
          </w:tcPr>
          <w:p>
            <w:pPr>
              <w:spacing w:before="166"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97" w:type="dxa"/>
            <w:tcBorders>
              <w:left w:val="single" w:color="000000" w:sz="4" w:space="0"/>
              <w:right w:val="single" w:color="000000" w:sz="6" w:space="0"/>
            </w:tcBorders>
            <w:noWrap w:val="0"/>
            <w:vAlign w:val="top"/>
          </w:tcPr>
          <w:p>
            <w:pPr>
              <w:spacing w:line="268" w:lineRule="auto"/>
              <w:rPr>
                <w:rFonts w:hint="eastAsia" w:ascii="宋体" w:hAnsi="宋体" w:eastAsia="宋体" w:cs="宋体"/>
                <w:color w:val="auto"/>
                <w:sz w:val="21"/>
                <w:highlight w:val="none"/>
              </w:rPr>
            </w:pPr>
          </w:p>
          <w:p>
            <w:pPr>
              <w:spacing w:before="68"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7</w:t>
            </w:r>
          </w:p>
        </w:tc>
        <w:tc>
          <w:tcPr>
            <w:tcW w:w="2760" w:type="dxa"/>
            <w:tcBorders>
              <w:left w:val="single" w:color="000000" w:sz="6" w:space="0"/>
              <w:right w:val="single" w:color="000000" w:sz="6" w:space="0"/>
            </w:tcBorders>
            <w:noWrap w:val="0"/>
            <w:vAlign w:val="top"/>
          </w:tcPr>
          <w:p>
            <w:pPr>
              <w:spacing w:before="107" w:line="391" w:lineRule="exact"/>
              <w:ind w:left="112"/>
              <w:rPr>
                <w:rFonts w:hint="eastAsia" w:ascii="宋体" w:hAnsi="宋体" w:eastAsia="宋体" w:cs="宋体"/>
                <w:color w:val="auto"/>
                <w:sz w:val="21"/>
                <w:szCs w:val="21"/>
                <w:highlight w:val="none"/>
              </w:rPr>
            </w:pPr>
            <w:r>
              <w:rPr>
                <w:rFonts w:hint="eastAsia" w:ascii="宋体" w:hAnsi="宋体" w:eastAsia="宋体" w:cs="宋体"/>
                <w:color w:val="auto"/>
                <w:spacing w:val="-4"/>
                <w:position w:val="13"/>
                <w:sz w:val="21"/>
                <w:szCs w:val="21"/>
                <w:highlight w:val="none"/>
              </w:rPr>
              <w:t>设计变更通</w:t>
            </w:r>
            <w:r>
              <w:rPr>
                <w:rFonts w:hint="eastAsia" w:ascii="宋体" w:hAnsi="宋体" w:eastAsia="宋体" w:cs="宋体"/>
                <w:color w:val="auto"/>
                <w:spacing w:val="-2"/>
                <w:position w:val="13"/>
                <w:sz w:val="21"/>
                <w:szCs w:val="21"/>
                <w:highlight w:val="none"/>
              </w:rPr>
              <w:t>知及变更图纸、</w:t>
            </w:r>
          </w:p>
          <w:p>
            <w:pPr>
              <w:spacing w:line="218"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变更工程量</w:t>
            </w:r>
            <w:r>
              <w:rPr>
                <w:rFonts w:hint="eastAsia" w:ascii="宋体" w:hAnsi="宋体" w:eastAsia="宋体" w:cs="宋体"/>
                <w:color w:val="auto"/>
                <w:sz w:val="21"/>
                <w:szCs w:val="21"/>
                <w:highlight w:val="none"/>
              </w:rPr>
              <w:t>计算书</w:t>
            </w:r>
          </w:p>
        </w:tc>
        <w:tc>
          <w:tcPr>
            <w:tcW w:w="2295" w:type="dxa"/>
            <w:tcBorders>
              <w:left w:val="single" w:color="000000" w:sz="6" w:space="0"/>
              <w:right w:val="single" w:color="000000" w:sz="6" w:space="0"/>
            </w:tcBorders>
            <w:noWrap w:val="0"/>
            <w:vAlign w:val="top"/>
          </w:tcPr>
          <w:p>
            <w:pPr>
              <w:spacing w:before="30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7" w:type="dxa"/>
            <w:tcBorders>
              <w:left w:val="single" w:color="000000" w:sz="4" w:space="0"/>
              <w:right w:val="single" w:color="000000" w:sz="6" w:space="0"/>
            </w:tcBorders>
            <w:noWrap w:val="0"/>
            <w:vAlign w:val="top"/>
          </w:tcPr>
          <w:p>
            <w:pPr>
              <w:spacing w:before="203"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8</w:t>
            </w:r>
          </w:p>
        </w:tc>
        <w:tc>
          <w:tcPr>
            <w:tcW w:w="2760" w:type="dxa"/>
            <w:tcBorders>
              <w:left w:val="single" w:color="000000" w:sz="6" w:space="0"/>
              <w:right w:val="single" w:color="000000" w:sz="6" w:space="0"/>
            </w:tcBorders>
            <w:noWrap w:val="0"/>
            <w:vAlign w:val="top"/>
          </w:tcPr>
          <w:p>
            <w:pPr>
              <w:spacing w:before="123"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工程量变更</w:t>
            </w:r>
            <w:r>
              <w:rPr>
                <w:rFonts w:hint="eastAsia" w:ascii="宋体" w:hAnsi="宋体" w:eastAsia="宋体" w:cs="宋体"/>
                <w:color w:val="auto"/>
                <w:sz w:val="21"/>
                <w:szCs w:val="21"/>
                <w:highlight w:val="none"/>
              </w:rPr>
              <w:t>增加投资审批资</w:t>
            </w:r>
          </w:p>
        </w:tc>
        <w:tc>
          <w:tcPr>
            <w:tcW w:w="2295" w:type="dxa"/>
            <w:tcBorders>
              <w:left w:val="single" w:color="000000" w:sz="6" w:space="0"/>
              <w:right w:val="single" w:color="000000" w:sz="6" w:space="0"/>
            </w:tcBorders>
            <w:noWrap w:val="0"/>
            <w:vAlign w:val="top"/>
          </w:tcPr>
          <w:p>
            <w:pPr>
              <w:spacing w:before="168"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187"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9</w:t>
            </w:r>
          </w:p>
        </w:tc>
        <w:tc>
          <w:tcPr>
            <w:tcW w:w="2760" w:type="dxa"/>
            <w:tcBorders>
              <w:left w:val="single" w:color="000000" w:sz="6" w:space="0"/>
              <w:right w:val="single" w:color="000000" w:sz="6" w:space="0"/>
            </w:tcBorders>
            <w:noWrap w:val="0"/>
            <w:vAlign w:val="top"/>
          </w:tcPr>
          <w:p>
            <w:pPr>
              <w:spacing w:before="152"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设</w:t>
            </w:r>
            <w:r>
              <w:rPr>
                <w:rFonts w:hint="eastAsia" w:ascii="宋体" w:hAnsi="宋体" w:eastAsia="宋体" w:cs="宋体"/>
                <w:color w:val="auto"/>
                <w:spacing w:val="-1"/>
                <w:sz w:val="21"/>
                <w:szCs w:val="21"/>
                <w:highlight w:val="none"/>
              </w:rPr>
              <w:t>计变更签证单</w:t>
            </w:r>
          </w:p>
        </w:tc>
        <w:tc>
          <w:tcPr>
            <w:tcW w:w="2295" w:type="dxa"/>
            <w:tcBorders>
              <w:left w:val="single" w:color="000000" w:sz="6" w:space="0"/>
              <w:right w:val="single" w:color="000000" w:sz="6" w:space="0"/>
            </w:tcBorders>
            <w:noWrap w:val="0"/>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noWrap w:val="0"/>
            <w:vAlign w:val="top"/>
          </w:tcPr>
          <w:p>
            <w:pPr>
              <w:spacing w:before="187"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0</w:t>
            </w:r>
          </w:p>
        </w:tc>
        <w:tc>
          <w:tcPr>
            <w:tcW w:w="2760" w:type="dxa"/>
            <w:tcBorders>
              <w:left w:val="single" w:color="000000" w:sz="6" w:space="0"/>
              <w:right w:val="single" w:color="000000" w:sz="6" w:space="0"/>
            </w:tcBorders>
            <w:noWrap w:val="0"/>
            <w:vAlign w:val="top"/>
          </w:tcPr>
          <w:p>
            <w:pPr>
              <w:spacing w:before="153" w:line="22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施工签证单</w:t>
            </w:r>
          </w:p>
        </w:tc>
        <w:tc>
          <w:tcPr>
            <w:tcW w:w="2295" w:type="dxa"/>
            <w:tcBorders>
              <w:left w:val="single" w:color="000000" w:sz="6" w:space="0"/>
              <w:right w:val="single" w:color="000000" w:sz="6" w:space="0"/>
            </w:tcBorders>
            <w:noWrap w:val="0"/>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203"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1</w:t>
            </w:r>
          </w:p>
        </w:tc>
        <w:tc>
          <w:tcPr>
            <w:tcW w:w="2760" w:type="dxa"/>
            <w:tcBorders>
              <w:left w:val="single" w:color="000000" w:sz="6" w:space="0"/>
              <w:right w:val="single" w:color="000000" w:sz="6" w:space="0"/>
            </w:tcBorders>
            <w:noWrap w:val="0"/>
            <w:vAlign w:val="top"/>
          </w:tcPr>
          <w:p>
            <w:pPr>
              <w:spacing w:before="168" w:line="218"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材料价格核</w:t>
            </w:r>
            <w:r>
              <w:rPr>
                <w:rFonts w:hint="eastAsia" w:ascii="宋体" w:hAnsi="宋体" w:eastAsia="宋体" w:cs="宋体"/>
                <w:color w:val="auto"/>
                <w:sz w:val="21"/>
                <w:szCs w:val="21"/>
                <w:highlight w:val="none"/>
              </w:rPr>
              <w:t>价单</w:t>
            </w:r>
          </w:p>
        </w:tc>
        <w:tc>
          <w:tcPr>
            <w:tcW w:w="2295" w:type="dxa"/>
            <w:tcBorders>
              <w:left w:val="single" w:color="000000" w:sz="6" w:space="0"/>
              <w:right w:val="single" w:color="000000" w:sz="6" w:space="0"/>
            </w:tcBorders>
            <w:noWrap w:val="0"/>
            <w:vAlign w:val="top"/>
          </w:tcPr>
          <w:p>
            <w:pPr>
              <w:spacing w:before="16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203"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2</w:t>
            </w:r>
          </w:p>
        </w:tc>
        <w:tc>
          <w:tcPr>
            <w:tcW w:w="2760" w:type="dxa"/>
            <w:tcBorders>
              <w:left w:val="single" w:color="000000" w:sz="6" w:space="0"/>
              <w:right w:val="single" w:color="000000" w:sz="6" w:space="0"/>
            </w:tcBorders>
            <w:noWrap w:val="0"/>
            <w:vAlign w:val="top"/>
          </w:tcPr>
          <w:p>
            <w:pPr>
              <w:spacing w:before="168" w:line="219"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重要材料</w:t>
            </w:r>
            <w:r>
              <w:rPr>
                <w:rFonts w:hint="eastAsia" w:ascii="宋体" w:hAnsi="宋体" w:eastAsia="宋体" w:cs="宋体"/>
                <w:color w:val="auto"/>
                <w:sz w:val="21"/>
                <w:szCs w:val="21"/>
                <w:highlight w:val="none"/>
              </w:rPr>
              <w:t>购销合同、发票</w:t>
            </w:r>
          </w:p>
        </w:tc>
        <w:tc>
          <w:tcPr>
            <w:tcW w:w="2295" w:type="dxa"/>
            <w:tcBorders>
              <w:left w:val="single" w:color="000000" w:sz="6" w:space="0"/>
              <w:right w:val="single" w:color="000000" w:sz="6" w:space="0"/>
            </w:tcBorders>
            <w:noWrap w:val="0"/>
            <w:vAlign w:val="top"/>
          </w:tcPr>
          <w:p>
            <w:pPr>
              <w:spacing w:before="168"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189"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3</w:t>
            </w:r>
          </w:p>
        </w:tc>
        <w:tc>
          <w:tcPr>
            <w:tcW w:w="2760" w:type="dxa"/>
            <w:tcBorders>
              <w:left w:val="single" w:color="000000" w:sz="6" w:space="0"/>
              <w:right w:val="single" w:color="000000" w:sz="6" w:space="0"/>
            </w:tcBorders>
            <w:noWrap w:val="0"/>
            <w:vAlign w:val="top"/>
          </w:tcPr>
          <w:p>
            <w:pPr>
              <w:spacing w:before="153" w:line="220" w:lineRule="auto"/>
              <w:ind w:left="12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隐蔽项目技术资料</w:t>
            </w:r>
          </w:p>
        </w:tc>
        <w:tc>
          <w:tcPr>
            <w:tcW w:w="2295" w:type="dxa"/>
            <w:tcBorders>
              <w:left w:val="single" w:color="000000" w:sz="6" w:space="0"/>
              <w:right w:val="single" w:color="000000" w:sz="6" w:space="0"/>
            </w:tcBorders>
            <w:noWrap w:val="0"/>
            <w:vAlign w:val="top"/>
          </w:tcPr>
          <w:p>
            <w:pPr>
              <w:spacing w:before="153"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97" w:type="dxa"/>
            <w:tcBorders>
              <w:left w:val="single" w:color="000000" w:sz="4" w:space="0"/>
              <w:right w:val="single" w:color="000000" w:sz="6" w:space="0"/>
            </w:tcBorders>
            <w:noWrap w:val="0"/>
            <w:vAlign w:val="top"/>
          </w:tcPr>
          <w:p>
            <w:pPr>
              <w:spacing w:line="269" w:lineRule="auto"/>
              <w:rPr>
                <w:rFonts w:hint="eastAsia" w:ascii="宋体" w:hAnsi="宋体" w:eastAsia="宋体" w:cs="宋体"/>
                <w:color w:val="auto"/>
                <w:sz w:val="21"/>
                <w:highlight w:val="none"/>
              </w:rPr>
            </w:pPr>
          </w:p>
          <w:p>
            <w:pPr>
              <w:spacing w:before="69"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4</w:t>
            </w:r>
          </w:p>
        </w:tc>
        <w:tc>
          <w:tcPr>
            <w:tcW w:w="2760" w:type="dxa"/>
            <w:tcBorders>
              <w:left w:val="single" w:color="000000" w:sz="6" w:space="0"/>
              <w:right w:val="single" w:color="000000" w:sz="6" w:space="0"/>
            </w:tcBorders>
            <w:noWrap w:val="0"/>
            <w:vAlign w:val="top"/>
          </w:tcPr>
          <w:p>
            <w:pPr>
              <w:spacing w:before="110" w:line="390" w:lineRule="exact"/>
              <w:ind w:left="110"/>
              <w:rPr>
                <w:rFonts w:hint="eastAsia" w:ascii="宋体" w:hAnsi="宋体" w:eastAsia="宋体" w:cs="宋体"/>
                <w:color w:val="auto"/>
                <w:sz w:val="21"/>
                <w:szCs w:val="21"/>
                <w:highlight w:val="none"/>
              </w:rPr>
            </w:pPr>
            <w:r>
              <w:rPr>
                <w:rFonts w:hint="eastAsia" w:ascii="宋体" w:hAnsi="宋体" w:eastAsia="宋体" w:cs="宋体"/>
                <w:color w:val="auto"/>
                <w:spacing w:val="-4"/>
                <w:position w:val="13"/>
                <w:sz w:val="21"/>
                <w:szCs w:val="21"/>
                <w:highlight w:val="none"/>
              </w:rPr>
              <w:t>土石方等</w:t>
            </w:r>
            <w:r>
              <w:rPr>
                <w:rFonts w:hint="eastAsia" w:ascii="宋体" w:hAnsi="宋体" w:eastAsia="宋体" w:cs="宋体"/>
                <w:color w:val="auto"/>
                <w:spacing w:val="-2"/>
                <w:position w:val="13"/>
                <w:sz w:val="21"/>
                <w:szCs w:val="21"/>
                <w:highlight w:val="none"/>
              </w:rPr>
              <w:t>项目的原始高程、</w:t>
            </w:r>
          </w:p>
          <w:p>
            <w:pPr>
              <w:spacing w:line="218"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第三方测绘</w:t>
            </w:r>
            <w:r>
              <w:rPr>
                <w:rFonts w:hint="eastAsia" w:ascii="宋体" w:hAnsi="宋体" w:eastAsia="宋体" w:cs="宋体"/>
                <w:color w:val="auto"/>
                <w:sz w:val="21"/>
                <w:szCs w:val="21"/>
                <w:highlight w:val="none"/>
              </w:rPr>
              <w:t>报告</w:t>
            </w:r>
          </w:p>
        </w:tc>
        <w:tc>
          <w:tcPr>
            <w:tcW w:w="2295" w:type="dxa"/>
            <w:tcBorders>
              <w:left w:val="single" w:color="000000" w:sz="6" w:space="0"/>
              <w:right w:val="single" w:color="000000" w:sz="6" w:space="0"/>
            </w:tcBorders>
            <w:noWrap w:val="0"/>
            <w:vAlign w:val="top"/>
          </w:tcPr>
          <w:p>
            <w:pPr>
              <w:spacing w:before="304"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noWrap w:val="0"/>
            <w:vAlign w:val="top"/>
          </w:tcPr>
          <w:p>
            <w:pPr>
              <w:spacing w:before="190"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5</w:t>
            </w:r>
          </w:p>
        </w:tc>
        <w:tc>
          <w:tcPr>
            <w:tcW w:w="2760" w:type="dxa"/>
            <w:tcBorders>
              <w:left w:val="single" w:color="000000" w:sz="6" w:space="0"/>
              <w:right w:val="single" w:color="000000" w:sz="6" w:space="0"/>
            </w:tcBorders>
            <w:noWrap w:val="0"/>
            <w:vAlign w:val="top"/>
          </w:tcPr>
          <w:p>
            <w:pPr>
              <w:spacing w:before="155" w:line="221"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监理</w:t>
            </w:r>
            <w:r>
              <w:rPr>
                <w:rFonts w:hint="eastAsia" w:ascii="宋体" w:hAnsi="宋体" w:eastAsia="宋体" w:cs="宋体"/>
                <w:color w:val="auto"/>
                <w:spacing w:val="-1"/>
                <w:sz w:val="21"/>
                <w:szCs w:val="21"/>
                <w:highlight w:val="none"/>
              </w:rPr>
              <w:t>总结</w:t>
            </w:r>
          </w:p>
        </w:tc>
        <w:tc>
          <w:tcPr>
            <w:tcW w:w="2295" w:type="dxa"/>
            <w:tcBorders>
              <w:left w:val="single" w:color="000000" w:sz="6" w:space="0"/>
              <w:right w:val="single" w:color="000000" w:sz="6" w:space="0"/>
            </w:tcBorders>
            <w:noWrap w:val="0"/>
            <w:vAlign w:val="top"/>
          </w:tcPr>
          <w:p>
            <w:pPr>
              <w:spacing w:before="154"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noWrap w:val="0"/>
            <w:vAlign w:val="top"/>
          </w:tcPr>
          <w:p>
            <w:pPr>
              <w:spacing w:before="190"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6</w:t>
            </w:r>
          </w:p>
        </w:tc>
        <w:tc>
          <w:tcPr>
            <w:tcW w:w="2760" w:type="dxa"/>
            <w:tcBorders>
              <w:left w:val="single" w:color="000000" w:sz="6" w:space="0"/>
              <w:right w:val="single" w:color="000000" w:sz="6" w:space="0"/>
            </w:tcBorders>
            <w:noWrap w:val="0"/>
            <w:vAlign w:val="top"/>
          </w:tcPr>
          <w:p>
            <w:pPr>
              <w:spacing w:before="155"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工</w:t>
            </w:r>
            <w:r>
              <w:rPr>
                <w:rFonts w:hint="eastAsia" w:ascii="宋体" w:hAnsi="宋体" w:eastAsia="宋体" w:cs="宋体"/>
                <w:color w:val="auto"/>
                <w:spacing w:val="-1"/>
                <w:sz w:val="21"/>
                <w:szCs w:val="21"/>
                <w:highlight w:val="none"/>
              </w:rPr>
              <w:t>程例会纪要</w:t>
            </w:r>
          </w:p>
        </w:tc>
        <w:tc>
          <w:tcPr>
            <w:tcW w:w="2295" w:type="dxa"/>
            <w:tcBorders>
              <w:left w:val="single" w:color="000000" w:sz="6" w:space="0"/>
              <w:right w:val="single" w:color="000000" w:sz="6" w:space="0"/>
            </w:tcBorders>
            <w:noWrap w:val="0"/>
            <w:vAlign w:val="top"/>
          </w:tcPr>
          <w:p>
            <w:pPr>
              <w:spacing w:before="155"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97" w:type="dxa"/>
            <w:tcBorders>
              <w:left w:val="single" w:color="000000" w:sz="4" w:space="0"/>
              <w:right w:val="single" w:color="000000" w:sz="6" w:space="0"/>
            </w:tcBorders>
            <w:noWrap w:val="0"/>
            <w:vAlign w:val="top"/>
          </w:tcPr>
          <w:p>
            <w:pPr>
              <w:spacing w:line="286" w:lineRule="auto"/>
              <w:rPr>
                <w:rFonts w:hint="eastAsia" w:ascii="宋体" w:hAnsi="宋体" w:eastAsia="宋体" w:cs="宋体"/>
                <w:color w:val="auto"/>
                <w:sz w:val="21"/>
                <w:highlight w:val="none"/>
              </w:rPr>
            </w:pPr>
          </w:p>
          <w:p>
            <w:pPr>
              <w:spacing w:before="68"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7</w:t>
            </w:r>
          </w:p>
        </w:tc>
        <w:tc>
          <w:tcPr>
            <w:tcW w:w="2760" w:type="dxa"/>
            <w:tcBorders>
              <w:left w:val="single" w:color="000000" w:sz="6" w:space="0"/>
              <w:right w:val="single" w:color="000000" w:sz="6" w:space="0"/>
            </w:tcBorders>
            <w:noWrap w:val="0"/>
            <w:vAlign w:val="top"/>
          </w:tcPr>
          <w:p>
            <w:pPr>
              <w:spacing w:before="126" w:line="375" w:lineRule="exact"/>
              <w:ind w:left="110"/>
              <w:rPr>
                <w:rFonts w:hint="eastAsia" w:ascii="宋体" w:hAnsi="宋体" w:eastAsia="宋体" w:cs="宋体"/>
                <w:color w:val="auto"/>
                <w:sz w:val="21"/>
                <w:szCs w:val="21"/>
                <w:highlight w:val="none"/>
              </w:rPr>
            </w:pPr>
            <w:r>
              <w:rPr>
                <w:rFonts w:hint="eastAsia" w:ascii="宋体" w:hAnsi="宋体" w:eastAsia="宋体" w:cs="宋体"/>
                <w:color w:val="auto"/>
                <w:spacing w:val="13"/>
                <w:position w:val="12"/>
                <w:sz w:val="21"/>
                <w:szCs w:val="21"/>
                <w:highlight w:val="none"/>
              </w:rPr>
              <w:t>竣</w:t>
            </w:r>
            <w:r>
              <w:rPr>
                <w:rFonts w:hint="eastAsia" w:ascii="宋体" w:hAnsi="宋体" w:eastAsia="宋体" w:cs="宋体"/>
                <w:color w:val="auto"/>
                <w:spacing w:val="8"/>
                <w:position w:val="12"/>
                <w:sz w:val="21"/>
                <w:szCs w:val="21"/>
                <w:highlight w:val="none"/>
              </w:rPr>
              <w:t>工验收资料(竣工验收会</w:t>
            </w:r>
          </w:p>
          <w:p>
            <w:pPr>
              <w:spacing w:line="218"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议纪要、验收意见书</w:t>
            </w:r>
            <w:r>
              <w:rPr>
                <w:rFonts w:hint="eastAsia" w:ascii="宋体" w:hAnsi="宋体" w:eastAsia="宋体" w:cs="宋体"/>
                <w:color w:val="auto"/>
                <w:spacing w:val="-1"/>
                <w:sz w:val="21"/>
                <w:szCs w:val="21"/>
                <w:highlight w:val="none"/>
              </w:rPr>
              <w:t>)</w:t>
            </w:r>
          </w:p>
        </w:tc>
        <w:tc>
          <w:tcPr>
            <w:tcW w:w="2295" w:type="dxa"/>
            <w:tcBorders>
              <w:left w:val="single" w:color="000000" w:sz="6" w:space="0"/>
              <w:right w:val="single" w:color="000000" w:sz="6" w:space="0"/>
            </w:tcBorders>
            <w:noWrap w:val="0"/>
            <w:vAlign w:val="top"/>
          </w:tcPr>
          <w:p>
            <w:pPr>
              <w:spacing w:line="251" w:lineRule="auto"/>
              <w:rPr>
                <w:rFonts w:hint="eastAsia" w:ascii="宋体" w:hAnsi="宋体" w:eastAsia="宋体" w:cs="宋体"/>
                <w:color w:val="auto"/>
                <w:sz w:val="21"/>
                <w:highlight w:val="none"/>
              </w:rPr>
            </w:pPr>
          </w:p>
          <w:p>
            <w:pPr>
              <w:spacing w:before="68"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Borders>
              <w:left w:val="single" w:color="000000" w:sz="4" w:space="0"/>
              <w:right w:val="single" w:color="000000" w:sz="6" w:space="0"/>
            </w:tcBorders>
            <w:noWrap w:val="0"/>
            <w:vAlign w:val="top"/>
          </w:tcPr>
          <w:p>
            <w:pPr>
              <w:spacing w:before="146"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8</w:t>
            </w:r>
          </w:p>
        </w:tc>
        <w:tc>
          <w:tcPr>
            <w:tcW w:w="2760" w:type="dxa"/>
            <w:tcBorders>
              <w:left w:val="single" w:color="000000" w:sz="6" w:space="0"/>
              <w:right w:val="single" w:color="000000" w:sz="6" w:space="0"/>
            </w:tcBorders>
            <w:noWrap w:val="0"/>
            <w:vAlign w:val="top"/>
          </w:tcPr>
          <w:p>
            <w:pPr>
              <w:spacing w:before="111" w:line="22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安全文明施工验</w:t>
            </w:r>
            <w:r>
              <w:rPr>
                <w:rFonts w:hint="eastAsia" w:ascii="宋体" w:hAnsi="宋体" w:eastAsia="宋体" w:cs="宋体"/>
                <w:color w:val="auto"/>
                <w:sz w:val="21"/>
                <w:szCs w:val="21"/>
                <w:highlight w:val="none"/>
              </w:rPr>
              <w:t>收评定表</w:t>
            </w:r>
          </w:p>
        </w:tc>
        <w:tc>
          <w:tcPr>
            <w:tcW w:w="2295" w:type="dxa"/>
            <w:tcBorders>
              <w:left w:val="single" w:color="000000" w:sz="6" w:space="0"/>
              <w:right w:val="single" w:color="000000" w:sz="6" w:space="0"/>
            </w:tcBorders>
            <w:noWrap w:val="0"/>
            <w:vAlign w:val="top"/>
          </w:tcPr>
          <w:p>
            <w:pPr>
              <w:spacing w:before="11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97" w:type="dxa"/>
            <w:tcBorders>
              <w:left w:val="single" w:color="000000" w:sz="4" w:space="0"/>
              <w:right w:val="single" w:color="000000" w:sz="6" w:space="0"/>
            </w:tcBorders>
            <w:noWrap w:val="0"/>
            <w:vAlign w:val="top"/>
          </w:tcPr>
          <w:p>
            <w:pPr>
              <w:spacing w:before="222"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9</w:t>
            </w:r>
          </w:p>
        </w:tc>
        <w:tc>
          <w:tcPr>
            <w:tcW w:w="2760" w:type="dxa"/>
            <w:tcBorders>
              <w:left w:val="single" w:color="000000" w:sz="6" w:space="0"/>
              <w:right w:val="single" w:color="000000" w:sz="6" w:space="0"/>
            </w:tcBorders>
            <w:noWrap w:val="0"/>
            <w:vAlign w:val="top"/>
          </w:tcPr>
          <w:p>
            <w:pPr>
              <w:spacing w:before="187" w:line="219"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相关领</w:t>
            </w:r>
            <w:r>
              <w:rPr>
                <w:rFonts w:hint="eastAsia" w:ascii="宋体" w:hAnsi="宋体" w:eastAsia="宋体" w:cs="宋体"/>
                <w:color w:val="auto"/>
                <w:sz w:val="21"/>
                <w:szCs w:val="21"/>
                <w:highlight w:val="none"/>
              </w:rPr>
              <w:t>导批示、会议纪要等</w:t>
            </w:r>
          </w:p>
        </w:tc>
        <w:tc>
          <w:tcPr>
            <w:tcW w:w="2295" w:type="dxa"/>
            <w:tcBorders>
              <w:left w:val="single" w:color="000000" w:sz="6" w:space="0"/>
              <w:right w:val="single" w:color="000000" w:sz="6" w:space="0"/>
            </w:tcBorders>
            <w:noWrap w:val="0"/>
            <w:vAlign w:val="top"/>
          </w:tcPr>
          <w:p>
            <w:pPr>
              <w:spacing w:before="18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spacing w:before="187"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Borders>
              <w:left w:val="single" w:color="000000" w:sz="4" w:space="0"/>
              <w:right w:val="single" w:color="000000" w:sz="6" w:space="0"/>
            </w:tcBorders>
            <w:noWrap w:val="0"/>
            <w:vAlign w:val="top"/>
          </w:tcPr>
          <w:p>
            <w:pPr>
              <w:spacing w:before="162" w:line="182" w:lineRule="auto"/>
              <w:ind w:left="25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40</w:t>
            </w:r>
          </w:p>
        </w:tc>
        <w:tc>
          <w:tcPr>
            <w:tcW w:w="2760" w:type="dxa"/>
            <w:tcBorders>
              <w:left w:val="single" w:color="000000" w:sz="6" w:space="0"/>
              <w:right w:val="single" w:color="000000" w:sz="6" w:space="0"/>
            </w:tcBorders>
            <w:noWrap w:val="0"/>
            <w:vAlign w:val="top"/>
          </w:tcPr>
          <w:p>
            <w:pPr>
              <w:spacing w:before="127" w:line="213"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施工设计</w:t>
            </w:r>
            <w:r>
              <w:rPr>
                <w:rFonts w:hint="eastAsia" w:ascii="宋体" w:hAnsi="宋体" w:eastAsia="宋体" w:cs="宋体"/>
                <w:color w:val="auto"/>
                <w:sz w:val="21"/>
                <w:szCs w:val="21"/>
                <w:highlight w:val="none"/>
              </w:rPr>
              <w:t>图纸(审查通过</w:t>
            </w:r>
          </w:p>
        </w:tc>
        <w:tc>
          <w:tcPr>
            <w:tcW w:w="2295" w:type="dxa"/>
            <w:tcBorders>
              <w:left w:val="single" w:color="000000" w:sz="6" w:space="0"/>
              <w:right w:val="single" w:color="000000" w:sz="6" w:space="0"/>
            </w:tcBorders>
            <w:noWrap w:val="0"/>
            <w:vAlign w:val="top"/>
          </w:tcPr>
          <w:p>
            <w:pPr>
              <w:spacing w:before="127" w:line="213"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97" w:type="dxa"/>
            <w:tcBorders>
              <w:left w:val="single" w:color="000000" w:sz="4" w:space="0"/>
              <w:right w:val="single" w:color="000000" w:sz="6" w:space="0"/>
            </w:tcBorders>
            <w:noWrap w:val="0"/>
            <w:vAlign w:val="top"/>
          </w:tcPr>
          <w:p>
            <w:pPr>
              <w:spacing w:before="162" w:line="185" w:lineRule="auto"/>
              <w:ind w:left="25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41</w:t>
            </w:r>
          </w:p>
        </w:tc>
        <w:tc>
          <w:tcPr>
            <w:tcW w:w="2760" w:type="dxa"/>
            <w:tcBorders>
              <w:left w:val="single" w:color="000000" w:sz="6" w:space="0"/>
              <w:right w:val="single" w:color="000000" w:sz="6" w:space="0"/>
            </w:tcBorders>
            <w:noWrap w:val="0"/>
            <w:vAlign w:val="top"/>
          </w:tcPr>
          <w:p>
            <w:pPr>
              <w:spacing w:before="127" w:line="220"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竣工图</w:t>
            </w:r>
          </w:p>
        </w:tc>
        <w:tc>
          <w:tcPr>
            <w:tcW w:w="2295" w:type="dxa"/>
            <w:tcBorders>
              <w:left w:val="single" w:color="000000" w:sz="6" w:space="0"/>
              <w:right w:val="single" w:color="000000" w:sz="6" w:space="0"/>
            </w:tcBorders>
            <w:noWrap w:val="0"/>
            <w:vAlign w:val="top"/>
          </w:tcPr>
          <w:p>
            <w:pPr>
              <w:spacing w:before="12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97" w:type="dxa"/>
            <w:tcBorders>
              <w:left w:val="single" w:color="000000" w:sz="4" w:space="0"/>
              <w:right w:val="single" w:color="000000" w:sz="6" w:space="0"/>
            </w:tcBorders>
            <w:noWrap w:val="0"/>
            <w:vAlign w:val="top"/>
          </w:tcPr>
          <w:p>
            <w:pPr>
              <w:spacing w:before="148" w:line="184" w:lineRule="auto"/>
              <w:ind w:left="252"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42</w:t>
            </w:r>
          </w:p>
        </w:tc>
        <w:tc>
          <w:tcPr>
            <w:tcW w:w="2760" w:type="dxa"/>
            <w:tcBorders>
              <w:left w:val="single" w:color="000000" w:sz="6" w:space="0"/>
              <w:right w:val="single" w:color="000000" w:sz="6" w:space="0"/>
            </w:tcBorders>
            <w:noWrap w:val="0"/>
            <w:vAlign w:val="top"/>
          </w:tcPr>
          <w:p>
            <w:pPr>
              <w:spacing w:before="112" w:line="220" w:lineRule="auto"/>
              <w:ind w:left="110"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其他结算相</w:t>
            </w:r>
            <w:r>
              <w:rPr>
                <w:rFonts w:hint="eastAsia" w:ascii="宋体" w:hAnsi="宋体" w:eastAsia="宋体" w:cs="宋体"/>
                <w:color w:val="auto"/>
                <w:sz w:val="21"/>
                <w:szCs w:val="21"/>
                <w:highlight w:val="none"/>
              </w:rPr>
              <w:t>关资料</w:t>
            </w:r>
          </w:p>
        </w:tc>
        <w:tc>
          <w:tcPr>
            <w:tcW w:w="2295" w:type="dxa"/>
            <w:tcBorders>
              <w:left w:val="single" w:color="000000" w:sz="6" w:space="0"/>
              <w:right w:val="single" w:color="000000" w:sz="6" w:space="0"/>
            </w:tcBorders>
            <w:noWrap w:val="0"/>
            <w:vAlign w:val="top"/>
          </w:tcPr>
          <w:p>
            <w:pPr>
              <w:spacing w:before="112" w:line="220" w:lineRule="auto"/>
              <w:ind w:left="944" w:left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noWrap w:val="0"/>
            <w:vAlign w:val="top"/>
          </w:tcPr>
          <w:p>
            <w:pPr>
              <w:rPr>
                <w:rFonts w:hint="eastAsia" w:ascii="宋体" w:hAnsi="宋体" w:eastAsia="宋体" w:cs="宋体"/>
                <w:color w:val="auto"/>
                <w:sz w:val="21"/>
                <w:highlight w:val="none"/>
              </w:rPr>
            </w:pPr>
          </w:p>
        </w:tc>
      </w:tr>
      <w:bookmarkEnd w:id="381"/>
      <w:bookmarkEnd w:id="382"/>
    </w:tbl>
    <w:p>
      <w:pPr>
        <w:pStyle w:val="3"/>
        <w:ind w:left="0" w:firstLine="0"/>
        <w:jc w:val="both"/>
        <w:rPr>
          <w:rFonts w:hint="eastAsia" w:ascii="宋体" w:hAnsi="宋体" w:eastAsia="宋体" w:cs="宋体"/>
          <w:b/>
          <w:color w:val="auto"/>
          <w:highlight w:val="none"/>
        </w:rPr>
      </w:pPr>
      <w:bookmarkStart w:id="1265" w:name="_Toc327800143"/>
      <w:bookmarkStart w:id="1266" w:name="_Toc328409753"/>
      <w:bookmarkStart w:id="1267" w:name="_Toc8043"/>
      <w:bookmarkStart w:id="1268" w:name="_Toc18267"/>
      <w:bookmarkStart w:id="1269" w:name="_Toc11166883"/>
      <w:bookmarkStart w:id="1270" w:name="_Toc328410201"/>
    </w:p>
    <w:p>
      <w:pPr>
        <w:pStyle w:val="3"/>
        <w:ind w:left="0" w:firstLine="0"/>
        <w:rPr>
          <w:rFonts w:ascii="宋体" w:hAnsi="宋体" w:eastAsia="宋体" w:cs="宋体"/>
          <w:b/>
          <w:color w:val="auto"/>
          <w:highlight w:val="none"/>
        </w:rPr>
      </w:pPr>
      <w:r>
        <w:rPr>
          <w:rFonts w:hint="eastAsia" w:ascii="宋体" w:hAnsi="宋体" w:eastAsia="宋体" w:cs="宋体"/>
          <w:b/>
          <w:color w:val="auto"/>
          <w:highlight w:val="none"/>
        </w:rPr>
        <w:t xml:space="preserve">第五章   </w:t>
      </w:r>
      <w:bookmarkEnd w:id="1265"/>
      <w:r>
        <w:rPr>
          <w:rFonts w:hint="eastAsia" w:ascii="宋体" w:hAnsi="宋体" w:eastAsia="宋体" w:cs="宋体"/>
          <w:b/>
          <w:color w:val="auto"/>
          <w:highlight w:val="none"/>
        </w:rPr>
        <w:t>工程量清单</w:t>
      </w:r>
      <w:bookmarkEnd w:id="1266"/>
      <w:bookmarkEnd w:id="1267"/>
      <w:bookmarkEnd w:id="1268"/>
      <w:bookmarkEnd w:id="1269"/>
      <w:bookmarkEnd w:id="1270"/>
    </w:p>
    <w:p>
      <w:pPr>
        <w:rPr>
          <w:rFonts w:ascii="宋体" w:hAnsi="宋体" w:cs="宋体"/>
          <w:color w:val="auto"/>
          <w:highlight w:val="none"/>
        </w:rPr>
      </w:pPr>
    </w:p>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自行下载</w:t>
      </w:r>
    </w:p>
    <w:p>
      <w:pPr>
        <w:pStyle w:val="3"/>
        <w:ind w:left="0" w:firstLine="0"/>
        <w:rPr>
          <w:rFonts w:ascii="宋体" w:hAnsi="宋体" w:eastAsia="宋体" w:cs="宋体"/>
          <w:b/>
          <w:color w:val="auto"/>
          <w:highlight w:val="none"/>
        </w:rPr>
      </w:pPr>
      <w:bookmarkStart w:id="1271" w:name="_Toc328410203"/>
      <w:bookmarkStart w:id="1272" w:name="_Toc328409755"/>
      <w:bookmarkStart w:id="1273" w:name="_Toc11166884"/>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jc w:val="both"/>
        <w:rPr>
          <w:rFonts w:ascii="宋体" w:hAnsi="宋体" w:eastAsia="宋体" w:cs="宋体"/>
          <w:b/>
          <w:color w:val="auto"/>
          <w:highlight w:val="none"/>
        </w:rPr>
      </w:pPr>
    </w:p>
    <w:p>
      <w:pPr>
        <w:pStyle w:val="3"/>
        <w:ind w:left="0" w:firstLine="0"/>
        <w:rPr>
          <w:rFonts w:ascii="宋体" w:hAnsi="宋体" w:eastAsia="宋体" w:cs="宋体"/>
          <w:b/>
          <w:color w:val="auto"/>
          <w:highlight w:val="none"/>
        </w:rPr>
        <w:sectPr>
          <w:footerReference r:id="rId11" w:type="default"/>
          <w:pgSz w:w="11906" w:h="16838"/>
          <w:pgMar w:top="851" w:right="1247" w:bottom="993" w:left="1247" w:header="851" w:footer="992" w:gutter="0"/>
          <w:pgNumType w:fmt="numberInDash"/>
          <w:cols w:space="720" w:num="1"/>
          <w:docGrid w:type="lines" w:linePitch="312" w:charSpace="0"/>
        </w:sectPr>
      </w:pPr>
    </w:p>
    <w:p>
      <w:pPr>
        <w:pStyle w:val="3"/>
        <w:ind w:left="0" w:firstLine="0"/>
        <w:rPr>
          <w:rFonts w:ascii="宋体" w:hAnsi="宋体" w:eastAsia="宋体" w:cs="宋体"/>
          <w:b/>
          <w:color w:val="auto"/>
          <w:highlight w:val="none"/>
        </w:rPr>
      </w:pPr>
      <w:bookmarkStart w:id="1274" w:name="_Toc3954"/>
      <w:bookmarkStart w:id="1275" w:name="_Toc1909"/>
      <w:r>
        <w:rPr>
          <w:rFonts w:hint="eastAsia" w:ascii="宋体" w:hAnsi="宋体" w:eastAsia="宋体" w:cs="宋体"/>
          <w:b/>
          <w:color w:val="auto"/>
          <w:highlight w:val="none"/>
        </w:rPr>
        <w:t>第六章   图纸</w:t>
      </w:r>
      <w:bookmarkEnd w:id="1271"/>
      <w:bookmarkEnd w:id="1272"/>
      <w:bookmarkEnd w:id="1273"/>
      <w:bookmarkEnd w:id="1274"/>
      <w:bookmarkEnd w:id="1275"/>
    </w:p>
    <w:p>
      <w:pPr>
        <w:jc w:val="center"/>
        <w:rPr>
          <w:rFonts w:hint="default" w:ascii="宋体" w:hAnsi="宋体" w:cs="宋体"/>
          <w:color w:val="auto"/>
          <w:highlight w:val="none"/>
          <w:lang w:val="en-US" w:eastAsia="zh-CN"/>
        </w:rPr>
      </w:pPr>
      <w:bookmarkStart w:id="1276" w:name="_Toc229299878"/>
      <w:bookmarkStart w:id="1277" w:name="_Toc327800144"/>
      <w:r>
        <w:rPr>
          <w:rFonts w:hint="eastAsia" w:ascii="宋体" w:hAnsi="宋体" w:cs="宋体"/>
          <w:color w:val="auto"/>
          <w:highlight w:val="none"/>
          <w:lang w:val="en-US" w:eastAsia="zh-CN"/>
        </w:rPr>
        <w:t>自行下载</w:t>
      </w:r>
    </w:p>
    <w:p>
      <w:pPr>
        <w:jc w:val="left"/>
        <w:rPr>
          <w:rFonts w:ascii="宋体" w:hAnsi="宋体" w:cs="宋体"/>
          <w:color w:val="auto"/>
          <w:highlight w:val="none"/>
        </w:rPr>
      </w:pPr>
    </w:p>
    <w:p>
      <w:pPr>
        <w:pStyle w:val="3"/>
        <w:ind w:left="0" w:firstLine="0"/>
        <w:rPr>
          <w:rFonts w:ascii="宋体" w:hAnsi="宋体" w:eastAsia="宋体" w:cs="宋体"/>
          <w:b/>
          <w:color w:val="auto"/>
          <w:highlight w:val="none"/>
        </w:rPr>
      </w:pPr>
      <w:bookmarkStart w:id="1278" w:name="_Toc328410204"/>
      <w:bookmarkStart w:id="1279" w:name="_Toc11166885"/>
      <w:bookmarkStart w:id="1280" w:name="_Toc328409756"/>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p>
    <w:p>
      <w:pPr>
        <w:pStyle w:val="3"/>
        <w:ind w:left="0" w:firstLine="0"/>
        <w:rPr>
          <w:rFonts w:ascii="宋体" w:hAnsi="宋体" w:eastAsia="宋体" w:cs="宋体"/>
          <w:b/>
          <w:color w:val="auto"/>
          <w:highlight w:val="none"/>
        </w:rPr>
      </w:pPr>
      <w:bookmarkStart w:id="1281" w:name="_Toc22089"/>
      <w:bookmarkStart w:id="1282" w:name="_Toc17063"/>
      <w:r>
        <w:rPr>
          <w:rFonts w:hint="eastAsia" w:ascii="宋体" w:hAnsi="宋体" w:eastAsia="宋体" w:cs="宋体"/>
          <w:b/>
          <w:color w:val="auto"/>
          <w:highlight w:val="none"/>
        </w:rPr>
        <w:t>第七章   技术标准和要求</w:t>
      </w:r>
      <w:bookmarkEnd w:id="1276"/>
      <w:bookmarkEnd w:id="1277"/>
      <w:bookmarkEnd w:id="1278"/>
      <w:bookmarkEnd w:id="1279"/>
      <w:bookmarkEnd w:id="1280"/>
      <w:bookmarkEnd w:id="1281"/>
      <w:bookmarkEnd w:id="1282"/>
    </w:p>
    <w:p>
      <w:pPr>
        <w:pStyle w:val="3"/>
        <w:ind w:left="0" w:firstLine="0"/>
        <w:rPr>
          <w:rFonts w:ascii="宋体" w:hAnsi="宋体" w:eastAsia="宋体" w:cs="宋体"/>
          <w:b/>
          <w:color w:val="auto"/>
          <w:highlight w:val="none"/>
        </w:rPr>
      </w:pPr>
      <w:r>
        <w:rPr>
          <w:rFonts w:hint="eastAsia" w:ascii="宋体" w:hAnsi="宋体" w:eastAsia="宋体" w:cs="宋体"/>
          <w:color w:val="auto"/>
          <w:sz w:val="24"/>
          <w:highlight w:val="none"/>
        </w:rPr>
        <w:br w:type="page"/>
      </w:r>
      <w:bookmarkStart w:id="1283" w:name="_Toc17447"/>
      <w:bookmarkStart w:id="1284" w:name="_Toc11166886"/>
      <w:r>
        <w:rPr>
          <w:rFonts w:hint="eastAsia" w:ascii="宋体" w:hAnsi="宋体" w:eastAsia="宋体" w:cs="宋体"/>
          <w:b/>
          <w:color w:val="auto"/>
          <w:highlight w:val="none"/>
        </w:rPr>
        <w:t>第八章 比选申请文件格式</w:t>
      </w:r>
      <w:bookmarkEnd w:id="1283"/>
      <w:bookmarkEnd w:id="1284"/>
    </w:p>
    <w:p>
      <w:pPr>
        <w:tabs>
          <w:tab w:val="left" w:pos="2580"/>
          <w:tab w:val="left" w:pos="5940"/>
        </w:tabs>
        <w:autoSpaceDE w:val="0"/>
        <w:autoSpaceDN w:val="0"/>
        <w:adjustRightInd w:val="0"/>
        <w:snapToGrid w:val="0"/>
        <w:spacing w:line="360" w:lineRule="auto"/>
        <w:jc w:val="left"/>
        <w:rPr>
          <w:rFonts w:ascii="宋体" w:hAnsi="宋体" w:cs="宋体"/>
          <w:color w:val="auto"/>
          <w:kern w:val="0"/>
          <w:sz w:val="28"/>
          <w:highlight w:val="none"/>
          <w:u w:val="single"/>
        </w:rPr>
      </w:pPr>
    </w:p>
    <w:p>
      <w:pPr>
        <w:tabs>
          <w:tab w:val="left" w:pos="2580"/>
          <w:tab w:val="left" w:pos="5940"/>
        </w:tabs>
        <w:autoSpaceDE w:val="0"/>
        <w:autoSpaceDN w:val="0"/>
        <w:adjustRightInd w:val="0"/>
        <w:snapToGrid w:val="0"/>
        <w:spacing w:line="360" w:lineRule="auto"/>
        <w:jc w:val="left"/>
        <w:rPr>
          <w:rFonts w:ascii="宋体" w:hAnsi="宋体" w:cs="宋体"/>
          <w:color w:val="auto"/>
          <w:kern w:val="0"/>
          <w:sz w:val="28"/>
          <w:highlight w:val="none"/>
          <w:u w:val="single"/>
        </w:rPr>
      </w:pPr>
    </w:p>
    <w:p>
      <w:pPr>
        <w:spacing w:line="360" w:lineRule="auto"/>
        <w:jc w:val="center"/>
        <w:rPr>
          <w:rFonts w:ascii="宋体" w:hAnsi="宋体" w:cs="宋体"/>
          <w:color w:val="auto"/>
          <w:sz w:val="36"/>
          <w:szCs w:val="36"/>
          <w:highlight w:val="none"/>
        </w:rPr>
      </w:pPr>
      <w:r>
        <w:rPr>
          <w:rFonts w:hint="eastAsia" w:ascii="宋体" w:hAnsi="宋体" w:cs="宋体"/>
          <w:b/>
          <w:color w:val="auto"/>
          <w:highlight w:val="none"/>
          <w:u w:val="single"/>
        </w:rPr>
        <w:br w:type="page"/>
      </w:r>
      <w:bookmarkStart w:id="1285" w:name="_Toc224103493"/>
      <w:r>
        <w:rPr>
          <w:rFonts w:hint="eastAsia" w:ascii="宋体" w:hAnsi="宋体" w:cs="宋体"/>
          <w:b/>
          <w:bCs/>
          <w:color w:val="auto"/>
          <w:sz w:val="36"/>
          <w:szCs w:val="36"/>
          <w:highlight w:val="none"/>
        </w:rPr>
        <w:t>目  录</w:t>
      </w:r>
      <w:bookmarkEnd w:id="1285"/>
    </w:p>
    <w:p>
      <w:pPr>
        <w:spacing w:line="360" w:lineRule="auto"/>
        <w:jc w:val="center"/>
        <w:rPr>
          <w:rFonts w:ascii="宋体" w:hAnsi="宋体" w:cs="宋体"/>
          <w:color w:val="auto"/>
          <w:highlight w:val="none"/>
        </w:rPr>
      </w:pPr>
    </w:p>
    <w:p>
      <w:pPr>
        <w:spacing w:line="360" w:lineRule="auto"/>
        <w:rPr>
          <w:rFonts w:ascii="宋体" w:hAnsi="宋体" w:cs="宋体"/>
          <w:b/>
          <w:color w:val="auto"/>
          <w:highlight w:val="none"/>
        </w:rPr>
      </w:pPr>
      <w:r>
        <w:rPr>
          <w:rFonts w:hint="eastAsia" w:ascii="宋体" w:hAnsi="宋体" w:cs="宋体"/>
          <w:b/>
          <w:color w:val="auto"/>
          <w:highlight w:val="none"/>
        </w:rPr>
        <w:t>一、比选函部分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（一）比选函</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（二）比选函附录</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（三）法定代表人身份证明或附有法定代表人身份证明的授权委托书</w:t>
      </w:r>
    </w:p>
    <w:p>
      <w:pPr>
        <w:spacing w:line="360" w:lineRule="auto"/>
        <w:rPr>
          <w:rFonts w:ascii="宋体" w:hAnsi="宋体" w:cs="宋体"/>
          <w:b/>
          <w:color w:val="auto"/>
          <w:highlight w:val="none"/>
        </w:rPr>
      </w:pPr>
      <w:r>
        <w:rPr>
          <w:rFonts w:hint="eastAsia" w:ascii="宋体" w:hAnsi="宋体" w:cs="宋体"/>
          <w:b/>
          <w:color w:val="auto"/>
          <w:highlight w:val="none"/>
        </w:rPr>
        <w:t>二、经济部分</w:t>
      </w:r>
    </w:p>
    <w:p>
      <w:pPr>
        <w:spacing w:line="360" w:lineRule="auto"/>
        <w:rPr>
          <w:rFonts w:ascii="宋体" w:hAnsi="宋体" w:cs="宋体"/>
          <w:b/>
          <w:color w:val="auto"/>
          <w:highlight w:val="none"/>
        </w:rPr>
      </w:pPr>
      <w:r>
        <w:rPr>
          <w:rFonts w:hint="eastAsia" w:ascii="宋体" w:hAnsi="宋体" w:cs="宋体"/>
          <w:b/>
          <w:color w:val="auto"/>
          <w:highlight w:val="none"/>
        </w:rPr>
        <w:t>三、资格审查部分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（一）法定代表人身份证明或附有法定代表人身份证明的授权委托书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（二）比选申请人基本情况表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（三）项目管理机构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（五）其他资料</w:t>
      </w:r>
    </w:p>
    <w:p>
      <w:pPr>
        <w:pStyle w:val="124"/>
        <w:rPr>
          <w:rFonts w:hint="default" w:eastAsia="宋体"/>
          <w:color w:val="auto"/>
          <w:highlight w:val="none"/>
          <w:lang w:val="en-US" w:eastAsia="zh-CN"/>
        </w:rPr>
      </w:pPr>
      <w:r>
        <w:rPr>
          <w:rFonts w:hint="eastAsia" w:hAnsi="宋体" w:cs="宋体"/>
          <w:color w:val="auto"/>
          <w:szCs w:val="21"/>
          <w:highlight w:val="none"/>
          <w:lang w:val="en-US" w:eastAsia="zh-CN"/>
        </w:rPr>
        <w:t>四、</w:t>
      </w:r>
      <w:r>
        <w:rPr>
          <w:rFonts w:hint="eastAsia" w:ascii="宋体" w:hAnsi="宋体" w:eastAsia="宋体" w:cs="宋体"/>
          <w:b/>
          <w:color w:val="auto"/>
          <w:kern w:val="2"/>
          <w:sz w:val="21"/>
          <w:szCs w:val="20"/>
          <w:highlight w:val="none"/>
          <w:lang w:val="en-US" w:eastAsia="zh-CN" w:bidi="ar-SA"/>
        </w:rPr>
        <w:t>技术部分</w:t>
      </w:r>
    </w:p>
    <w:p>
      <w:pPr>
        <w:autoSpaceDE w:val="0"/>
        <w:autoSpaceDN w:val="0"/>
        <w:adjustRightInd w:val="0"/>
        <w:spacing w:line="276" w:lineRule="auto"/>
        <w:ind w:right="-23"/>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bookmarkStart w:id="1286" w:name="_Toc277082642"/>
      <w:bookmarkStart w:id="1287" w:name="_Toc430530529"/>
      <w:bookmarkStart w:id="1288" w:name="_Toc224103494"/>
      <w:bookmarkStart w:id="1289" w:name="_Toc287607866"/>
      <w:bookmarkStart w:id="1290" w:name="_Toc287620813"/>
    </w:p>
    <w:p>
      <w:pPr>
        <w:pStyle w:val="4"/>
        <w:jc w:val="center"/>
        <w:rPr>
          <w:rFonts w:ascii="宋体" w:hAnsi="宋体" w:eastAsia="宋体" w:cs="宋体"/>
          <w:b w:val="0"/>
          <w:color w:val="auto"/>
          <w:sz w:val="44"/>
          <w:szCs w:val="44"/>
          <w:highlight w:val="none"/>
        </w:rPr>
      </w:pPr>
      <w:bookmarkStart w:id="1291" w:name="_Toc19476"/>
      <w:bookmarkStart w:id="1292" w:name="_Toc57905918"/>
      <w:bookmarkStart w:id="1293" w:name="_Toc24046"/>
      <w:bookmarkStart w:id="1294" w:name="_Toc31386"/>
      <w:r>
        <w:rPr>
          <w:rFonts w:hint="eastAsia" w:ascii="宋体" w:hAnsi="宋体" w:eastAsia="宋体" w:cs="宋体"/>
          <w:b w:val="0"/>
          <w:color w:val="auto"/>
          <w:sz w:val="44"/>
          <w:szCs w:val="44"/>
          <w:highlight w:val="none"/>
        </w:rPr>
        <w:t>一、比选函部分</w:t>
      </w:r>
      <w:bookmarkEnd w:id="1286"/>
      <w:bookmarkEnd w:id="1287"/>
      <w:bookmarkEnd w:id="1288"/>
      <w:bookmarkEnd w:id="1289"/>
      <w:bookmarkEnd w:id="1290"/>
      <w:bookmarkEnd w:id="1291"/>
      <w:bookmarkEnd w:id="1292"/>
      <w:bookmarkEnd w:id="1293"/>
      <w:bookmarkEnd w:id="1294"/>
    </w:p>
    <w:p>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u w:val="single"/>
        </w:rPr>
        <w:br w:type="page"/>
      </w:r>
    </w:p>
    <w:p>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比 选 申 请 文 件</w:t>
      </w:r>
    </w:p>
    <w:p>
      <w:pPr>
        <w:autoSpaceDE w:val="0"/>
        <w:autoSpaceDN w:val="0"/>
        <w:adjustRightInd w:val="0"/>
        <w:snapToGrid w:val="0"/>
        <w:spacing w:line="360" w:lineRule="auto"/>
        <w:jc w:val="left"/>
        <w:rPr>
          <w:rFonts w:ascii="宋体" w:hAnsi="宋体" w:cs="宋体"/>
          <w:color w:val="auto"/>
          <w:kern w:val="0"/>
          <w:sz w:val="16"/>
          <w:szCs w:val="16"/>
          <w:highlight w:val="none"/>
        </w:rPr>
      </w:pPr>
    </w:p>
    <w:p>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比选函部分</w:t>
      </w: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tabs>
          <w:tab w:val="left" w:pos="6080"/>
          <w:tab w:val="left" w:pos="6640"/>
        </w:tabs>
        <w:autoSpaceDE w:val="0"/>
        <w:autoSpaceDN w:val="0"/>
        <w:adjustRightInd w:val="0"/>
        <w:snapToGrid w:val="0"/>
        <w:spacing w:afterLines="50" w:line="360" w:lineRule="auto"/>
        <w:jc w:val="center"/>
        <w:rPr>
          <w:rFonts w:ascii="宋体" w:hAnsi="宋体" w:cs="宋体"/>
          <w:color w:val="auto"/>
          <w:w w:val="99"/>
          <w:kern w:val="0"/>
          <w:sz w:val="28"/>
          <w:szCs w:val="28"/>
          <w:highlight w:val="none"/>
        </w:rPr>
      </w:pPr>
      <w:r>
        <w:rPr>
          <w:rFonts w:hint="eastAsia" w:ascii="宋体" w:hAnsi="宋体" w:cs="宋体"/>
          <w:color w:val="auto"/>
          <w:spacing w:val="1"/>
          <w:w w:val="99"/>
          <w:kern w:val="0"/>
          <w:sz w:val="28"/>
          <w:szCs w:val="28"/>
          <w:highlight w:val="none"/>
        </w:rPr>
        <w:t xml:space="preserve">   比选申请人：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（签字或盖章）</w:t>
      </w:r>
    </w:p>
    <w:p>
      <w:pPr>
        <w:autoSpaceDE w:val="0"/>
        <w:autoSpaceDN w:val="0"/>
        <w:adjustRightInd w:val="0"/>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日</w:t>
      </w:r>
      <w:r>
        <w:rPr>
          <w:rFonts w:hint="eastAsia" w:ascii="宋体" w:hAnsi="宋体" w:cs="宋体"/>
          <w:color w:val="auto"/>
          <w:kern w:val="0"/>
          <w:sz w:val="24"/>
          <w:szCs w:val="21"/>
          <w:highlight w:val="none"/>
        </w:rPr>
        <w:br w:type="page"/>
      </w:r>
    </w:p>
    <w:p>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pPr>
        <w:autoSpaceDE w:val="0"/>
        <w:autoSpaceDN w:val="0"/>
        <w:adjustRightInd w:val="0"/>
        <w:snapToGrid w:val="0"/>
        <w:spacing w:line="360" w:lineRule="auto"/>
        <w:jc w:val="left"/>
        <w:rPr>
          <w:rFonts w:ascii="宋体" w:hAnsi="宋体" w:cs="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（一）比选函</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（二）比选函附录</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（三）法定代表人身份证明或附有法定代表人身份证明的授权委托书</w:t>
      </w:r>
    </w:p>
    <w:p>
      <w:pPr>
        <w:autoSpaceDE w:val="0"/>
        <w:autoSpaceDN w:val="0"/>
        <w:adjustRightInd w:val="0"/>
        <w:snapToGrid w:val="0"/>
        <w:spacing w:line="360" w:lineRule="auto"/>
        <w:jc w:val="left"/>
        <w:rPr>
          <w:rFonts w:ascii="宋体" w:hAnsi="宋体" w:cs="宋体"/>
          <w:color w:val="auto"/>
          <w:w w:val="99"/>
          <w:kern w:val="0"/>
          <w:sz w:val="28"/>
          <w:szCs w:val="28"/>
          <w:highlight w:val="none"/>
        </w:rPr>
      </w:pPr>
      <w:r>
        <w:rPr>
          <w:rFonts w:hint="eastAsia" w:ascii="宋体" w:hAnsi="宋体" w:cs="宋体"/>
          <w:color w:val="auto"/>
          <w:kern w:val="0"/>
          <w:sz w:val="24"/>
          <w:highlight w:val="none"/>
        </w:rPr>
        <w:t xml:space="preserve"> </w:t>
      </w:r>
    </w:p>
    <w:p>
      <w:pPr>
        <w:pStyle w:val="5"/>
        <w:numPr>
          <w:ilvl w:val="0"/>
          <w:numId w:val="18"/>
        </w:numPr>
        <w:jc w:val="center"/>
        <w:rPr>
          <w:rFonts w:ascii="宋体" w:hAnsi="宋体" w:eastAsia="宋体" w:cs="宋体"/>
          <w:b w:val="0"/>
          <w:color w:val="auto"/>
          <w:kern w:val="2"/>
          <w:sz w:val="21"/>
          <w:highlight w:val="none"/>
        </w:rPr>
      </w:pPr>
      <w:bookmarkStart w:id="1295" w:name="_Toc509218854"/>
      <w:bookmarkStart w:id="1296" w:name="_Toc430530530"/>
      <w:bookmarkStart w:id="1297" w:name="_Toc287607867"/>
      <w:bookmarkStart w:id="1298" w:name="_Toc534185831"/>
      <w:bookmarkStart w:id="1299" w:name="_Toc277082643"/>
      <w:bookmarkStart w:id="1300" w:name="_Toc224103495"/>
      <w:bookmarkStart w:id="1301" w:name="_Toc287620814"/>
      <w:r>
        <w:rPr>
          <w:rFonts w:hint="eastAsia" w:ascii="宋体" w:hAnsi="宋体" w:eastAsia="宋体" w:cs="宋体"/>
          <w:color w:val="auto"/>
          <w:highlight w:val="none"/>
        </w:rPr>
        <w:br w:type="page"/>
      </w:r>
      <w:bookmarkEnd w:id="1295"/>
      <w:bookmarkEnd w:id="1296"/>
      <w:bookmarkEnd w:id="1297"/>
      <w:bookmarkEnd w:id="1298"/>
      <w:bookmarkEnd w:id="1299"/>
      <w:bookmarkEnd w:id="1300"/>
      <w:bookmarkEnd w:id="1301"/>
      <w:r>
        <w:rPr>
          <w:rFonts w:hint="eastAsia" w:ascii="宋体" w:hAnsi="宋体" w:eastAsia="宋体" w:cs="宋体"/>
          <w:b w:val="0"/>
          <w:color w:val="auto"/>
          <w:kern w:val="2"/>
          <w:sz w:val="28"/>
          <w:highlight w:val="none"/>
        </w:rPr>
        <w:t>比选函</w:t>
      </w:r>
    </w:p>
    <w:p>
      <w:pPr>
        <w:rPr>
          <w:rFonts w:ascii="宋体" w:hAnsi="宋体" w:cs="宋体"/>
          <w:color w:val="auto"/>
          <w:highlight w:val="none"/>
        </w:rPr>
      </w:pPr>
    </w:p>
    <w:p>
      <w:pPr>
        <w:tabs>
          <w:tab w:val="left" w:pos="2640"/>
        </w:tabs>
        <w:autoSpaceDE w:val="0"/>
        <w:autoSpaceDN w:val="0"/>
        <w:adjustRightInd w:val="0"/>
        <w:spacing w:line="44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（比选人名称）</w:t>
      </w:r>
      <w:r>
        <w:rPr>
          <w:rFonts w:hint="eastAsia" w:ascii="宋体" w:hAnsi="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4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 我方已仔细研究了</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（项目名称）</w:t>
      </w:r>
      <w:r>
        <w:rPr>
          <w:rFonts w:hint="eastAsia" w:ascii="宋体" w:hAnsi="宋体" w:cs="宋体"/>
          <w:snapToGrid w:val="0"/>
          <w:color w:val="auto"/>
          <w:kern w:val="0"/>
          <w:szCs w:val="21"/>
          <w:highlight w:val="none"/>
        </w:rPr>
        <w:t>比选文件的全部内容，愿意以人民币（大写）</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元（¥</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）的比选总报价进行报价，其中安全文明施工费暂定金额为人民</w:t>
      </w:r>
      <w:r>
        <w:rPr>
          <w:rFonts w:hint="eastAsia" w:ascii="宋体" w:hAnsi="宋体" w:cs="宋体"/>
          <w:snapToGrid w:val="0"/>
          <w:color w:val="auto"/>
          <w:kern w:val="0"/>
          <w:highlight w:val="none"/>
        </w:rPr>
        <w:t>币</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元，该工程</w:t>
      </w:r>
      <w:r>
        <w:rPr>
          <w:rFonts w:hint="eastAsia" w:ascii="宋体" w:hAnsi="宋体" w:cs="宋体"/>
          <w:snapToGrid w:val="0"/>
          <w:color w:val="auto"/>
          <w:kern w:val="0"/>
          <w:highlight w:val="none"/>
        </w:rPr>
        <w:t>项目经理为</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szCs w:val="21"/>
          <w:highlight w:val="none"/>
        </w:rPr>
        <w:t>，身份证号码为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。工期</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按合同约定实施和完成承包工程，修补工程中的任何缺陷，工程质量达到</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w:t>
      </w:r>
    </w:p>
    <w:p>
      <w:pPr>
        <w:autoSpaceDE w:val="0"/>
        <w:autoSpaceDN w:val="0"/>
        <w:adjustRightInd w:val="0"/>
        <w:spacing w:line="440" w:lineRule="exact"/>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2. 我方承诺在比选有效期内不修改、撤销比选申请文件。</w:t>
      </w:r>
    </w:p>
    <w:p>
      <w:pPr>
        <w:tabs>
          <w:tab w:val="left" w:pos="2730"/>
          <w:tab w:val="left" w:pos="7980"/>
        </w:tabs>
        <w:autoSpaceDE w:val="0"/>
        <w:autoSpaceDN w:val="0"/>
        <w:adjustRightInd w:val="0"/>
        <w:spacing w:line="440" w:lineRule="exact"/>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3. 随同本比选函提交比选保证金一份，金额为人民币（大写）</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）。比选保证金有效期与比选有效期一致，在此期间，若我方违反招投标有关法律、法规及本比选文件的相关规定，比选保证金的受益人为比选人。</w:t>
      </w:r>
    </w:p>
    <w:p>
      <w:pPr>
        <w:autoSpaceDE w:val="0"/>
        <w:autoSpaceDN w:val="0"/>
        <w:adjustRightInd w:val="0"/>
        <w:spacing w:line="44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 如我方中选：</w:t>
      </w:r>
    </w:p>
    <w:p>
      <w:pPr>
        <w:autoSpaceDE w:val="0"/>
        <w:autoSpaceDN w:val="0"/>
        <w:adjustRightInd w:val="0"/>
        <w:spacing w:line="440" w:lineRule="exact"/>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（1）我方承诺在收到中选通知书后，在中选通知书规定的期限内与你方签订合同。</w:t>
      </w:r>
    </w:p>
    <w:p>
      <w:pPr>
        <w:autoSpaceDE w:val="0"/>
        <w:autoSpaceDN w:val="0"/>
        <w:adjustRightInd w:val="0"/>
        <w:spacing w:line="440" w:lineRule="exact"/>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（2）随同本比选函递交的比选函附录属于合同文件的组成部分。</w:t>
      </w:r>
    </w:p>
    <w:p>
      <w:pPr>
        <w:autoSpaceDE w:val="0"/>
        <w:autoSpaceDN w:val="0"/>
        <w:adjustRightInd w:val="0"/>
        <w:spacing w:line="440" w:lineRule="exact"/>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（3）我方承诺按照比选文件规定向你方递交履约担保。</w:t>
      </w:r>
    </w:p>
    <w:p>
      <w:pPr>
        <w:autoSpaceDE w:val="0"/>
        <w:autoSpaceDN w:val="0"/>
        <w:adjustRightInd w:val="0"/>
        <w:spacing w:line="440" w:lineRule="exact"/>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（4）我方承诺在合同约定的期限内完成并移交全部合同工程。</w:t>
      </w:r>
    </w:p>
    <w:p>
      <w:pPr>
        <w:autoSpaceDE w:val="0"/>
        <w:autoSpaceDN w:val="0"/>
        <w:adjustRightInd w:val="0"/>
        <w:spacing w:line="44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 我方</w:t>
      </w:r>
      <w:r>
        <w:rPr>
          <w:rFonts w:hint="eastAsia" w:ascii="宋体" w:hAnsi="宋体" w:cs="宋体"/>
          <w:snapToGrid w:val="0"/>
          <w:color w:val="auto"/>
          <w:spacing w:val="-2"/>
          <w:kern w:val="0"/>
          <w:szCs w:val="21"/>
          <w:highlight w:val="none"/>
        </w:rPr>
        <w:t>在此声明，所递交的比选申请文件及有关资料内容完整、真实和准确，且不存在第二章“比选申请人</w:t>
      </w:r>
      <w:r>
        <w:rPr>
          <w:rFonts w:hint="eastAsia" w:ascii="宋体" w:hAnsi="宋体" w:cs="宋体"/>
          <w:snapToGrid w:val="0"/>
          <w:color w:val="auto"/>
          <w:kern w:val="0"/>
          <w:szCs w:val="21"/>
          <w:highlight w:val="none"/>
        </w:rPr>
        <w:t>须知”第 1.4.3 项规定的任何一种情形。同时我方承诺接受比选文件及附件、澄清及修改通知中所有的内容。</w:t>
      </w:r>
    </w:p>
    <w:p>
      <w:pPr>
        <w:tabs>
          <w:tab w:val="left" w:pos="5985"/>
        </w:tabs>
        <w:autoSpaceDE w:val="0"/>
        <w:autoSpaceDN w:val="0"/>
        <w:adjustRightInd w:val="0"/>
        <w:spacing w:line="44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6. </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（其他补充说明）</w:t>
      </w:r>
      <w:r>
        <w:rPr>
          <w:rFonts w:hint="eastAsia" w:ascii="宋体" w:hAnsi="宋体" w:cs="宋体"/>
          <w:snapToGrid w:val="0"/>
          <w:color w:val="auto"/>
          <w:kern w:val="0"/>
          <w:szCs w:val="21"/>
          <w:highlight w:val="none"/>
        </w:rPr>
        <w:t>。</w:t>
      </w:r>
    </w:p>
    <w:p>
      <w:pPr>
        <w:pStyle w:val="23"/>
        <w:rPr>
          <w:rFonts w:ascii="宋体" w:hAnsi="宋体" w:cs="宋体"/>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比选申请人：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w:t>
      </w:r>
      <w:r>
        <w:rPr>
          <w:rFonts w:hint="eastAsia" w:ascii="宋体" w:hAnsi="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 xml:space="preserve"> </w:t>
      </w:r>
    </w:p>
    <w:p>
      <w:pPr>
        <w:tabs>
          <w:tab w:val="left" w:pos="8300"/>
        </w:tabs>
        <w:autoSpaceDE w:val="0"/>
        <w:autoSpaceDN w:val="0"/>
        <w:adjustRightInd w:val="0"/>
        <w:spacing w:line="400" w:lineRule="exact"/>
        <w:ind w:firstLine="400" w:firstLineChars="200"/>
        <w:rPr>
          <w:rFonts w:ascii="宋体" w:hAnsi="宋体" w:cs="宋体"/>
          <w:snapToGrid w:val="0"/>
          <w:color w:val="auto"/>
          <w:kern w:val="0"/>
          <w:sz w:val="20"/>
          <w:highlight w:val="none"/>
        </w:rPr>
      </w:pPr>
    </w:p>
    <w:p>
      <w:pPr>
        <w:tabs>
          <w:tab w:val="left" w:pos="8300"/>
        </w:tabs>
        <w:autoSpaceDE w:val="0"/>
        <w:autoSpaceDN w:val="0"/>
        <w:adjustRightInd w:val="0"/>
        <w:spacing w:line="400" w:lineRule="exact"/>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cs="宋体"/>
          <w:color w:val="auto"/>
          <w:kern w:val="0"/>
          <w:szCs w:val="21"/>
          <w:highlight w:val="none"/>
        </w:rPr>
      </w:pPr>
    </w:p>
    <w:p>
      <w:pPr>
        <w:tabs>
          <w:tab w:val="left" w:pos="8300"/>
        </w:tabs>
        <w:wordWrap w:val="0"/>
        <w:autoSpaceDE w:val="0"/>
        <w:autoSpaceDN w:val="0"/>
        <w:adjustRightInd w:val="0"/>
        <w:spacing w:line="400" w:lineRule="exact"/>
        <w:ind w:firstLine="420" w:firstLineChars="200"/>
        <w:jc w:val="right"/>
        <w:rPr>
          <w:rFonts w:ascii="宋体" w:hAnsi="宋体" w:cs="宋体"/>
          <w:snapToGrid w:val="0"/>
          <w:color w:val="auto"/>
          <w:kern w:val="0"/>
          <w:sz w:val="20"/>
          <w:highlight w:val="none"/>
        </w:rPr>
      </w:pPr>
      <w:r>
        <w:rPr>
          <w:rFonts w:hint="eastAsia" w:ascii="宋体" w:hAnsi="宋体" w:cs="宋体"/>
          <w:snapToGrid w:val="0"/>
          <w:color w:val="auto"/>
          <w:kern w:val="0"/>
          <w:szCs w:val="21"/>
          <w:highlight w:val="none"/>
        </w:rPr>
        <w:t xml:space="preserve"> </w:t>
      </w:r>
    </w:p>
    <w:p>
      <w:pPr>
        <w:pStyle w:val="5"/>
        <w:numPr>
          <w:ilvl w:val="0"/>
          <w:numId w:val="19"/>
        </w:numPr>
        <w:jc w:val="center"/>
        <w:rPr>
          <w:rFonts w:ascii="宋体" w:hAnsi="宋体" w:eastAsia="宋体" w:cs="宋体"/>
          <w:color w:val="auto"/>
          <w:highlight w:val="none"/>
        </w:rPr>
      </w:pPr>
      <w:bookmarkStart w:id="1302" w:name="_Toc287607868"/>
      <w:bookmarkStart w:id="1303" w:name="_Toc277082644"/>
      <w:bookmarkStart w:id="1304" w:name="_Toc287620815"/>
      <w:bookmarkStart w:id="1305" w:name="_Toc430530531"/>
      <w:bookmarkStart w:id="1306" w:name="_Toc224103496"/>
      <w:r>
        <w:rPr>
          <w:rFonts w:hint="eastAsia" w:ascii="宋体" w:hAnsi="宋体" w:eastAsia="宋体" w:cs="宋体"/>
          <w:color w:val="auto"/>
          <w:sz w:val="28"/>
          <w:highlight w:val="none"/>
        </w:rPr>
        <w:br w:type="page"/>
      </w:r>
      <w:bookmarkStart w:id="1307" w:name="_Toc509218855"/>
      <w:bookmarkStart w:id="1308" w:name="_Toc30967"/>
      <w:bookmarkStart w:id="1309" w:name="_Toc57905920"/>
      <w:bookmarkStart w:id="1310" w:name="_Toc534185832"/>
      <w:r>
        <w:rPr>
          <w:rFonts w:hint="eastAsia" w:ascii="宋体" w:hAnsi="宋体" w:eastAsia="宋体" w:cs="宋体"/>
          <w:b w:val="0"/>
          <w:color w:val="auto"/>
          <w:kern w:val="2"/>
          <w:sz w:val="28"/>
          <w:highlight w:val="none"/>
        </w:rPr>
        <w:t>比选函附录</w:t>
      </w:r>
      <w:bookmarkEnd w:id="1302"/>
      <w:bookmarkEnd w:id="1303"/>
      <w:bookmarkEnd w:id="1304"/>
      <w:bookmarkEnd w:id="1305"/>
      <w:bookmarkEnd w:id="1306"/>
      <w:bookmarkEnd w:id="1307"/>
      <w:bookmarkEnd w:id="1308"/>
      <w:bookmarkEnd w:id="1309"/>
      <w:bookmarkEnd w:id="1310"/>
    </w:p>
    <w:p>
      <w:pPr>
        <w:rPr>
          <w:rFonts w:ascii="宋体" w:hAnsi="宋体" w:cs="宋体"/>
          <w:color w:val="auto"/>
          <w:highlight w:val="none"/>
        </w:rPr>
      </w:pPr>
    </w:p>
    <w:tbl>
      <w:tblPr>
        <w:tblStyle w:val="6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2582"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条款名称</w:t>
            </w:r>
          </w:p>
        </w:tc>
        <w:tc>
          <w:tcPr>
            <w:tcW w:w="2388"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合同条款号</w:t>
            </w:r>
          </w:p>
        </w:tc>
        <w:tc>
          <w:tcPr>
            <w:tcW w:w="2987"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约定内容</w:t>
            </w:r>
          </w:p>
        </w:tc>
        <w:tc>
          <w:tcPr>
            <w:tcW w:w="792"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2582"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项目经理</w:t>
            </w:r>
          </w:p>
        </w:tc>
        <w:tc>
          <w:tcPr>
            <w:tcW w:w="2388"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w:t>
            </w:r>
          </w:p>
        </w:tc>
        <w:tc>
          <w:tcPr>
            <w:tcW w:w="2987" w:type="dxa"/>
            <w:vAlign w:val="center"/>
          </w:tcPr>
          <w:p>
            <w:pPr>
              <w:tabs>
                <w:tab w:val="left" w:pos="2190"/>
              </w:tabs>
              <w:autoSpaceDE w:val="0"/>
              <w:autoSpaceDN w:val="0"/>
              <w:adjustRightInd w:val="0"/>
              <w:ind w:firstLine="630" w:firstLineChars="30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姓名：</w:t>
            </w:r>
            <w:r>
              <w:rPr>
                <w:rFonts w:hint="eastAsia" w:ascii="宋体" w:hAnsi="宋体" w:cs="宋体"/>
                <w:snapToGrid w:val="0"/>
                <w:color w:val="auto"/>
                <w:kern w:val="0"/>
                <w:szCs w:val="21"/>
                <w:highlight w:val="none"/>
                <w:u w:val="single"/>
              </w:rPr>
              <w:t xml:space="preserve">        </w:t>
            </w:r>
          </w:p>
        </w:tc>
        <w:tc>
          <w:tcPr>
            <w:tcW w:w="792" w:type="dxa"/>
            <w:vAlign w:val="center"/>
          </w:tcPr>
          <w:p>
            <w:pPr>
              <w:autoSpaceDE w:val="0"/>
              <w:autoSpaceDN w:val="0"/>
              <w:adjustRightInd w:val="0"/>
              <w:jc w:val="center"/>
              <w:rPr>
                <w:rFonts w:ascii="宋体" w:hAnsi="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2582"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工期</w:t>
            </w:r>
          </w:p>
        </w:tc>
        <w:tc>
          <w:tcPr>
            <w:tcW w:w="2388" w:type="dxa"/>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w:t>
            </w:r>
          </w:p>
        </w:tc>
        <w:tc>
          <w:tcPr>
            <w:tcW w:w="2987" w:type="dxa"/>
            <w:vAlign w:val="center"/>
          </w:tcPr>
          <w:p>
            <w:pPr>
              <w:tabs>
                <w:tab w:val="left" w:pos="1560"/>
              </w:tabs>
              <w:autoSpaceDE w:val="0"/>
              <w:autoSpaceDN w:val="0"/>
              <w:adjustRightInd w:val="0"/>
              <w:ind w:firstLine="630" w:firstLineChars="3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天数：</w:t>
            </w:r>
            <w:r>
              <w:rPr>
                <w:rFonts w:hint="eastAsia" w:ascii="宋体" w:hAnsi="宋体" w:cs="宋体"/>
                <w:snapToGrid w:val="0"/>
                <w:color w:val="auto"/>
                <w:kern w:val="0"/>
                <w:szCs w:val="21"/>
                <w:highlight w:val="none"/>
                <w:u w:val="single"/>
              </w:rPr>
              <w:t xml:space="preserve">        </w:t>
            </w:r>
          </w:p>
        </w:tc>
        <w:tc>
          <w:tcPr>
            <w:tcW w:w="792" w:type="dxa"/>
            <w:vAlign w:val="center"/>
          </w:tcPr>
          <w:p>
            <w:pPr>
              <w:autoSpaceDE w:val="0"/>
              <w:autoSpaceDN w:val="0"/>
              <w:adjustRightInd w:val="0"/>
              <w:jc w:val="center"/>
              <w:rPr>
                <w:rFonts w:ascii="宋体" w:hAnsi="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2582"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c>
          <w:tcPr>
            <w:tcW w:w="2987" w:type="dxa"/>
            <w:vAlign w:val="center"/>
          </w:tcPr>
          <w:p>
            <w:pPr>
              <w:autoSpaceDE w:val="0"/>
              <w:autoSpaceDN w:val="0"/>
              <w:adjustRightIn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cs="宋体"/>
                <w:snapToGrid w:val="0"/>
                <w:color w:val="auto"/>
                <w:kern w:val="0"/>
                <w:szCs w:val="21"/>
                <w:highlight w:val="none"/>
              </w:rPr>
            </w:pPr>
          </w:p>
        </w:tc>
      </w:tr>
    </w:tbl>
    <w:p>
      <w:pPr>
        <w:spacing w:line="360" w:lineRule="auto"/>
        <w:rPr>
          <w:rFonts w:ascii="宋体" w:hAnsi="宋体" w:cs="宋体"/>
          <w:snapToGrid w:val="0"/>
          <w:color w:val="auto"/>
          <w:w w:val="99"/>
          <w:highlight w:val="none"/>
        </w:rPr>
      </w:pPr>
    </w:p>
    <w:p>
      <w:pPr>
        <w:spacing w:line="360" w:lineRule="auto"/>
        <w:rPr>
          <w:rFonts w:ascii="宋体" w:hAnsi="宋体" w:cs="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比选申请人：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（签字或盖章）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color w:val="auto"/>
          <w:kern w:val="0"/>
          <w:szCs w:val="21"/>
          <w:highlight w:val="none"/>
        </w:rPr>
      </w:pPr>
    </w:p>
    <w:p>
      <w:pPr>
        <w:pStyle w:val="5"/>
        <w:jc w:val="center"/>
        <w:rPr>
          <w:rFonts w:ascii="宋体" w:hAnsi="宋体" w:eastAsia="宋体" w:cs="宋体"/>
          <w:b w:val="0"/>
          <w:snapToGrid w:val="0"/>
          <w:color w:val="auto"/>
          <w:sz w:val="30"/>
          <w:szCs w:val="30"/>
          <w:highlight w:val="none"/>
        </w:rPr>
      </w:pPr>
      <w:r>
        <w:rPr>
          <w:rFonts w:hint="eastAsia" w:ascii="宋体" w:hAnsi="宋体" w:eastAsia="宋体" w:cs="宋体"/>
          <w:snapToGrid w:val="0"/>
          <w:color w:val="auto"/>
          <w:highlight w:val="none"/>
        </w:rPr>
        <w:br w:type="page"/>
      </w:r>
      <w:bookmarkStart w:id="1311" w:name="_Toc57905921"/>
      <w:bookmarkStart w:id="1312" w:name="_Toc287620816"/>
      <w:bookmarkStart w:id="1313" w:name="_Toc224103497"/>
      <w:bookmarkStart w:id="1314" w:name="_Toc430530532"/>
      <w:bookmarkStart w:id="1315" w:name="_Toc8650"/>
      <w:bookmarkStart w:id="1316" w:name="_Toc287607869"/>
      <w:bookmarkStart w:id="1317" w:name="_Toc277082645"/>
      <w:r>
        <w:rPr>
          <w:rFonts w:hint="eastAsia" w:ascii="宋体" w:hAnsi="宋体" w:eastAsia="宋体" w:cs="宋体"/>
          <w:color w:val="auto"/>
          <w:sz w:val="30"/>
          <w:szCs w:val="30"/>
          <w:highlight w:val="none"/>
        </w:rPr>
        <w:t>（三）法定代表人身份证明或附有法定代表人身份证明的授权委托书</w:t>
      </w:r>
      <w:bookmarkEnd w:id="1311"/>
      <w:bookmarkEnd w:id="1312"/>
      <w:bookmarkEnd w:id="1313"/>
      <w:bookmarkEnd w:id="1314"/>
      <w:bookmarkEnd w:id="1315"/>
      <w:bookmarkEnd w:id="1316"/>
      <w:bookmarkEnd w:id="1317"/>
    </w:p>
    <w:p>
      <w:pPr>
        <w:spacing w:line="480" w:lineRule="auto"/>
        <w:jc w:val="center"/>
        <w:rPr>
          <w:rFonts w:ascii="宋体" w:hAnsi="宋体" w:cs="宋体"/>
          <w:color w:val="auto"/>
          <w:sz w:val="28"/>
          <w:highlight w:val="none"/>
        </w:rPr>
      </w:pPr>
      <w:r>
        <w:rPr>
          <w:rFonts w:hint="eastAsia" w:ascii="宋体" w:hAnsi="宋体" w:cs="宋体"/>
          <w:color w:val="auto"/>
          <w:sz w:val="28"/>
          <w:highlight w:val="none"/>
        </w:rPr>
        <w:t>法定代表人身份证明</w:t>
      </w:r>
    </w:p>
    <w:p>
      <w:pPr>
        <w:spacing w:line="480" w:lineRule="auto"/>
        <w:jc w:val="center"/>
        <w:rPr>
          <w:rFonts w:ascii="宋体" w:hAnsi="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比选申请人名称：</w:t>
      </w:r>
      <w:r>
        <w:rPr>
          <w:rFonts w:hint="eastAsia" w:ascii="宋体" w:hAnsi="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（比选申请人名称）</w:t>
      </w:r>
      <w:r>
        <w:rPr>
          <w:rFonts w:hint="eastAsia" w:ascii="宋体" w:hAnsi="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附：法定代表人身份证明复印件（双面）</w:t>
      </w: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盖单位法人章）</w:t>
      </w:r>
    </w:p>
    <w:p>
      <w:pPr>
        <w:autoSpaceDE w:val="0"/>
        <w:autoSpaceDN w:val="0"/>
        <w:adjustRightInd w:val="0"/>
        <w:snapToGrid w:val="0"/>
        <w:spacing w:line="480" w:lineRule="auto"/>
        <w:jc w:val="left"/>
        <w:rPr>
          <w:rFonts w:ascii="宋体" w:hAnsi="宋体" w:cs="宋体"/>
          <w:color w:val="auto"/>
          <w:kern w:val="0"/>
          <w:sz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日  </w:t>
      </w:r>
    </w:p>
    <w:p>
      <w:pPr>
        <w:autoSpaceDE w:val="0"/>
        <w:autoSpaceDN w:val="0"/>
        <w:adjustRightInd w:val="0"/>
        <w:snapToGrid w:val="0"/>
        <w:spacing w:line="360" w:lineRule="auto"/>
        <w:jc w:val="left"/>
        <w:rPr>
          <w:rFonts w:ascii="宋体" w:hAnsi="宋体" w:cs="宋体"/>
          <w:color w:val="auto"/>
          <w:kern w:val="0"/>
          <w:highlight w:val="none"/>
        </w:rPr>
      </w:pPr>
    </w:p>
    <w:p>
      <w:pPr>
        <w:autoSpaceDE w:val="0"/>
        <w:autoSpaceDN w:val="0"/>
        <w:adjustRightInd w:val="0"/>
        <w:snapToGrid w:val="0"/>
        <w:spacing w:line="360" w:lineRule="auto"/>
        <w:jc w:val="left"/>
        <w:rPr>
          <w:rFonts w:ascii="宋体" w:hAnsi="宋体" w:cs="宋体"/>
          <w:color w:val="auto"/>
          <w:kern w:val="0"/>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color w:val="auto"/>
          <w:sz w:val="28"/>
          <w:highlight w:val="none"/>
        </w:rPr>
      </w:pPr>
      <w:r>
        <w:rPr>
          <w:rFonts w:hint="eastAsia" w:ascii="宋体" w:hAnsi="宋体" w:cs="宋体"/>
          <w:b/>
          <w:color w:val="auto"/>
          <w:kern w:val="0"/>
          <w:sz w:val="28"/>
          <w:szCs w:val="28"/>
          <w:highlight w:val="none"/>
        </w:rPr>
        <w:br w:type="page"/>
      </w:r>
      <w:r>
        <w:rPr>
          <w:rFonts w:hint="eastAsia" w:ascii="宋体" w:hAnsi="宋体" w:cs="宋体"/>
          <w:color w:val="auto"/>
          <w:sz w:val="28"/>
          <w:highlight w:val="none"/>
        </w:rPr>
        <w:t>授权委托书</w:t>
      </w:r>
    </w:p>
    <w:p>
      <w:pPr>
        <w:pStyle w:val="23"/>
        <w:rPr>
          <w:rFonts w:ascii="宋体" w:hAnsi="宋体" w:cs="宋体"/>
          <w:color w:val="auto"/>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（姓名）</w:t>
      </w:r>
      <w:r>
        <w:rPr>
          <w:rFonts w:hint="eastAsia" w:ascii="宋体" w:hAnsi="宋体" w:cs="宋体"/>
          <w:color w:val="auto"/>
          <w:kern w:val="0"/>
          <w:szCs w:val="21"/>
          <w:highlight w:val="none"/>
        </w:rPr>
        <w:t>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w:t>
      </w:r>
      <w:r>
        <w:rPr>
          <w:rFonts w:hint="eastAsia" w:ascii="宋体" w:hAnsi="宋体" w:cs="宋体"/>
          <w:color w:val="auto"/>
          <w:spacing w:val="-1"/>
          <w:kern w:val="0"/>
          <w:szCs w:val="21"/>
          <w:highlight w:val="none"/>
          <w:u w:val="single"/>
        </w:rPr>
        <w:t>比选申请人</w:t>
      </w:r>
      <w:r>
        <w:rPr>
          <w:rFonts w:hint="eastAsia" w:ascii="宋体" w:hAnsi="宋体" w:cs="宋体"/>
          <w:color w:val="auto"/>
          <w:kern w:val="0"/>
          <w:szCs w:val="21"/>
          <w:highlight w:val="none"/>
          <w:u w:val="single"/>
        </w:rPr>
        <w:t>名称</w:t>
      </w:r>
      <w:r>
        <w:rPr>
          <w:rFonts w:hint="eastAsia" w:ascii="宋体" w:hAnsi="宋体" w:cs="宋体"/>
          <w:color w:val="auto"/>
          <w:spacing w:val="1"/>
          <w:kern w:val="0"/>
          <w:szCs w:val="21"/>
          <w:highlight w:val="none"/>
          <w:u w:val="singl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（姓名）</w:t>
      </w:r>
      <w:r>
        <w:rPr>
          <w:rFonts w:hint="eastAsia" w:ascii="宋体" w:hAnsi="宋体" w:cs="宋体"/>
          <w:color w:val="auto"/>
          <w:kern w:val="0"/>
          <w:szCs w:val="21"/>
          <w:highlight w:val="none"/>
        </w:rPr>
        <w:t>为我方代理人。代理人根据授权，以我方名义签署、澄清、说明、补正、递交、撤回、 修改</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（项</w:t>
      </w:r>
      <w:r>
        <w:rPr>
          <w:rFonts w:hint="eastAsia" w:ascii="宋体" w:hAnsi="宋体" w:cs="宋体"/>
          <w:color w:val="auto"/>
          <w:spacing w:val="-1"/>
          <w:kern w:val="0"/>
          <w:szCs w:val="21"/>
          <w:highlight w:val="none"/>
          <w:u w:val="single"/>
        </w:rPr>
        <w:t>目</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比选申请文件、签订合同和处理有关事宜，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盖单位法人章</w:t>
      </w:r>
      <w:r>
        <w:rPr>
          <w:rFonts w:hint="eastAsia" w:ascii="宋体" w:hAnsi="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（签字或盖章）</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单位电话（座机）：</w:t>
      </w:r>
      <w:r>
        <w:rPr>
          <w:rFonts w:hint="eastAsia" w:ascii="宋体" w:hAnsi="宋体" w:cs="宋体"/>
          <w:color w:val="auto"/>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napToGrid w:val="0"/>
        <w:spacing w:line="480" w:lineRule="auto"/>
        <w:ind w:firstLine="810" w:firstLineChars="386"/>
        <w:jc w:val="left"/>
        <w:rPr>
          <w:rFonts w:ascii="宋体" w:hAnsi="宋体" w:cs="宋体"/>
          <w:color w:val="auto"/>
          <w:kern w:val="0"/>
          <w:szCs w:val="21"/>
          <w:highlight w:val="none"/>
        </w:rPr>
      </w:pPr>
      <w:r>
        <w:rPr>
          <w:rFonts w:hint="eastAsia" w:ascii="宋体" w:hAnsi="宋体" w:cs="宋体"/>
          <w:color w:val="auto"/>
          <w:kern w:val="0"/>
          <w:szCs w:val="21"/>
          <w:highlight w:val="none"/>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注：1、法定代表人参加比选活动并签署文件的不需要授权委托书，只需提供法定代表人身份证明；非法定代表人参加比选活动及签署文件的除提供法定代表人身份证明外还须提供授权委托书。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2、法定代表人身份证明及授权委托书原件装入比选申请文件一并递交。另外须准备一份授权委托书原件在开标现场出具。</w:t>
      </w:r>
    </w:p>
    <w:p>
      <w:pPr>
        <w:spacing w:line="360" w:lineRule="auto"/>
        <w:ind w:firstLine="420" w:firstLineChars="200"/>
        <w:jc w:val="left"/>
        <w:rPr>
          <w:rFonts w:ascii="宋体" w:hAnsi="宋体" w:cs="宋体"/>
          <w:color w:val="auto"/>
          <w:highlight w:val="none"/>
        </w:rPr>
      </w:pPr>
      <w:r>
        <w:rPr>
          <w:rFonts w:hint="eastAsia" w:ascii="宋体" w:hAnsi="宋体" w:cs="宋体"/>
          <w:color w:val="auto"/>
          <w:kern w:val="0"/>
          <w:szCs w:val="21"/>
          <w:highlight w:val="none"/>
        </w:rPr>
        <w:t>3.</w:t>
      </w:r>
      <w:r>
        <w:rPr>
          <w:rFonts w:hint="eastAsia" w:ascii="宋体" w:hAnsi="宋体" w:cs="宋体"/>
          <w:color w:val="auto"/>
          <w:highlight w:val="none"/>
        </w:rPr>
        <w:t>授权委托书需按上述格式填写完整，不可缺少内容。在此基础上增加内容的不影响其有效性。</w:t>
      </w:r>
    </w:p>
    <w:p>
      <w:pPr>
        <w:spacing w:line="360" w:lineRule="auto"/>
        <w:rPr>
          <w:rFonts w:ascii="宋体" w:hAnsi="宋体" w:cs="宋体"/>
          <w:color w:val="auto"/>
          <w:highlight w:val="none"/>
        </w:rPr>
      </w:pPr>
      <w:bookmarkStart w:id="1318" w:name="_Toc224103500"/>
      <w:r>
        <w:rPr>
          <w:rFonts w:hint="eastAsia" w:ascii="宋体" w:hAnsi="宋体" w:cs="宋体"/>
          <w:color w:val="auto"/>
          <w:sz w:val="32"/>
          <w:szCs w:val="32"/>
          <w:highlight w:val="none"/>
        </w:rPr>
        <w:br w:type="page"/>
      </w:r>
      <w:bookmarkStart w:id="1319" w:name="_Toc287620819"/>
      <w:bookmarkStart w:id="1320" w:name="_Toc287607872"/>
      <w:bookmarkStart w:id="1321" w:name="_Toc430530534"/>
    </w:p>
    <w:bookmarkEnd w:id="1318"/>
    <w:bookmarkEnd w:id="1319"/>
    <w:bookmarkEnd w:id="1320"/>
    <w:bookmarkEnd w:id="1321"/>
    <w:p>
      <w:pPr>
        <w:pStyle w:val="4"/>
        <w:jc w:val="center"/>
        <w:rPr>
          <w:rFonts w:ascii="宋体" w:hAnsi="宋体" w:eastAsia="宋体" w:cs="宋体"/>
          <w:b w:val="0"/>
          <w:color w:val="auto"/>
          <w:sz w:val="44"/>
          <w:szCs w:val="44"/>
          <w:highlight w:val="none"/>
        </w:rPr>
        <w:sectPr>
          <w:pgSz w:w="11906" w:h="16838"/>
          <w:pgMar w:top="851" w:right="1247" w:bottom="993" w:left="1247" w:header="851" w:footer="992" w:gutter="0"/>
          <w:pgNumType w:fmt="numberInDash"/>
          <w:cols w:space="720" w:num="1"/>
          <w:docGrid w:type="lines" w:linePitch="312" w:charSpace="0"/>
        </w:sectPr>
      </w:pPr>
      <w:bookmarkStart w:id="1322" w:name="_Toc287607874"/>
      <w:bookmarkStart w:id="1323" w:name="_Toc430530536"/>
      <w:bookmarkStart w:id="1324" w:name="_Toc20260"/>
      <w:bookmarkStart w:id="1325" w:name="_Toc22129"/>
      <w:bookmarkStart w:id="1326" w:name="_Toc57905926"/>
      <w:bookmarkStart w:id="1327" w:name="_Toc224103502"/>
      <w:bookmarkStart w:id="1328" w:name="_Toc287620821"/>
      <w:bookmarkStart w:id="1329" w:name="_Toc29644"/>
    </w:p>
    <w:p>
      <w:pPr>
        <w:spacing w:line="360" w:lineRule="auto"/>
        <w:jc w:val="center"/>
        <w:rPr>
          <w:rFonts w:ascii="宋体" w:hAnsi="宋体" w:cs="宋体"/>
          <w:color w:val="auto"/>
          <w:sz w:val="44"/>
          <w:szCs w:val="44"/>
          <w:highlight w:val="none"/>
        </w:rPr>
        <w:sectPr>
          <w:pgSz w:w="11906" w:h="16838"/>
          <w:pgMar w:top="851" w:right="1247" w:bottom="993" w:left="1247" w:header="851" w:footer="992" w:gutter="0"/>
          <w:pgNumType w:fmt="numberInDash"/>
          <w:cols w:space="720" w:num="1"/>
          <w:docGrid w:type="lines" w:linePitch="312" w:charSpace="0"/>
        </w:sectPr>
      </w:pPr>
      <w:r>
        <w:rPr>
          <w:rFonts w:hint="eastAsia" w:ascii="宋体" w:hAnsi="宋体" w:cs="宋体"/>
          <w:color w:val="auto"/>
          <w:sz w:val="44"/>
          <w:szCs w:val="44"/>
          <w:highlight w:val="none"/>
        </w:rPr>
        <w:t>二、经济部分</w:t>
      </w:r>
    </w:p>
    <w:p>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比 选 申 请 文 件</w:t>
      </w:r>
    </w:p>
    <w:p>
      <w:pPr>
        <w:autoSpaceDE w:val="0"/>
        <w:autoSpaceDN w:val="0"/>
        <w:adjustRightInd w:val="0"/>
        <w:snapToGrid w:val="0"/>
        <w:spacing w:line="360" w:lineRule="auto"/>
        <w:jc w:val="left"/>
        <w:rPr>
          <w:rFonts w:ascii="宋体" w:hAnsi="宋体" w:cs="宋体"/>
          <w:color w:val="auto"/>
          <w:kern w:val="0"/>
          <w:sz w:val="16"/>
          <w:szCs w:val="16"/>
          <w:highlight w:val="none"/>
        </w:rPr>
      </w:pPr>
    </w:p>
    <w:p>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经济部分</w:t>
      </w: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autoSpaceDE w:val="0"/>
        <w:autoSpaceDN w:val="0"/>
        <w:adjustRightInd w:val="0"/>
        <w:snapToGrid w:val="0"/>
        <w:spacing w:line="360" w:lineRule="auto"/>
        <w:jc w:val="left"/>
        <w:rPr>
          <w:rFonts w:ascii="宋体" w:hAnsi="宋体" w:cs="宋体"/>
          <w:b/>
          <w:color w:val="auto"/>
          <w:kern w:val="0"/>
          <w:sz w:val="20"/>
          <w:highlight w:val="none"/>
        </w:rPr>
      </w:pPr>
    </w:p>
    <w:p>
      <w:pPr>
        <w:tabs>
          <w:tab w:val="left" w:pos="6080"/>
          <w:tab w:val="left" w:pos="6640"/>
        </w:tabs>
        <w:autoSpaceDE w:val="0"/>
        <w:autoSpaceDN w:val="0"/>
        <w:adjustRightInd w:val="0"/>
        <w:snapToGrid w:val="0"/>
        <w:spacing w:afterLines="50"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比选申请人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s="宋体"/>
          <w:b/>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（签名或盖章）</w:t>
      </w:r>
    </w:p>
    <w:p>
      <w:pPr>
        <w:tabs>
          <w:tab w:val="left" w:pos="3280"/>
          <w:tab w:val="left" w:pos="4680"/>
          <w:tab w:val="left" w:pos="6080"/>
        </w:tabs>
        <w:autoSpaceDE w:val="0"/>
        <w:autoSpaceDN w:val="0"/>
        <w:adjustRightInd w:val="0"/>
        <w:snapToGrid w:val="0"/>
        <w:spacing w:afterLines="50" w:line="360" w:lineRule="auto"/>
        <w:jc w:val="center"/>
        <w:rPr>
          <w:rFonts w:ascii="宋体" w:hAnsi="宋体" w:cs="宋体"/>
          <w:color w:val="auto"/>
          <w:kern w:val="0"/>
          <w:sz w:val="28"/>
          <w:szCs w:val="28"/>
          <w:highlight w:val="none"/>
        </w:rPr>
      </w:pP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日</w:t>
      </w:r>
    </w:p>
    <w:p>
      <w:pPr>
        <w:pStyle w:val="4"/>
        <w:jc w:val="center"/>
        <w:rPr>
          <w:rFonts w:ascii="宋体" w:hAnsi="宋体" w:eastAsia="宋体" w:cs="宋体"/>
          <w:b w:val="0"/>
          <w:color w:val="auto"/>
          <w:sz w:val="44"/>
          <w:szCs w:val="44"/>
          <w:highlight w:val="none"/>
        </w:rPr>
        <w:sectPr>
          <w:pgSz w:w="11906" w:h="16838"/>
          <w:pgMar w:top="851" w:right="1247" w:bottom="993" w:left="1247" w:header="851" w:footer="992" w:gutter="0"/>
          <w:pgNumType w:fmt="numberInDash"/>
          <w:cols w:space="720" w:num="1"/>
          <w:docGrid w:type="lines" w:linePitch="312" w:charSpace="0"/>
        </w:sectPr>
      </w:pPr>
    </w:p>
    <w:p>
      <w:pPr>
        <w:autoSpaceDE w:val="0"/>
        <w:autoSpaceDN w:val="0"/>
        <w:adjustRightInd w:val="0"/>
        <w:snapToGrid w:val="0"/>
        <w:spacing w:line="360" w:lineRule="auto"/>
        <w:jc w:val="center"/>
        <w:rPr>
          <w:rFonts w:ascii="宋体" w:hAnsi="宋体" w:cs="宋体"/>
          <w:color w:val="auto"/>
          <w:kern w:val="0"/>
          <w:szCs w:val="21"/>
          <w:highlight w:val="none"/>
        </w:rPr>
      </w:pPr>
      <w:bookmarkStart w:id="1330" w:name="_Toc28475"/>
      <w:bookmarkStart w:id="1331" w:name="_Toc57905925"/>
      <w:r>
        <w:rPr>
          <w:rFonts w:hint="eastAsia" w:ascii="宋体" w:hAnsi="宋体" w:cs="宋体"/>
          <w:color w:val="auto"/>
          <w:kern w:val="0"/>
          <w:sz w:val="36"/>
          <w:szCs w:val="36"/>
          <w:highlight w:val="none"/>
        </w:rPr>
        <w:t>目  录</w:t>
      </w:r>
    </w:p>
    <w:p>
      <w:pPr>
        <w:autoSpaceDE w:val="0"/>
        <w:autoSpaceDN w:val="0"/>
        <w:adjustRightInd w:val="0"/>
        <w:snapToGrid w:val="0"/>
        <w:spacing w:line="360" w:lineRule="auto"/>
        <w:jc w:val="left"/>
        <w:rPr>
          <w:rFonts w:ascii="宋体" w:hAnsi="宋体" w:cs="宋体"/>
          <w:color w:val="auto"/>
          <w:kern w:val="0"/>
          <w:szCs w:val="21"/>
          <w:highlight w:val="none"/>
        </w:rPr>
      </w:pPr>
    </w:p>
    <w:p>
      <w:pPr>
        <w:autoSpaceDE w:val="0"/>
        <w:autoSpaceDN w:val="0"/>
        <w:adjustRightInd w:val="0"/>
        <w:snapToGrid w:val="0"/>
        <w:spacing w:line="360" w:lineRule="auto"/>
        <w:jc w:val="center"/>
        <w:rPr>
          <w:rFonts w:ascii="宋体" w:hAnsi="宋体" w:cs="宋体"/>
          <w:i/>
          <w:iCs/>
          <w:color w:val="auto"/>
          <w:kern w:val="0"/>
          <w:szCs w:val="21"/>
          <w:highlight w:val="none"/>
        </w:rPr>
      </w:pPr>
      <w:r>
        <w:rPr>
          <w:rFonts w:hint="eastAsia" w:ascii="宋体" w:hAnsi="宋体" w:cs="宋体"/>
          <w:i/>
          <w:iCs/>
          <w:color w:val="auto"/>
          <w:kern w:val="0"/>
          <w:szCs w:val="21"/>
          <w:highlight w:val="none"/>
        </w:rPr>
        <w:t>[提示：目录由比选申请人自行编制]</w:t>
      </w:r>
    </w:p>
    <w:p>
      <w:pPr>
        <w:pStyle w:val="5"/>
        <w:jc w:val="center"/>
        <w:rPr>
          <w:rFonts w:ascii="宋体" w:hAnsi="宋体" w:eastAsia="宋体" w:cs="宋体"/>
          <w:color w:val="auto"/>
          <w:highlight w:val="none"/>
        </w:rPr>
        <w:sectPr>
          <w:pgSz w:w="11906" w:h="16838"/>
          <w:pgMar w:top="851" w:right="1247" w:bottom="993" w:left="1247" w:header="851" w:footer="992" w:gutter="0"/>
          <w:pgNumType w:fmt="numberInDash"/>
          <w:cols w:space="720" w:num="1"/>
          <w:docGrid w:type="lines" w:linePitch="312" w:charSpace="0"/>
        </w:sectPr>
      </w:pPr>
    </w:p>
    <w:p>
      <w:pPr>
        <w:pStyle w:val="5"/>
        <w:jc w:val="center"/>
        <w:rPr>
          <w:rFonts w:ascii="宋体" w:hAnsi="宋体" w:eastAsia="宋体" w:cs="宋体"/>
          <w:color w:val="auto"/>
          <w:highlight w:val="none"/>
        </w:rPr>
      </w:pPr>
      <w:r>
        <w:rPr>
          <w:rFonts w:hint="eastAsia" w:ascii="宋体" w:hAnsi="宋体" w:eastAsia="宋体" w:cs="宋体"/>
          <w:color w:val="auto"/>
          <w:highlight w:val="none"/>
        </w:rPr>
        <w:t>（一）已标价工程量清单</w:t>
      </w:r>
      <w:bookmarkEnd w:id="1330"/>
      <w:bookmarkEnd w:id="1331"/>
    </w:p>
    <w:p>
      <w:pPr>
        <w:pStyle w:val="4"/>
        <w:jc w:val="center"/>
        <w:rPr>
          <w:rFonts w:ascii="宋体" w:hAnsi="宋体" w:eastAsia="宋体" w:cs="宋体"/>
          <w:b w:val="0"/>
          <w:color w:val="auto"/>
          <w:sz w:val="44"/>
          <w:szCs w:val="44"/>
          <w:highlight w:val="none"/>
        </w:rPr>
        <w:sectPr>
          <w:pgSz w:w="11906" w:h="16838"/>
          <w:pgMar w:top="851" w:right="1247" w:bottom="993" w:left="1247" w:header="851" w:footer="992" w:gutter="0"/>
          <w:pgNumType w:fmt="numberInDash"/>
          <w:cols w:space="720" w:num="1"/>
          <w:docGrid w:type="lines" w:linePitch="312" w:charSpace="0"/>
        </w:sectPr>
      </w:pPr>
    </w:p>
    <w:bookmarkEnd w:id="1322"/>
    <w:bookmarkEnd w:id="1323"/>
    <w:bookmarkEnd w:id="1324"/>
    <w:bookmarkEnd w:id="1325"/>
    <w:bookmarkEnd w:id="1326"/>
    <w:bookmarkEnd w:id="1327"/>
    <w:bookmarkEnd w:id="1328"/>
    <w:bookmarkEnd w:id="1329"/>
    <w:p>
      <w:pPr>
        <w:autoSpaceDE w:val="0"/>
        <w:autoSpaceDN w:val="0"/>
        <w:adjustRightInd w:val="0"/>
        <w:snapToGrid w:val="0"/>
        <w:spacing w:line="360" w:lineRule="auto"/>
        <w:jc w:val="center"/>
        <w:rPr>
          <w:rFonts w:ascii="宋体" w:hAnsi="宋体" w:cs="宋体"/>
          <w:color w:val="auto"/>
          <w:sz w:val="36"/>
          <w:szCs w:val="36"/>
          <w:highlight w:val="none"/>
        </w:rPr>
      </w:pPr>
    </w:p>
    <w:p>
      <w:pPr>
        <w:pStyle w:val="4"/>
        <w:jc w:val="center"/>
        <w:rPr>
          <w:rFonts w:ascii="宋体" w:hAnsi="宋体" w:eastAsia="宋体" w:cs="宋体"/>
          <w:b w:val="0"/>
          <w:color w:val="auto"/>
          <w:sz w:val="44"/>
          <w:szCs w:val="44"/>
          <w:highlight w:val="none"/>
        </w:rPr>
      </w:pPr>
      <w:bookmarkStart w:id="1332" w:name="_Toc224103510"/>
      <w:bookmarkStart w:id="1333" w:name="_Toc287607882"/>
      <w:bookmarkStart w:id="1334" w:name="_Toc277082656"/>
      <w:bookmarkStart w:id="1335" w:name="_Toc430530545"/>
      <w:bookmarkStart w:id="1336" w:name="_Toc287620829"/>
      <w:bookmarkStart w:id="1337" w:name="_Toc9878"/>
      <w:bookmarkStart w:id="1338" w:name="_Toc17879"/>
      <w:bookmarkStart w:id="1339" w:name="_Toc57905928"/>
      <w:bookmarkStart w:id="1340" w:name="_Toc27141"/>
      <w:r>
        <w:rPr>
          <w:rFonts w:hint="eastAsia" w:ascii="宋体" w:hAnsi="宋体" w:eastAsia="宋体" w:cs="宋体"/>
          <w:b w:val="0"/>
          <w:color w:val="auto"/>
          <w:sz w:val="44"/>
          <w:szCs w:val="44"/>
          <w:highlight w:val="none"/>
          <w:lang w:val="en-US" w:eastAsia="zh-CN"/>
        </w:rPr>
        <w:t>三</w:t>
      </w:r>
      <w:r>
        <w:rPr>
          <w:rFonts w:hint="eastAsia" w:ascii="宋体" w:hAnsi="宋体" w:eastAsia="宋体" w:cs="宋体"/>
          <w:b w:val="0"/>
          <w:color w:val="auto"/>
          <w:sz w:val="44"/>
          <w:szCs w:val="44"/>
          <w:highlight w:val="none"/>
        </w:rPr>
        <w:t>、</w:t>
      </w:r>
      <w:bookmarkEnd w:id="1332"/>
      <w:bookmarkEnd w:id="1333"/>
      <w:bookmarkEnd w:id="1334"/>
      <w:bookmarkEnd w:id="1335"/>
      <w:bookmarkEnd w:id="1336"/>
      <w:r>
        <w:rPr>
          <w:rFonts w:hint="eastAsia" w:ascii="宋体" w:hAnsi="宋体" w:eastAsia="宋体" w:cs="宋体"/>
          <w:b w:val="0"/>
          <w:color w:val="auto"/>
          <w:sz w:val="44"/>
          <w:szCs w:val="44"/>
          <w:highlight w:val="none"/>
        </w:rPr>
        <w:t>资格审查部分</w:t>
      </w:r>
      <w:bookmarkEnd w:id="1337"/>
      <w:bookmarkEnd w:id="1338"/>
      <w:bookmarkEnd w:id="1339"/>
      <w:bookmarkEnd w:id="1340"/>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比 选 申 请 文 件</w:t>
      </w:r>
    </w:p>
    <w:p>
      <w:pPr>
        <w:autoSpaceDE w:val="0"/>
        <w:autoSpaceDN w:val="0"/>
        <w:adjustRightInd w:val="0"/>
        <w:snapToGrid w:val="0"/>
        <w:spacing w:line="360" w:lineRule="auto"/>
        <w:jc w:val="left"/>
        <w:rPr>
          <w:rFonts w:ascii="宋体" w:hAnsi="宋体" w:cs="宋体"/>
          <w:color w:val="auto"/>
          <w:kern w:val="0"/>
          <w:sz w:val="16"/>
          <w:szCs w:val="16"/>
          <w:highlight w:val="none"/>
        </w:rPr>
      </w:pPr>
    </w:p>
    <w:p>
      <w:pPr>
        <w:autoSpaceDE w:val="0"/>
        <w:autoSpaceDN w:val="0"/>
        <w:adjustRightInd w:val="0"/>
        <w:snapToGrid w:val="0"/>
        <w:spacing w:line="360" w:lineRule="auto"/>
        <w:jc w:val="center"/>
        <w:rPr>
          <w:rFonts w:ascii="宋体" w:hAnsi="宋体" w:cs="宋体"/>
          <w:color w:val="auto"/>
          <w:kern w:val="0"/>
          <w:sz w:val="36"/>
          <w:szCs w:val="36"/>
          <w:highlight w:val="none"/>
        </w:rPr>
      </w:pPr>
    </w:p>
    <w:p>
      <w:pPr>
        <w:autoSpaceDE w:val="0"/>
        <w:autoSpaceDN w:val="0"/>
        <w:adjustRightInd w:val="0"/>
        <w:snapToGrid w:val="0"/>
        <w:spacing w:line="360" w:lineRule="auto"/>
        <w:jc w:val="center"/>
        <w:rPr>
          <w:rFonts w:ascii="宋体" w:hAnsi="宋体" w:cs="宋体"/>
          <w:color w:val="auto"/>
          <w:kern w:val="0"/>
          <w:sz w:val="36"/>
          <w:szCs w:val="36"/>
          <w:highlight w:val="none"/>
        </w:rPr>
      </w:pPr>
    </w:p>
    <w:p>
      <w:pPr>
        <w:autoSpaceDE w:val="0"/>
        <w:autoSpaceDN w:val="0"/>
        <w:adjustRightInd w:val="0"/>
        <w:snapToGrid w:val="0"/>
        <w:spacing w:line="360" w:lineRule="auto"/>
        <w:jc w:val="center"/>
        <w:rPr>
          <w:rFonts w:ascii="宋体" w:hAnsi="宋体" w:cs="宋体"/>
          <w:color w:val="auto"/>
          <w:kern w:val="0"/>
          <w:sz w:val="36"/>
          <w:szCs w:val="36"/>
          <w:highlight w:val="none"/>
        </w:rPr>
      </w:pPr>
    </w:p>
    <w:p>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宋体"/>
          <w:color w:val="auto"/>
          <w:kern w:val="0"/>
          <w:sz w:val="20"/>
          <w:highlight w:val="none"/>
        </w:rPr>
      </w:pPr>
    </w:p>
    <w:p>
      <w:pPr>
        <w:adjustRightInd w:val="0"/>
        <w:snapToGrid w:val="0"/>
        <w:spacing w:line="264" w:lineRule="auto"/>
        <w:rPr>
          <w:rFonts w:ascii="宋体" w:hAnsi="宋体" w:cs="宋体"/>
          <w:color w:val="auto"/>
          <w:szCs w:val="21"/>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6080"/>
          <w:tab w:val="left" w:pos="6640"/>
        </w:tabs>
        <w:autoSpaceDE w:val="0"/>
        <w:autoSpaceDN w:val="0"/>
        <w:adjustRightInd w:val="0"/>
        <w:snapToGrid w:val="0"/>
        <w:spacing w:line="48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 xml:space="preserve">     比选申请人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480" w:lineRule="auto"/>
        <w:jc w:val="center"/>
        <w:rPr>
          <w:rFonts w:ascii="宋体" w:hAnsi="宋体" w:cs="宋体"/>
          <w:b/>
          <w:color w:val="auto"/>
          <w:kern w:val="0"/>
          <w:sz w:val="28"/>
          <w:szCs w:val="28"/>
          <w:highlight w:val="none"/>
        </w:rPr>
      </w:pP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日</w:t>
      </w:r>
    </w:p>
    <w:p>
      <w:pPr>
        <w:autoSpaceDE w:val="0"/>
        <w:autoSpaceDN w:val="0"/>
        <w:adjustRightInd w:val="0"/>
        <w:snapToGrid w:val="0"/>
        <w:jc w:val="center"/>
        <w:rPr>
          <w:rFonts w:ascii="宋体" w:hAnsi="宋体" w:cs="宋体"/>
          <w:color w:val="auto"/>
          <w:kern w:val="0"/>
          <w:sz w:val="36"/>
          <w:szCs w:val="36"/>
          <w:highlight w:val="none"/>
        </w:rPr>
      </w:pPr>
    </w:p>
    <w:p>
      <w:pPr>
        <w:autoSpaceDE w:val="0"/>
        <w:autoSpaceDN w:val="0"/>
        <w:adjustRightInd w:val="0"/>
        <w:snapToGrid w:val="0"/>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pPr>
        <w:spacing w:line="360" w:lineRule="auto"/>
        <w:jc w:val="center"/>
        <w:rPr>
          <w:rFonts w:ascii="宋体" w:hAnsi="宋体" w:cs="宋体"/>
          <w:b/>
          <w:color w:val="auto"/>
          <w:kern w:val="0"/>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（一）法定代表人身份证明或附有法定代表人身份证明的授权委托书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（二）比选申请人基本情况表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（三）项目管理机构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（四）承诺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（五）其他资料</w:t>
      </w: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pStyle w:val="5"/>
        <w:jc w:val="center"/>
        <w:rPr>
          <w:rFonts w:ascii="宋体" w:hAnsi="宋体" w:eastAsia="宋体" w:cs="宋体"/>
          <w:snapToGrid w:val="0"/>
          <w:color w:val="auto"/>
          <w:sz w:val="30"/>
          <w:szCs w:val="30"/>
          <w:highlight w:val="none"/>
        </w:rPr>
      </w:pPr>
      <w:r>
        <w:rPr>
          <w:rFonts w:hint="eastAsia" w:ascii="宋体" w:hAnsi="宋体" w:eastAsia="宋体" w:cs="宋体"/>
          <w:color w:val="auto"/>
          <w:highlight w:val="none"/>
        </w:rPr>
        <w:br w:type="page"/>
      </w:r>
      <w:bookmarkStart w:id="1341" w:name="_Toc57905929"/>
      <w:bookmarkStart w:id="1342" w:name="_Toc5633"/>
      <w:bookmarkStart w:id="1343" w:name="_Toc430530546"/>
      <w:bookmarkStart w:id="1344" w:name="_Toc287620830"/>
      <w:bookmarkStart w:id="1345" w:name="_Toc224103511"/>
      <w:bookmarkStart w:id="1346" w:name="_Toc277082657"/>
      <w:bookmarkStart w:id="1347" w:name="_Toc287607883"/>
      <w:r>
        <w:rPr>
          <w:rFonts w:hint="eastAsia" w:ascii="宋体" w:hAnsi="宋体" w:eastAsia="宋体" w:cs="宋体"/>
          <w:color w:val="auto"/>
          <w:sz w:val="30"/>
          <w:szCs w:val="30"/>
          <w:highlight w:val="none"/>
        </w:rPr>
        <w:t>（一）法定代表人身份证明或附有法定代表人身份证明的授权委托书</w:t>
      </w:r>
      <w:bookmarkEnd w:id="1341"/>
      <w:bookmarkEnd w:id="1342"/>
    </w:p>
    <w:p>
      <w:pPr>
        <w:spacing w:line="480" w:lineRule="auto"/>
        <w:jc w:val="center"/>
        <w:rPr>
          <w:rFonts w:ascii="宋体" w:hAnsi="宋体" w:cs="宋体"/>
          <w:color w:val="auto"/>
          <w:sz w:val="28"/>
          <w:highlight w:val="none"/>
        </w:rPr>
      </w:pPr>
      <w:r>
        <w:rPr>
          <w:rFonts w:hint="eastAsia" w:ascii="宋体" w:hAnsi="宋体" w:cs="宋体"/>
          <w:color w:val="auto"/>
          <w:sz w:val="28"/>
          <w:highlight w:val="none"/>
        </w:rPr>
        <w:t>法定代表人身份证明</w:t>
      </w:r>
    </w:p>
    <w:p>
      <w:pPr>
        <w:spacing w:line="480" w:lineRule="auto"/>
        <w:jc w:val="center"/>
        <w:rPr>
          <w:rFonts w:ascii="宋体" w:hAnsi="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比选申请人名称：</w:t>
      </w:r>
      <w:r>
        <w:rPr>
          <w:rFonts w:hint="eastAsia" w:ascii="宋体" w:hAnsi="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（比选申请人名称）</w:t>
      </w:r>
      <w:r>
        <w:rPr>
          <w:rFonts w:hint="eastAsia" w:ascii="宋体" w:hAnsi="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附：法定代表人身份证明复印件（双面）</w:t>
      </w:r>
    </w:p>
    <w:p>
      <w:pPr>
        <w:autoSpaceDE w:val="0"/>
        <w:autoSpaceDN w:val="0"/>
        <w:adjustRightInd w:val="0"/>
        <w:snapToGrid w:val="0"/>
        <w:spacing w:line="360" w:lineRule="auto"/>
        <w:jc w:val="left"/>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pStyle w:val="23"/>
        <w:spacing w:line="360" w:lineRule="auto"/>
        <w:rPr>
          <w:rFonts w:ascii="宋体" w:hAnsi="宋体" w:cs="宋体"/>
          <w:color w:val="auto"/>
          <w:szCs w:val="21"/>
          <w:highlight w:val="none"/>
        </w:rPr>
      </w:pPr>
    </w:p>
    <w:p>
      <w:pPr>
        <w:autoSpaceDE w:val="0"/>
        <w:autoSpaceDN w:val="0"/>
        <w:adjustRightInd w:val="0"/>
        <w:snapToGrid w:val="0"/>
        <w:spacing w:line="480" w:lineRule="auto"/>
        <w:ind w:firstLine="810" w:firstLineChars="386"/>
        <w:jc w:val="right"/>
        <w:rPr>
          <w:rFonts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盖单位法人章）</w:t>
      </w:r>
    </w:p>
    <w:p>
      <w:pPr>
        <w:autoSpaceDE w:val="0"/>
        <w:autoSpaceDN w:val="0"/>
        <w:adjustRightInd w:val="0"/>
        <w:snapToGrid w:val="0"/>
        <w:spacing w:line="480" w:lineRule="auto"/>
        <w:jc w:val="left"/>
        <w:rPr>
          <w:rFonts w:ascii="宋体" w:hAnsi="宋体" w:cs="宋体"/>
          <w:color w:val="auto"/>
          <w:kern w:val="0"/>
          <w:sz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日  </w:t>
      </w:r>
    </w:p>
    <w:p>
      <w:pPr>
        <w:autoSpaceDE w:val="0"/>
        <w:autoSpaceDN w:val="0"/>
        <w:adjustRightInd w:val="0"/>
        <w:snapToGrid w:val="0"/>
        <w:spacing w:line="360" w:lineRule="auto"/>
        <w:jc w:val="left"/>
        <w:rPr>
          <w:rFonts w:ascii="宋体" w:hAnsi="宋体" w:cs="宋体"/>
          <w:color w:val="auto"/>
          <w:kern w:val="0"/>
          <w:highlight w:val="none"/>
        </w:rPr>
      </w:pPr>
    </w:p>
    <w:p>
      <w:pPr>
        <w:autoSpaceDE w:val="0"/>
        <w:autoSpaceDN w:val="0"/>
        <w:adjustRightInd w:val="0"/>
        <w:snapToGrid w:val="0"/>
        <w:spacing w:line="360" w:lineRule="auto"/>
        <w:jc w:val="left"/>
        <w:rPr>
          <w:rFonts w:ascii="宋体" w:hAnsi="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highlight w:val="none"/>
        </w:rPr>
        <w:t>注：法定代表人身份证明需按上述格式填写完整，不可缺少内容。在此基础上增加内容的不影响其有效性</w:t>
      </w:r>
      <w:bookmarkEnd w:id="1343"/>
      <w:bookmarkEnd w:id="1344"/>
      <w:bookmarkEnd w:id="1345"/>
      <w:bookmarkEnd w:id="1346"/>
      <w:bookmarkEnd w:id="1347"/>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color w:val="auto"/>
          <w:kern w:val="0"/>
          <w:sz w:val="20"/>
          <w:highlight w:val="none"/>
        </w:rPr>
      </w:pPr>
      <w:r>
        <w:rPr>
          <w:rFonts w:hint="eastAsia" w:ascii="宋体" w:hAnsi="宋体" w:cs="宋体"/>
          <w:b/>
          <w:color w:val="auto"/>
          <w:kern w:val="0"/>
          <w:sz w:val="28"/>
          <w:szCs w:val="28"/>
          <w:highlight w:val="none"/>
        </w:rPr>
        <w:br w:type="page"/>
      </w:r>
      <w:r>
        <w:rPr>
          <w:rFonts w:hint="eastAsia" w:ascii="宋体" w:hAnsi="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（姓名）</w:t>
      </w:r>
      <w:r>
        <w:rPr>
          <w:rFonts w:hint="eastAsia" w:ascii="宋体" w:hAnsi="宋体" w:cs="宋体"/>
          <w:color w:val="auto"/>
          <w:kern w:val="0"/>
          <w:szCs w:val="21"/>
          <w:highlight w:val="none"/>
        </w:rPr>
        <w:t>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w:t>
      </w:r>
      <w:r>
        <w:rPr>
          <w:rFonts w:hint="eastAsia" w:ascii="宋体" w:hAnsi="宋体" w:cs="宋体"/>
          <w:color w:val="auto"/>
          <w:spacing w:val="-1"/>
          <w:kern w:val="0"/>
          <w:szCs w:val="21"/>
          <w:highlight w:val="none"/>
          <w:u w:val="single"/>
        </w:rPr>
        <w:t>比选申请人</w:t>
      </w:r>
      <w:r>
        <w:rPr>
          <w:rFonts w:hint="eastAsia" w:ascii="宋体" w:hAnsi="宋体" w:cs="宋体"/>
          <w:color w:val="auto"/>
          <w:kern w:val="0"/>
          <w:szCs w:val="21"/>
          <w:highlight w:val="none"/>
          <w:u w:val="single"/>
        </w:rPr>
        <w:t>名称</w:t>
      </w:r>
      <w:r>
        <w:rPr>
          <w:rFonts w:hint="eastAsia" w:ascii="宋体" w:hAnsi="宋体" w:cs="宋体"/>
          <w:color w:val="auto"/>
          <w:spacing w:val="1"/>
          <w:kern w:val="0"/>
          <w:szCs w:val="21"/>
          <w:highlight w:val="none"/>
          <w:u w:val="singl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（姓名）</w:t>
      </w:r>
      <w:r>
        <w:rPr>
          <w:rFonts w:hint="eastAsia" w:ascii="宋体" w:hAnsi="宋体" w:cs="宋体"/>
          <w:color w:val="auto"/>
          <w:kern w:val="0"/>
          <w:szCs w:val="21"/>
          <w:highlight w:val="none"/>
        </w:rPr>
        <w:t>为我方代理人。代理人根据授权，以我方名义签署、澄清、说明、补正、递交、撤回、 修改</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（项</w:t>
      </w:r>
      <w:r>
        <w:rPr>
          <w:rFonts w:hint="eastAsia" w:ascii="宋体" w:hAnsi="宋体" w:cs="宋体"/>
          <w:color w:val="auto"/>
          <w:spacing w:val="-1"/>
          <w:kern w:val="0"/>
          <w:szCs w:val="21"/>
          <w:highlight w:val="none"/>
          <w:u w:val="single"/>
        </w:rPr>
        <w:t>目</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比选申请文件、签订合同和处理有关事宜，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盖单位法人章</w:t>
      </w:r>
      <w:r>
        <w:rPr>
          <w:rFonts w:hint="eastAsia" w:ascii="宋体" w:hAnsi="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（签字或盖章）</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单位电话（座机）：</w:t>
      </w:r>
      <w:r>
        <w:rPr>
          <w:rFonts w:hint="eastAsia" w:ascii="宋体" w:hAnsi="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s="宋体"/>
          <w:color w:val="auto"/>
          <w:kern w:val="0"/>
          <w:szCs w:val="21"/>
          <w:highlight w:val="none"/>
        </w:rPr>
      </w:pPr>
      <w:r>
        <w:rPr>
          <w:rFonts w:hint="eastAsia" w:ascii="宋体" w:hAnsi="宋体" w:cs="宋体"/>
          <w:color w:val="auto"/>
          <w:kern w:val="0"/>
          <w:szCs w:val="21"/>
          <w:highlight w:val="none"/>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注：1、法定代表人参加比选活动并签署文件的不需要授权委托书，只需提供法定代表人身份证明；非法定代表人参加比选活动及签署文件的除提供法定代表人身份证明外还须提供授权委托书。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2、法定代表人身份证明及授权委托书原件装入比选申请文件一并递交。另外须准备一份授权委托书原件在开标现场出具。</w:t>
      </w:r>
    </w:p>
    <w:p>
      <w:pPr>
        <w:spacing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rPr>
        <w:t>3.</w:t>
      </w:r>
      <w:r>
        <w:rPr>
          <w:rFonts w:hint="eastAsia" w:ascii="宋体" w:hAnsi="宋体" w:cs="宋体"/>
          <w:color w:val="auto"/>
          <w:highlight w:val="none"/>
        </w:rPr>
        <w:t>授权委托书需按上述格式填写完整，不可缺少内容。在此基础上增加内容的不影响其有效性。</w:t>
      </w:r>
    </w:p>
    <w:p>
      <w:pPr>
        <w:spacing w:line="480" w:lineRule="auto"/>
        <w:jc w:val="center"/>
        <w:rPr>
          <w:rFonts w:ascii="宋体" w:hAnsi="宋体" w:cs="宋体"/>
          <w:color w:val="auto"/>
          <w:sz w:val="28"/>
          <w:highlight w:val="none"/>
        </w:rPr>
      </w:pPr>
      <w:bookmarkStart w:id="1348" w:name="_Toc287620831"/>
      <w:bookmarkStart w:id="1349" w:name="_Toc224103512"/>
      <w:bookmarkStart w:id="1350" w:name="_Toc277082658"/>
      <w:bookmarkStart w:id="1351" w:name="_Toc287607884"/>
      <w:bookmarkStart w:id="1352" w:name="_Toc430530547"/>
      <w:bookmarkStart w:id="1353" w:name="_Toc57905930"/>
      <w:r>
        <w:rPr>
          <w:rFonts w:hint="eastAsia" w:ascii="宋体" w:hAnsi="宋体" w:cs="宋体"/>
          <w:color w:val="auto"/>
          <w:sz w:val="28"/>
          <w:highlight w:val="none"/>
        </w:rPr>
        <w:t>（二）</w:t>
      </w:r>
      <w:bookmarkEnd w:id="1348"/>
      <w:bookmarkEnd w:id="1349"/>
      <w:bookmarkEnd w:id="1350"/>
      <w:bookmarkEnd w:id="1351"/>
      <w:bookmarkEnd w:id="1352"/>
      <w:bookmarkEnd w:id="1353"/>
      <w:bookmarkStart w:id="1354" w:name="_Toc57905931"/>
      <w:bookmarkStart w:id="1355" w:name="_Toc277082659"/>
      <w:bookmarkStart w:id="1356" w:name="_Toc287607887"/>
      <w:r>
        <w:rPr>
          <w:rFonts w:hint="eastAsia" w:ascii="宋体" w:hAnsi="宋体" w:cs="宋体"/>
          <w:color w:val="auto"/>
          <w:sz w:val="28"/>
          <w:highlight w:val="none"/>
        </w:rPr>
        <w:t>比选申请人基本情况表</w:t>
      </w:r>
      <w:bookmarkEnd w:id="1354"/>
    </w:p>
    <w:tbl>
      <w:tblPr>
        <w:tblStyle w:val="6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比选申请人名称</w:t>
            </w:r>
          </w:p>
        </w:tc>
        <w:tc>
          <w:tcPr>
            <w:tcW w:w="7607" w:type="dxa"/>
            <w:gridSpan w:val="9"/>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s="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s="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s="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s="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1991"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s="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s="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s="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s="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s="宋体"/>
                <w:color w:val="auto"/>
                <w:kern w:val="0"/>
                <w:szCs w:val="21"/>
                <w:highlight w:val="none"/>
              </w:rPr>
            </w:pPr>
          </w:p>
        </w:tc>
      </w:tr>
    </w:tbl>
    <w:p>
      <w:pPr>
        <w:spacing w:line="360" w:lineRule="auto"/>
        <w:jc w:val="center"/>
        <w:rPr>
          <w:rFonts w:ascii="宋体" w:hAnsi="宋体" w:cs="宋体"/>
          <w:color w:val="auto"/>
          <w:szCs w:val="21"/>
          <w:highlight w:val="none"/>
        </w:rPr>
      </w:pPr>
    </w:p>
    <w:p>
      <w:pPr>
        <w:pStyle w:val="5"/>
        <w:spacing w:before="0"/>
        <w:jc w:val="center"/>
        <w:rPr>
          <w:rFonts w:ascii="宋体" w:hAnsi="宋体" w:eastAsia="宋体" w:cs="宋体"/>
          <w:b w:val="0"/>
          <w:color w:val="auto"/>
          <w:highlight w:val="none"/>
        </w:rPr>
      </w:pPr>
      <w:r>
        <w:rPr>
          <w:rFonts w:hint="eastAsia" w:ascii="宋体" w:hAnsi="宋体" w:eastAsia="宋体" w:cs="宋体"/>
          <w:color w:val="auto"/>
          <w:szCs w:val="21"/>
          <w:highlight w:val="none"/>
        </w:rPr>
        <w:br w:type="page"/>
      </w:r>
      <w:bookmarkStart w:id="1357" w:name="_Toc534185840"/>
      <w:bookmarkStart w:id="1358" w:name="_Toc509218863"/>
      <w:bookmarkStart w:id="1359" w:name="_Toc57905932"/>
      <w:r>
        <w:rPr>
          <w:rFonts w:hint="eastAsia" w:ascii="宋体" w:hAnsi="宋体" w:eastAsia="宋体" w:cs="宋体"/>
          <w:b w:val="0"/>
          <w:color w:val="auto"/>
          <w:kern w:val="2"/>
          <w:sz w:val="28"/>
          <w:highlight w:val="none"/>
        </w:rPr>
        <w:t>（三）项目管理机构</w:t>
      </w:r>
      <w:bookmarkEnd w:id="1357"/>
      <w:bookmarkEnd w:id="1358"/>
      <w:bookmarkEnd w:id="1359"/>
    </w:p>
    <w:p>
      <w:pPr>
        <w:spacing w:line="360" w:lineRule="auto"/>
        <w:rPr>
          <w:rFonts w:ascii="宋体" w:hAnsi="宋体" w:cs="宋体"/>
          <w:color w:val="auto"/>
          <w:highlight w:val="none"/>
        </w:rPr>
      </w:pPr>
    </w:p>
    <w:p>
      <w:pPr>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项目管理机构组成表</w:t>
      </w:r>
    </w:p>
    <w:tbl>
      <w:tblPr>
        <w:tblStyle w:val="6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512"/>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restart"/>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职务</w:t>
            </w:r>
          </w:p>
        </w:tc>
        <w:tc>
          <w:tcPr>
            <w:tcW w:w="512" w:type="dxa"/>
            <w:vMerge w:val="restart"/>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continue"/>
          </w:tcPr>
          <w:p>
            <w:pPr>
              <w:autoSpaceDE w:val="0"/>
              <w:autoSpaceDN w:val="0"/>
              <w:adjustRightInd w:val="0"/>
              <w:snapToGrid w:val="0"/>
              <w:jc w:val="left"/>
              <w:rPr>
                <w:rFonts w:ascii="宋体" w:hAnsi="宋体" w:cs="宋体"/>
                <w:color w:val="auto"/>
                <w:kern w:val="0"/>
                <w:szCs w:val="21"/>
                <w:highlight w:val="none"/>
              </w:rPr>
            </w:pPr>
          </w:p>
        </w:tc>
        <w:tc>
          <w:tcPr>
            <w:tcW w:w="512" w:type="dxa"/>
            <w:vMerge w:val="continue"/>
          </w:tcPr>
          <w:p>
            <w:pPr>
              <w:autoSpaceDE w:val="0"/>
              <w:autoSpaceDN w:val="0"/>
              <w:adjustRightInd w:val="0"/>
              <w:snapToGrid w:val="0"/>
              <w:jc w:val="left"/>
              <w:rPr>
                <w:rFonts w:ascii="宋体" w:hAnsi="宋体" w:cs="宋体"/>
                <w:color w:val="auto"/>
                <w:kern w:val="0"/>
                <w:szCs w:val="21"/>
                <w:highlight w:val="none"/>
              </w:rPr>
            </w:pPr>
          </w:p>
        </w:tc>
        <w:tc>
          <w:tcPr>
            <w:tcW w:w="776" w:type="dxa"/>
            <w:vMerge w:val="continue"/>
          </w:tcPr>
          <w:p>
            <w:pPr>
              <w:autoSpaceDE w:val="0"/>
              <w:autoSpaceDN w:val="0"/>
              <w:adjustRightInd w:val="0"/>
              <w:snapToGrid w:val="0"/>
              <w:jc w:val="left"/>
              <w:rPr>
                <w:rFonts w:ascii="宋体" w:hAnsi="宋体" w:cs="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养老保险</w:t>
            </w: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078"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项目技术负责人</w:t>
            </w: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color w:val="auto"/>
                <w:kern w:val="0"/>
                <w:szCs w:val="21"/>
                <w:highlight w:val="none"/>
              </w:rPr>
            </w:pPr>
          </w:p>
        </w:tc>
        <w:tc>
          <w:tcPr>
            <w:tcW w:w="512"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1167"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778" w:type="dxa"/>
          </w:tcPr>
          <w:p>
            <w:pPr>
              <w:autoSpaceDE w:val="0"/>
              <w:autoSpaceDN w:val="0"/>
              <w:adjustRightInd w:val="0"/>
              <w:snapToGrid w:val="0"/>
              <w:jc w:val="left"/>
              <w:rPr>
                <w:rFonts w:ascii="宋体" w:hAnsi="宋体" w:cs="宋体"/>
                <w:color w:val="auto"/>
                <w:kern w:val="0"/>
                <w:szCs w:val="21"/>
                <w:highlight w:val="none"/>
              </w:rPr>
            </w:pPr>
          </w:p>
        </w:tc>
        <w:tc>
          <w:tcPr>
            <w:tcW w:w="776" w:type="dxa"/>
          </w:tcPr>
          <w:p>
            <w:pPr>
              <w:autoSpaceDE w:val="0"/>
              <w:autoSpaceDN w:val="0"/>
              <w:adjustRightInd w:val="0"/>
              <w:snapToGrid w:val="0"/>
              <w:jc w:val="left"/>
              <w:rPr>
                <w:rFonts w:ascii="宋体" w:hAnsi="宋体" w:cs="宋体"/>
                <w:color w:val="auto"/>
                <w:kern w:val="0"/>
                <w:szCs w:val="21"/>
                <w:highlight w:val="none"/>
              </w:rPr>
            </w:pPr>
          </w:p>
        </w:tc>
        <w:tc>
          <w:tcPr>
            <w:tcW w:w="2723" w:type="dxa"/>
          </w:tcPr>
          <w:p>
            <w:pPr>
              <w:autoSpaceDE w:val="0"/>
              <w:autoSpaceDN w:val="0"/>
              <w:adjustRightInd w:val="0"/>
              <w:snapToGrid w:val="0"/>
              <w:jc w:val="left"/>
              <w:rPr>
                <w:rFonts w:ascii="宋体" w:hAnsi="宋体" w:cs="宋体"/>
                <w:color w:val="auto"/>
                <w:kern w:val="0"/>
                <w:szCs w:val="21"/>
                <w:highlight w:val="none"/>
              </w:rPr>
            </w:pPr>
          </w:p>
        </w:tc>
        <w:tc>
          <w:tcPr>
            <w:tcW w:w="896" w:type="dxa"/>
          </w:tcPr>
          <w:p>
            <w:pPr>
              <w:autoSpaceDE w:val="0"/>
              <w:autoSpaceDN w:val="0"/>
              <w:adjustRightInd w:val="0"/>
              <w:snapToGrid w:val="0"/>
              <w:jc w:val="left"/>
              <w:rPr>
                <w:rFonts w:ascii="宋体" w:hAnsi="宋体" w:cs="宋体"/>
                <w:color w:val="auto"/>
                <w:kern w:val="0"/>
                <w:szCs w:val="21"/>
                <w:highlight w:val="none"/>
              </w:rPr>
            </w:pPr>
          </w:p>
        </w:tc>
      </w:tr>
    </w:tbl>
    <w:p>
      <w:pPr>
        <w:spacing w:line="20" w:lineRule="exact"/>
        <w:jc w:val="center"/>
        <w:rPr>
          <w:rFonts w:ascii="宋体" w:hAnsi="宋体" w:cs="宋体"/>
          <w:color w:val="auto"/>
          <w:szCs w:val="21"/>
          <w:highlight w:val="none"/>
        </w:rPr>
      </w:pPr>
    </w:p>
    <w:p>
      <w:pPr>
        <w:spacing w:line="360" w:lineRule="auto"/>
        <w:ind w:firstLine="420" w:firstLineChars="200"/>
        <w:jc w:val="center"/>
        <w:rPr>
          <w:rFonts w:ascii="宋体" w:hAnsi="宋体" w:cs="宋体"/>
          <w:color w:val="auto"/>
          <w:sz w:val="32"/>
          <w:szCs w:val="32"/>
          <w:highlight w:val="none"/>
        </w:rPr>
      </w:pPr>
      <w:r>
        <w:rPr>
          <w:rFonts w:hint="eastAsia" w:ascii="宋体" w:hAnsi="宋体" w:cs="宋体"/>
          <w:color w:val="auto"/>
          <w:szCs w:val="21"/>
          <w:highlight w:val="none"/>
        </w:rPr>
        <w:t>备注：本表仅填项目经理、项目技术负责人相关信息</w:t>
      </w: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项目经理及项目技术负责人简历表</w:t>
      </w:r>
      <w:bookmarkEnd w:id="1355"/>
      <w:bookmarkEnd w:id="1356"/>
    </w:p>
    <w:tbl>
      <w:tblPr>
        <w:tblStyle w:val="64"/>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学历</w:t>
            </w:r>
          </w:p>
        </w:tc>
        <w:tc>
          <w:tcPr>
            <w:tcW w:w="2528" w:type="dxa"/>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年</w:t>
            </w:r>
            <w:r>
              <w:rPr>
                <w:rFonts w:hint="eastAsia" w:ascii="宋体" w:hAnsi="宋体" w:cs="宋体"/>
                <w:color w:val="auto"/>
                <w:spacing w:val="-1"/>
                <w:kern w:val="0"/>
                <w:szCs w:val="21"/>
                <w:highlight w:val="none"/>
              </w:rPr>
              <w:t>毕</w:t>
            </w:r>
            <w:r>
              <w:rPr>
                <w:rFonts w:hint="eastAsia" w:ascii="宋体" w:hAnsi="宋体" w:cs="宋体"/>
                <w:color w:val="auto"/>
                <w:kern w:val="0"/>
                <w:szCs w:val="21"/>
                <w:highlight w:val="none"/>
              </w:rPr>
              <w:t>业于</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学校</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9565" w:type="dxa"/>
            <w:gridSpan w:val="9"/>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s="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s="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s="宋体"/>
                <w:color w:val="auto"/>
                <w:kern w:val="0"/>
                <w:szCs w:val="21"/>
                <w:highlight w:val="none"/>
              </w:rPr>
            </w:pPr>
          </w:p>
        </w:tc>
      </w:tr>
    </w:tbl>
    <w:p>
      <w:pPr>
        <w:spacing w:line="360" w:lineRule="auto"/>
        <w:rPr>
          <w:rFonts w:ascii="宋体" w:hAnsi="宋体" w:cs="宋体"/>
          <w:color w:val="auto"/>
          <w:highlight w:val="none"/>
        </w:rPr>
      </w:pPr>
      <w:bookmarkStart w:id="1360" w:name="_Toc224103515"/>
    </w:p>
    <w:p>
      <w:pPr>
        <w:pStyle w:val="23"/>
        <w:rPr>
          <w:rFonts w:ascii="宋体" w:hAnsi="宋体" w:cs="宋体"/>
          <w:color w:val="auto"/>
          <w:highlight w:val="none"/>
        </w:rPr>
      </w:pPr>
    </w:p>
    <w:bookmarkEnd w:id="1360"/>
    <w:p>
      <w:pPr>
        <w:pStyle w:val="5"/>
        <w:spacing w:before="0"/>
        <w:jc w:val="center"/>
        <w:rPr>
          <w:rFonts w:ascii="宋体" w:hAnsi="宋体" w:eastAsia="宋体" w:cs="宋体"/>
          <w:b w:val="0"/>
          <w:color w:val="auto"/>
          <w:kern w:val="2"/>
          <w:sz w:val="28"/>
          <w:highlight w:val="none"/>
        </w:rPr>
        <w:sectPr>
          <w:pgSz w:w="11906" w:h="16838"/>
          <w:pgMar w:top="851" w:right="1247" w:bottom="993" w:left="1247" w:header="851" w:footer="992" w:gutter="0"/>
          <w:pgNumType w:fmt="numberInDash"/>
          <w:cols w:space="720" w:num="1"/>
          <w:docGrid w:type="lines" w:linePitch="312" w:charSpace="0"/>
        </w:sectPr>
      </w:pPr>
      <w:bookmarkStart w:id="1361" w:name="_Toc287607893"/>
      <w:bookmarkStart w:id="1362" w:name="_Toc277082663"/>
      <w:bookmarkStart w:id="1363" w:name="_Toc287620839"/>
      <w:bookmarkStart w:id="1364" w:name="_Toc430530552"/>
      <w:bookmarkStart w:id="1365" w:name="_Toc224103520"/>
      <w:bookmarkStart w:id="1366" w:name="_Toc57905935"/>
      <w:bookmarkStart w:id="1367" w:name="_Toc94108860"/>
      <w:bookmarkStart w:id="1368" w:name="_Toc509218866"/>
      <w:bookmarkStart w:id="1369" w:name="_Toc534185843"/>
      <w:bookmarkStart w:id="1370" w:name="_Toc57905936"/>
    </w:p>
    <w:p>
      <w:pPr>
        <w:pStyle w:val="5"/>
        <w:spacing w:before="0"/>
        <w:jc w:val="center"/>
        <w:rPr>
          <w:rFonts w:ascii="宋体" w:hAnsi="宋体" w:eastAsia="宋体" w:cs="宋体"/>
          <w:b w:val="0"/>
          <w:color w:val="auto"/>
          <w:kern w:val="2"/>
          <w:sz w:val="28"/>
          <w:highlight w:val="none"/>
        </w:rPr>
      </w:pPr>
      <w:r>
        <w:rPr>
          <w:rFonts w:hint="eastAsia" w:ascii="宋体" w:hAnsi="宋体" w:eastAsia="宋体" w:cs="宋体"/>
          <w:b w:val="0"/>
          <w:color w:val="auto"/>
          <w:kern w:val="2"/>
          <w:sz w:val="28"/>
          <w:highlight w:val="none"/>
        </w:rPr>
        <w:t>（四）</w:t>
      </w:r>
      <w:bookmarkEnd w:id="1361"/>
      <w:bookmarkEnd w:id="1362"/>
      <w:bookmarkEnd w:id="1363"/>
      <w:bookmarkEnd w:id="1364"/>
      <w:bookmarkEnd w:id="1365"/>
      <w:r>
        <w:rPr>
          <w:rFonts w:hint="eastAsia" w:ascii="宋体" w:hAnsi="宋体" w:eastAsia="宋体" w:cs="宋体"/>
          <w:b w:val="0"/>
          <w:color w:val="auto"/>
          <w:kern w:val="2"/>
          <w:sz w:val="28"/>
          <w:highlight w:val="none"/>
        </w:rPr>
        <w:t>承诺</w:t>
      </w:r>
      <w:bookmarkEnd w:id="1366"/>
      <w:bookmarkEnd w:id="1367"/>
    </w:p>
    <w:p>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（比选申请人名称）</w:t>
      </w:r>
      <w:r>
        <w:rPr>
          <w:rFonts w:hint="eastAsia" w:ascii="宋体" w:hAnsi="宋体" w:cs="宋体"/>
          <w:color w:val="auto"/>
          <w:szCs w:val="21"/>
          <w:highlight w:val="none"/>
        </w:rPr>
        <w:t>：</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w:t>
      </w:r>
      <w:r>
        <w:rPr>
          <w:rFonts w:hint="eastAsia" w:ascii="宋体" w:hAnsi="宋体" w:cs="宋体"/>
          <w:color w:val="auto"/>
          <w:szCs w:val="21"/>
          <w:highlight w:val="none"/>
          <w:u w:val="single"/>
        </w:rPr>
        <w:t xml:space="preserve">        （比选申请人名称）</w:t>
      </w:r>
      <w:r>
        <w:rPr>
          <w:rFonts w:hint="eastAsia" w:ascii="宋体" w:hAnsi="宋体" w:cs="宋体"/>
          <w:color w:val="auto"/>
          <w:szCs w:val="21"/>
          <w:highlight w:val="none"/>
        </w:rPr>
        <w:t>参加了贵单位</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的公开竞争性比选，自愿作出以下承诺：</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1、我公司比选截止日比选资格情况不存在下列情形之一：</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（1）被人民法院在“信用中国”网站（www.creditchina.gov.cn）列入失信被执行人名单且在被执行期内；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（3）被列入《重庆市工程建设领域招标投标信用管理暂行办法》规定的黑名单且在记分有效期内；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公司拟派的项目经理中选后只能在本项目任职，签订合同时拟派的项目经理必须与比选申请文件中的项目经理一致，并满足办理施工许可手续的相关要求。不能按承诺到岗履约的，按合同相关条款处罚并上报行政主管部门，给比选申请人造成损失的，我公司依法承担违约赔偿责任。</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拟派的项目经理未被我市住房和城乡建设主管部门暂停在渝承揽新业务，若被暂停且参加投标的投标将被否决；已取得中选候选人资格或中选资格的，比选申请人有权取消其中选候选人资格或中选资格；给比选申请人造成损失的，我公司依法承担违约赔偿责任。</w:t>
      </w:r>
    </w:p>
    <w:p>
      <w:pPr>
        <w:numPr>
          <w:ilvl w:val="0"/>
          <w:numId w:val="20"/>
        </w:num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我公司若中选，在签订合同之前，将按照建设行政主管部门的要求组建施工项目部，</w:t>
      </w:r>
      <w:r>
        <w:rPr>
          <w:rFonts w:hint="eastAsia" w:ascii="宋体" w:hAnsi="宋体" w:cs="宋体"/>
          <w:color w:val="auto"/>
          <w:highlight w:val="none"/>
        </w:rPr>
        <w:t>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比选申请人依法承担违约赔偿责任。</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我公司在资格审查部分中提供的相关证明材料真实有效，不存在弄虚作假情形。比选申请人在合同签订前均有权对我司提供的资料（如业绩截图信息等相关证明材料）进行核实，若发现弄虚作假，取消中选资格，并按相关法律法规报招标投标监督部门处理，投标保证金不予退还，我司自愿承担因此造成的相关责任并赔偿相应损失。</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5、我公司的比选申请文件符合第四章 合同条款及格式规定，比选申请文件中没有比选申请人不能接受的条件。</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6、我公司的比选申请文件符合第七章 技术标准和要求（如有）。</w:t>
      </w:r>
    </w:p>
    <w:bookmarkEnd w:id="1368"/>
    <w:bookmarkEnd w:id="1369"/>
    <w:p>
      <w:pPr>
        <w:tabs>
          <w:tab w:val="left" w:pos="4200"/>
          <w:tab w:val="left" w:pos="4620"/>
        </w:tabs>
        <w:autoSpaceDE w:val="0"/>
        <w:autoSpaceDN w:val="0"/>
        <w:adjustRightInd w:val="0"/>
        <w:snapToGrid w:val="0"/>
        <w:spacing w:line="440" w:lineRule="exact"/>
        <w:jc w:val="left"/>
        <w:rPr>
          <w:rFonts w:ascii="宋体" w:hAnsi="宋体" w:cs="宋体"/>
          <w:color w:val="auto"/>
          <w:kern w:val="0"/>
          <w:szCs w:val="21"/>
          <w:highlight w:val="none"/>
        </w:rPr>
      </w:pPr>
    </w:p>
    <w:p>
      <w:pPr>
        <w:tabs>
          <w:tab w:val="left" w:pos="4200"/>
          <w:tab w:val="left" w:pos="4620"/>
        </w:tabs>
        <w:autoSpaceDE w:val="0"/>
        <w:autoSpaceDN w:val="0"/>
        <w:adjustRightInd w:val="0"/>
        <w:snapToGri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盖单位法人章</w:t>
      </w:r>
      <w:r>
        <w:rPr>
          <w:rFonts w:hint="eastAsia" w:ascii="宋体" w:hAnsi="宋体" w:cs="宋体"/>
          <w:color w:val="auto"/>
          <w:kern w:val="0"/>
          <w:szCs w:val="21"/>
          <w:highlight w:val="none"/>
        </w:rPr>
        <w:t>）</w:t>
      </w:r>
    </w:p>
    <w:p>
      <w:pPr>
        <w:tabs>
          <w:tab w:val="left" w:pos="6300"/>
        </w:tabs>
        <w:autoSpaceDE w:val="0"/>
        <w:autoSpaceDN w:val="0"/>
        <w:adjustRightInd w:val="0"/>
        <w:snapToGri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（签名或盖章）</w:t>
      </w:r>
    </w:p>
    <w:p>
      <w:pPr>
        <w:tabs>
          <w:tab w:val="left" w:pos="6300"/>
        </w:tabs>
        <w:autoSpaceDE w:val="0"/>
        <w:autoSpaceDN w:val="0"/>
        <w:adjustRightInd w:val="0"/>
        <w:snapToGrid w:val="0"/>
        <w:spacing w:line="440" w:lineRule="exact"/>
        <w:ind w:firstLine="420" w:firstLineChars="200"/>
        <w:jc w:val="left"/>
        <w:rPr>
          <w:rFonts w:ascii="宋体" w:hAnsi="宋体" w:cs="宋体"/>
          <w:color w:val="auto"/>
          <w:kern w:val="0"/>
          <w:szCs w:val="21"/>
          <w:highlight w:val="none"/>
        </w:rPr>
      </w:pPr>
    </w:p>
    <w:p>
      <w:pPr>
        <w:tabs>
          <w:tab w:val="left" w:pos="6300"/>
        </w:tabs>
        <w:autoSpaceDE w:val="0"/>
        <w:autoSpaceDN w:val="0"/>
        <w:adjustRightInd w:val="0"/>
        <w:snapToGrid w:val="0"/>
        <w:spacing w:line="440" w:lineRule="exact"/>
        <w:ind w:firstLine="420" w:firstLineChars="200"/>
        <w:jc w:val="right"/>
        <w:rPr>
          <w:rFonts w:ascii="宋体" w:hAnsi="宋体" w:cs="宋体"/>
          <w:color w:val="auto"/>
          <w:sz w:val="28"/>
          <w:highlight w:val="none"/>
        </w:rPr>
        <w:sectPr>
          <w:pgSz w:w="11906" w:h="16838"/>
          <w:pgMar w:top="851" w:right="1247" w:bottom="993" w:left="1247" w:header="851" w:footer="992" w:gutter="0"/>
          <w:pgNumType w:fmt="numberInDash"/>
          <w:cols w:space="720" w:num="1"/>
          <w:docGrid w:type="lines" w:linePitch="312" w:charSpace="0"/>
        </w:sect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日</w:t>
      </w:r>
    </w:p>
    <w:p>
      <w:pPr>
        <w:tabs>
          <w:tab w:val="left" w:pos="6300"/>
        </w:tabs>
        <w:snapToGrid w:val="0"/>
        <w:spacing w:line="500" w:lineRule="exact"/>
        <w:jc w:val="center"/>
        <w:rPr>
          <w:rFonts w:ascii="宋体" w:hAnsi="宋体" w:cs="宋体"/>
          <w:color w:val="auto"/>
          <w:sz w:val="28"/>
          <w:highlight w:val="none"/>
        </w:rPr>
      </w:pPr>
      <w:r>
        <w:rPr>
          <w:rFonts w:hint="eastAsia" w:ascii="宋体" w:hAnsi="宋体" w:cs="宋体"/>
          <w:color w:val="auto"/>
          <w:sz w:val="28"/>
          <w:highlight w:val="none"/>
        </w:rPr>
        <w:t>（五）其他资料</w:t>
      </w:r>
      <w:bookmarkEnd w:id="1370"/>
    </w:p>
    <w:p>
      <w:pPr>
        <w:tabs>
          <w:tab w:val="left" w:pos="6300"/>
        </w:tabs>
        <w:snapToGrid w:val="0"/>
        <w:spacing w:line="500" w:lineRule="exact"/>
        <w:jc w:val="center"/>
        <w:rPr>
          <w:rFonts w:ascii="宋体" w:hAnsi="宋体" w:cs="宋体"/>
          <w:color w:val="auto"/>
          <w:sz w:val="28"/>
          <w:highlight w:val="none"/>
        </w:rPr>
      </w:pPr>
    </w:p>
    <w:p>
      <w:pPr>
        <w:pStyle w:val="5"/>
        <w:spacing w:before="0"/>
        <w:jc w:val="center"/>
        <w:rPr>
          <w:rFonts w:ascii="宋体" w:hAnsi="宋体" w:eastAsia="宋体" w:cs="宋体"/>
          <w:b w:val="0"/>
          <w:color w:val="auto"/>
          <w:kern w:val="2"/>
          <w:sz w:val="28"/>
          <w:highlight w:val="none"/>
        </w:rPr>
      </w:pPr>
    </w:p>
    <w:p>
      <w:pPr>
        <w:rPr>
          <w:rFonts w:hint="eastAsia" w:ascii="宋体" w:hAnsi="宋体" w:eastAsia="宋体" w:cs="宋体"/>
          <w:b w:val="0"/>
          <w:color w:val="auto"/>
          <w:sz w:val="44"/>
          <w:szCs w:val="44"/>
          <w:highlight w:val="none"/>
        </w:rPr>
      </w:pPr>
      <w:r>
        <w:rPr>
          <w:rFonts w:hint="eastAsia" w:ascii="宋体" w:hAnsi="宋体" w:eastAsia="宋体" w:cs="宋体"/>
          <w:b w:val="0"/>
          <w:color w:val="auto"/>
          <w:sz w:val="44"/>
          <w:szCs w:val="44"/>
          <w:highlight w:val="none"/>
        </w:rPr>
        <w:br w:type="page"/>
      </w:r>
    </w:p>
    <w:p>
      <w:pPr>
        <w:pStyle w:val="4"/>
        <w:jc w:val="center"/>
        <w:rPr>
          <w:rFonts w:ascii="宋体" w:hAnsi="宋体" w:eastAsia="宋体" w:cs="宋体"/>
          <w:b w:val="0"/>
          <w:color w:val="auto"/>
          <w:sz w:val="44"/>
          <w:szCs w:val="44"/>
          <w:highlight w:val="none"/>
        </w:rPr>
      </w:pPr>
      <w:r>
        <w:rPr>
          <w:rFonts w:hint="eastAsia" w:ascii="宋体" w:hAnsi="宋体" w:eastAsia="宋体" w:cs="宋体"/>
          <w:b w:val="0"/>
          <w:color w:val="auto"/>
          <w:sz w:val="44"/>
          <w:szCs w:val="44"/>
          <w:highlight w:val="none"/>
        </w:rPr>
        <w:t>三、技术部分</w:t>
      </w:r>
    </w:p>
    <w:p>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i/>
          <w:iCs/>
          <w:color w:val="auto"/>
          <w:kern w:val="0"/>
          <w:szCs w:val="21"/>
          <w:highlight w:val="none"/>
        </w:rPr>
        <w:t xml:space="preserve"> </w:t>
      </w:r>
      <w:r>
        <w:rPr>
          <w:rFonts w:hint="eastAsia" w:ascii="宋体" w:hAnsi="宋体" w:cs="宋体"/>
          <w:color w:val="auto"/>
          <w:highlight w:val="none"/>
        </w:rPr>
        <w:br w:type="page"/>
      </w:r>
    </w:p>
    <w:p>
      <w:pPr>
        <w:autoSpaceDE w:val="0"/>
        <w:autoSpaceDN w:val="0"/>
        <w:adjustRightInd w:val="0"/>
        <w:snapToGrid w:val="0"/>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6"/>
          <w:szCs w:val="36"/>
          <w:highlight w:val="none"/>
        </w:rPr>
        <w:t>目  录</w:t>
      </w:r>
    </w:p>
    <w:p>
      <w:pPr>
        <w:autoSpaceDE w:val="0"/>
        <w:autoSpaceDN w:val="0"/>
        <w:adjustRightInd w:val="0"/>
        <w:snapToGrid w:val="0"/>
        <w:spacing w:line="360" w:lineRule="auto"/>
        <w:jc w:val="left"/>
        <w:rPr>
          <w:rFonts w:ascii="宋体" w:hAnsi="宋体" w:cs="宋体"/>
          <w:b/>
          <w:bCs/>
          <w:color w:val="auto"/>
          <w:kern w:val="0"/>
          <w:sz w:val="32"/>
          <w:szCs w:val="32"/>
          <w:highlight w:val="none"/>
        </w:rPr>
      </w:pPr>
    </w:p>
    <w:p>
      <w:pPr>
        <w:autoSpaceDE w:val="0"/>
        <w:autoSpaceDN w:val="0"/>
        <w:adjustRightInd w:val="0"/>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[提示：目录由比选申请人自行编制]</w:t>
      </w:r>
    </w:p>
    <w:p>
      <w:pPr>
        <w:autoSpaceDE w:val="0"/>
        <w:autoSpaceDN w:val="0"/>
        <w:adjustRightInd w:val="0"/>
        <w:snapToGrid w:val="0"/>
        <w:spacing w:line="360" w:lineRule="auto"/>
        <w:jc w:val="center"/>
        <w:rPr>
          <w:rFonts w:ascii="宋体" w:hAnsi="宋体" w:cs="宋体"/>
          <w:color w:val="auto"/>
          <w:w w:val="99"/>
          <w:kern w:val="0"/>
          <w:sz w:val="28"/>
          <w:szCs w:val="28"/>
          <w:highlight w:val="none"/>
        </w:rPr>
      </w:pPr>
    </w:p>
    <w:p>
      <w:pPr>
        <w:pStyle w:val="4"/>
        <w:rPr>
          <w:rFonts w:ascii="宋体" w:hAnsi="宋体" w:eastAsia="宋体" w:cs="宋体"/>
          <w:color w:val="auto"/>
          <w:sz w:val="32"/>
          <w:szCs w:val="32"/>
          <w:highlight w:val="none"/>
        </w:rPr>
      </w:pPr>
    </w:p>
    <w:sectPr>
      <w:pgSz w:w="11906" w:h="16838"/>
      <w:pgMar w:top="851" w:right="1247" w:bottom="993"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_x000B__x000C_">
    <w:altName w:val="汉仪新人文宋简"/>
    <w:panose1 w:val="00000000000000000000"/>
    <w:charset w:val="00"/>
    <w:family w:val="roman"/>
    <w:pitch w:val="default"/>
    <w:sig w:usb0="00000000" w:usb1="00000000" w:usb2="00000000"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PMingLiU">
    <w:altName w:val="Droid Sans Fallback"/>
    <w:panose1 w:val="02020500000000000000"/>
    <w:charset w:val="88"/>
    <w:family w:val="roman"/>
    <w:pitch w:val="default"/>
    <w:sig w:usb0="00000000" w:usb1="00000000" w:usb2="00000016" w:usb3="00000000" w:csb0="00100001" w:csb1="00000000"/>
  </w:font>
  <w:font w:name="Arial Narrow">
    <w:altName w:val="Nimbus Roman No9 L"/>
    <w:panose1 w:val="020B0606020202030204"/>
    <w:charset w:val="00"/>
    <w:family w:val="swiss"/>
    <w:pitch w:val="default"/>
    <w:sig w:usb0="00000000" w:usb1="00000000" w:usb2="00000000" w:usb3="00000000" w:csb0="2000009F" w:csb1="DFD70000"/>
  </w:font>
  <w:font w:name="方正书宋简体">
    <w:altName w:val="方正书宋_GBK"/>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昆仑楷体">
    <w:altName w:val="方正楷体_GBK"/>
    <w:panose1 w:val="00000000000000000000"/>
    <w:charset w:val="86"/>
    <w:family w:val="modern"/>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文鼎粗黑">
    <w:altName w:val="方正黑体_GBK"/>
    <w:panose1 w:val="00000000000000000000"/>
    <w:charset w:val="86"/>
    <w:family w:val="modern"/>
    <w:pitch w:val="default"/>
    <w:sig w:usb0="00000000" w:usb1="00000000" w:usb2="0000001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MingLiU">
    <w:altName w:val="方正书宋_GBK"/>
    <w:panose1 w:val="02010609000101010101"/>
    <w:charset w:val="88"/>
    <w:family w:val="modern"/>
    <w:pitch w:val="default"/>
    <w:sig w:usb0="00000000" w:usb1="00000000" w:usb2="00000016" w:usb3="00000000" w:csb0="00100001" w:csb1="00000000"/>
  </w:font>
  <w:font w:name="ˎ̥">
    <w:altName w:val="汉仪新人文宋简"/>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9"/>
      </w:rPr>
    </w:pPr>
    <w:r>
      <w:fldChar w:fldCharType="begin"/>
    </w:r>
    <w:r>
      <w:rPr>
        <w:rStyle w:val="69"/>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5671" w:y="79"/>
      <w:rPr>
        <w:rStyle w:val="69"/>
        <w:rFonts w:ascii="宋体" w:hAnsi="宋体"/>
      </w:rPr>
    </w:pPr>
    <w:r>
      <w:rPr>
        <w:rFonts w:ascii="宋体" w:hAnsi="宋体"/>
      </w:rPr>
      <w:fldChar w:fldCharType="begin"/>
    </w:r>
    <w:r>
      <w:rPr>
        <w:rStyle w:val="69"/>
        <w:rFonts w:ascii="宋体" w:hAnsi="宋体"/>
      </w:rPr>
      <w:instrText xml:space="preserve">PAGE  </w:instrText>
    </w:r>
    <w:r>
      <w:rPr>
        <w:rFonts w:ascii="宋体" w:hAnsi="宋体"/>
      </w:rPr>
      <w:fldChar w:fldCharType="separate"/>
    </w:r>
    <w:r>
      <w:rPr>
        <w:rStyle w:val="69"/>
        <w:rFonts w:ascii="宋体" w:hAnsi="宋体"/>
      </w:rPr>
      <w:t>- 16 -</w:t>
    </w:r>
    <w:r>
      <w:rPr>
        <w:rFonts w:ascii="宋体" w:hAnsi="宋体"/>
      </w:rPr>
      <w:fldChar w:fldCharType="end"/>
    </w:r>
  </w:p>
  <w:p>
    <w:pPr>
      <w:pStyle w:val="40"/>
      <w:ind w:right="360"/>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0"/>
                          </w:pPr>
                          <w:r>
                            <w:fldChar w:fldCharType="begin"/>
                          </w:r>
                          <w:r>
                            <w:instrText xml:space="preserve"> PAGE  \* MERGEFORMAT </w:instrText>
                          </w:r>
                          <w:r>
                            <w:fldChar w:fldCharType="separate"/>
                          </w:r>
                          <w:r>
                            <w:t>- 17 -</w:t>
                          </w:r>
                          <w:r>
                            <w:fldChar w:fldCharType="end"/>
                          </w:r>
                        </w:p>
                      </w:txbxContent>
                    </wps:txbx>
                    <wps:bodyPr wrap="none" lIns="0" tIns="0" rIns="0" bIns="0">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XW5UtAAAAAFAQAADwAAAAAAAAABACAAAAA4AAAAZHJzL2Rvd25yZXYueG1sUEsBAhQAFAAA&#10;AAgAh07iQEPx9aaoAQAARgMAAA4AAAAAAAAAAQAgAAAANQEAAGRycy9lMm9Eb2MueG1sUEsFBgAA&#10;AAAGAAYAWQEAAE8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- 17 -</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7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0"/>
                          </w:pPr>
                          <w:r>
                            <w:fldChar w:fldCharType="begin"/>
                          </w:r>
                          <w:r>
                            <w:instrText xml:space="preserve"> PAGE  \* MERGEFORMAT </w:instrText>
                          </w:r>
                          <w:r>
                            <w:fldChar w:fldCharType="separate"/>
                          </w:r>
                          <w:r>
                            <w:t>- 17 -</w:t>
                          </w:r>
                          <w:r>
                            <w:fldChar w:fldCharType="end"/>
                          </w:r>
                        </w:p>
                      </w:txbxContent>
                    </wps:txbx>
                    <wps:bodyPr wrap="none" lIns="0" tIns="0" rIns="0" bIns="0">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5dblS0AAAAAUBAAAPAAAAAAAAAAEAIAAAADgAAABkcnMvZG93bnJldi54bWxQSwEC&#10;FAAUAAAACACHTuJAUSh7VK0BAABJAwAADgAAAAAAAAABACAAAAA1AQAAZHJzL2Uyb0RvYy54bWxQ&#10;SwUGAAAAAAYABgBZAQAAVA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- 17 -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8A7E9"/>
    <w:multiLevelType w:val="singleLevel"/>
    <w:tmpl w:val="CAB8A7E9"/>
    <w:lvl w:ilvl="0" w:tentative="0">
      <w:start w:val="1"/>
      <w:numFmt w:val="decimal"/>
      <w:suff w:val="nothing"/>
      <w:lvlText w:val="%1、"/>
      <w:lvlJc w:val="left"/>
    </w:lvl>
  </w:abstractNum>
  <w:abstractNum w:abstractNumId="1">
    <w:nsid w:val="FC54F77E"/>
    <w:multiLevelType w:val="singleLevel"/>
    <w:tmpl w:val="FC54F77E"/>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japaneseCounting"/>
      <w:pStyle w:val="222"/>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
    <w:nsid w:val="00000003"/>
    <w:multiLevelType w:val="multilevel"/>
    <w:tmpl w:val="00000003"/>
    <w:lvl w:ilvl="0" w:tentative="0">
      <w:start w:val="2"/>
      <w:numFmt w:val="japaneseCounting"/>
      <w:lvlText w:val="第%1章"/>
      <w:lvlJc w:val="left"/>
      <w:pPr>
        <w:tabs>
          <w:tab w:val="left" w:pos="1335"/>
        </w:tabs>
        <w:ind w:left="1335" w:hanging="1440"/>
      </w:pPr>
      <w:rPr>
        <w:rFonts w:hint="default"/>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5">
    <w:nsid w:val="00000005"/>
    <w:multiLevelType w:val="singleLevel"/>
    <w:tmpl w:val="00000005"/>
    <w:lvl w:ilvl="0" w:tentative="0">
      <w:start w:val="1"/>
      <w:numFmt w:val="bullet"/>
      <w:pStyle w:val="251"/>
      <w:lvlText w:val=""/>
      <w:lvlJc w:val="left"/>
      <w:pPr>
        <w:tabs>
          <w:tab w:val="left" w:pos="360"/>
        </w:tabs>
        <w:ind w:left="360" w:hanging="360"/>
      </w:pPr>
      <w:rPr>
        <w:rFonts w:hint="default" w:ascii="Wingdings" w:hAnsi="Wingdings"/>
      </w:rPr>
    </w:lvl>
  </w:abstractNum>
  <w:abstractNum w:abstractNumId="6">
    <w:nsid w:val="00000006"/>
    <w:multiLevelType w:val="multilevel"/>
    <w:tmpl w:val="00000006"/>
    <w:lvl w:ilvl="0" w:tentative="0">
      <w:start w:val="1"/>
      <w:numFmt w:val="bullet"/>
      <w:pStyle w:val="20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7"/>
    <w:multiLevelType w:val="multilevel"/>
    <w:tmpl w:val="00000007"/>
    <w:lvl w:ilvl="0" w:tentative="0">
      <w:start w:val="1"/>
      <w:numFmt w:val="decimal"/>
      <w:pStyle w:val="22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10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singleLevel"/>
    <w:tmpl w:val="00000008"/>
    <w:lvl w:ilvl="0" w:tentative="0">
      <w:start w:val="1"/>
      <w:numFmt w:val="bullet"/>
      <w:pStyle w:val="185"/>
      <w:lvlText w:val=""/>
      <w:lvlJc w:val="left"/>
      <w:pPr>
        <w:tabs>
          <w:tab w:val="left" w:pos="1620"/>
        </w:tabs>
        <w:ind w:left="1620" w:hanging="360"/>
      </w:pPr>
      <w:rPr>
        <w:rFonts w:hint="default" w:ascii="Wingdings" w:hAnsi="Wingdings"/>
      </w:rPr>
    </w:lvl>
  </w:abstractNum>
  <w:abstractNum w:abstractNumId="9">
    <w:nsid w:val="00000009"/>
    <w:multiLevelType w:val="singleLevel"/>
    <w:tmpl w:val="00000009"/>
    <w:lvl w:ilvl="0" w:tentative="0">
      <w:start w:val="1"/>
      <w:numFmt w:val="decimal"/>
      <w:pStyle w:val="129"/>
      <w:lvlText w:val="%1."/>
      <w:lvlJc w:val="left"/>
      <w:pPr>
        <w:tabs>
          <w:tab w:val="left" w:pos="425"/>
        </w:tabs>
        <w:ind w:left="425" w:hanging="425"/>
      </w:pPr>
      <w:rPr>
        <w:rFonts w:hint="default"/>
      </w:rPr>
    </w:lvl>
  </w:abstractNum>
  <w:abstractNum w:abstractNumId="10">
    <w:nsid w:val="0000000A"/>
    <w:multiLevelType w:val="singleLevel"/>
    <w:tmpl w:val="0000000A"/>
    <w:lvl w:ilvl="0" w:tentative="0">
      <w:start w:val="1"/>
      <w:numFmt w:val="bullet"/>
      <w:pStyle w:val="82"/>
      <w:lvlText w:val=""/>
      <w:lvlJc w:val="left"/>
      <w:pPr>
        <w:tabs>
          <w:tab w:val="left" w:pos="780"/>
        </w:tabs>
        <w:ind w:left="780" w:hanging="360"/>
      </w:pPr>
      <w:rPr>
        <w:rFonts w:hint="default" w:ascii="Wingdings" w:hAnsi="Wingdings"/>
      </w:rPr>
    </w:lvl>
  </w:abstractNum>
  <w:abstractNum w:abstractNumId="11">
    <w:nsid w:val="0000000B"/>
    <w:multiLevelType w:val="singleLevel"/>
    <w:tmpl w:val="0000000B"/>
    <w:lvl w:ilvl="0" w:tentative="0">
      <w:start w:val="1"/>
      <w:numFmt w:val="decimal"/>
      <w:pStyle w:val="225"/>
      <w:lvlText w:val="%1)"/>
      <w:lvlJc w:val="left"/>
      <w:pPr>
        <w:tabs>
          <w:tab w:val="left" w:pos="425"/>
        </w:tabs>
        <w:ind w:left="425" w:hanging="425"/>
      </w:pPr>
      <w:rPr>
        <w:rFonts w:hint="eastAsia"/>
      </w:rPr>
    </w:lvl>
  </w:abstractNum>
  <w:abstractNum w:abstractNumId="12">
    <w:nsid w:val="0000000C"/>
    <w:multiLevelType w:val="singleLevel"/>
    <w:tmpl w:val="0000000C"/>
    <w:lvl w:ilvl="0" w:tentative="0">
      <w:start w:val="1"/>
      <w:numFmt w:val="decimal"/>
      <w:pStyle w:val="14"/>
      <w:suff w:val="nothing"/>
      <w:lvlText w:val="%1、"/>
      <w:lvlJc w:val="left"/>
    </w:lvl>
  </w:abstractNum>
  <w:abstractNum w:abstractNumId="13">
    <w:nsid w:val="0000000D"/>
    <w:multiLevelType w:val="singleLevel"/>
    <w:tmpl w:val="0000000D"/>
    <w:lvl w:ilvl="0" w:tentative="0">
      <w:start w:val="1"/>
      <w:numFmt w:val="chineseCounting"/>
      <w:suff w:val="nothing"/>
      <w:lvlText w:val="（%1）"/>
      <w:lvlJc w:val="left"/>
      <w:rPr>
        <w:rFonts w:hint="eastAsia"/>
      </w:rPr>
    </w:lvl>
  </w:abstractNum>
  <w:abstractNum w:abstractNumId="14">
    <w:nsid w:val="0053208E"/>
    <w:multiLevelType w:val="singleLevel"/>
    <w:tmpl w:val="0053208E"/>
    <w:lvl w:ilvl="0" w:tentative="0">
      <w:start w:val="2"/>
      <w:numFmt w:val="chineseCounting"/>
      <w:suff w:val="nothing"/>
      <w:lvlText w:val="（%1）"/>
      <w:lvlJc w:val="left"/>
      <w:rPr>
        <w:rFonts w:hint="eastAsia"/>
      </w:rPr>
    </w:lvl>
  </w:abstractNum>
  <w:abstractNum w:abstractNumId="15">
    <w:nsid w:val="2E871F53"/>
    <w:multiLevelType w:val="multilevel"/>
    <w:tmpl w:val="2E871F53"/>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6">
    <w:nsid w:val="3386D2E6"/>
    <w:multiLevelType w:val="singleLevel"/>
    <w:tmpl w:val="3386D2E6"/>
    <w:lvl w:ilvl="0" w:tentative="0">
      <w:start w:val="2"/>
      <w:numFmt w:val="decimal"/>
      <w:suff w:val="space"/>
      <w:lvlText w:val="%1."/>
      <w:lvlJc w:val="left"/>
    </w:lvl>
  </w:abstractNum>
  <w:abstractNum w:abstractNumId="17">
    <w:nsid w:val="3BF22C8D"/>
    <w:multiLevelType w:val="singleLevel"/>
    <w:tmpl w:val="3BF22C8D"/>
    <w:lvl w:ilvl="0" w:tentative="0">
      <w:start w:val="1"/>
      <w:numFmt w:val="decimal"/>
      <w:lvlText w:val="%1."/>
      <w:lvlJc w:val="left"/>
      <w:pPr>
        <w:tabs>
          <w:tab w:val="left" w:pos="312"/>
        </w:tabs>
      </w:pPr>
    </w:lvl>
  </w:abstractNum>
  <w:abstractNum w:abstractNumId="18">
    <w:nsid w:val="5F471D00"/>
    <w:multiLevelType w:val="singleLevel"/>
    <w:tmpl w:val="5F471D00"/>
    <w:lvl w:ilvl="0" w:tentative="0">
      <w:start w:val="3"/>
      <w:numFmt w:val="decimal"/>
      <w:suff w:val="nothing"/>
      <w:lvlText w:val="%1、"/>
      <w:lvlJc w:val="left"/>
    </w:lvl>
  </w:abstractNum>
  <w:abstractNum w:abstractNumId="19">
    <w:nsid w:val="61027DAC"/>
    <w:multiLevelType w:val="singleLevel"/>
    <w:tmpl w:val="61027DAC"/>
    <w:lvl w:ilvl="0" w:tentative="0">
      <w:start w:val="1"/>
      <w:numFmt w:val="chineseCounting"/>
      <w:suff w:val="nothing"/>
      <w:lvlText w:val="%1、"/>
      <w:lvlJc w:val="left"/>
    </w:lvl>
  </w:abstractNum>
  <w:num w:numId="1">
    <w:abstractNumId w:val="12"/>
  </w:num>
  <w:num w:numId="2">
    <w:abstractNumId w:val="10"/>
  </w:num>
  <w:num w:numId="3">
    <w:abstractNumId w:val="7"/>
  </w:num>
  <w:num w:numId="4">
    <w:abstractNumId w:val="9"/>
  </w:num>
  <w:num w:numId="5">
    <w:abstractNumId w:val="8"/>
  </w:num>
  <w:num w:numId="6">
    <w:abstractNumId w:val="6"/>
  </w:num>
  <w:num w:numId="7">
    <w:abstractNumId w:val="3"/>
  </w:num>
  <w:num w:numId="8">
    <w:abstractNumId w:val="11"/>
  </w:num>
  <w:num w:numId="9">
    <w:abstractNumId w:val="5"/>
  </w:num>
  <w:num w:numId="10">
    <w:abstractNumId w:val="4"/>
  </w:num>
  <w:num w:numId="11">
    <w:abstractNumId w:val="15"/>
  </w:num>
  <w:num w:numId="12">
    <w:abstractNumId w:val="2"/>
  </w:num>
  <w:num w:numId="13">
    <w:abstractNumId w:val="0"/>
  </w:num>
  <w:num w:numId="14">
    <w:abstractNumId w:val="16"/>
  </w:num>
  <w:num w:numId="15">
    <w:abstractNumId w:val="17"/>
  </w:num>
  <w:num w:numId="16">
    <w:abstractNumId w:val="1"/>
  </w:num>
  <w:num w:numId="17">
    <w:abstractNumId w:val="19"/>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OTM4M2MyNWRmNGZjZmM1NDQ1YzhhNTM4NTI3NjQifQ=="/>
  </w:docVars>
  <w:rsids>
    <w:rsidRoot w:val="00D50D07"/>
    <w:rsid w:val="000E74FF"/>
    <w:rsid w:val="00127288"/>
    <w:rsid w:val="0015262A"/>
    <w:rsid w:val="001D1C81"/>
    <w:rsid w:val="00201C79"/>
    <w:rsid w:val="002820B8"/>
    <w:rsid w:val="00295E10"/>
    <w:rsid w:val="002D65EB"/>
    <w:rsid w:val="00317170"/>
    <w:rsid w:val="00330861"/>
    <w:rsid w:val="003A4DB8"/>
    <w:rsid w:val="00407932"/>
    <w:rsid w:val="00431EDB"/>
    <w:rsid w:val="004360FF"/>
    <w:rsid w:val="00511739"/>
    <w:rsid w:val="00524881"/>
    <w:rsid w:val="00563BA9"/>
    <w:rsid w:val="005F7110"/>
    <w:rsid w:val="005F7EC7"/>
    <w:rsid w:val="00601F48"/>
    <w:rsid w:val="0060770C"/>
    <w:rsid w:val="006A7AE5"/>
    <w:rsid w:val="006C56EB"/>
    <w:rsid w:val="00720FD0"/>
    <w:rsid w:val="007D5F66"/>
    <w:rsid w:val="00834659"/>
    <w:rsid w:val="009D22B1"/>
    <w:rsid w:val="00AD4DA4"/>
    <w:rsid w:val="00BA107A"/>
    <w:rsid w:val="00BC3F30"/>
    <w:rsid w:val="00C05FDF"/>
    <w:rsid w:val="00D50D07"/>
    <w:rsid w:val="00DD633F"/>
    <w:rsid w:val="00EA058C"/>
    <w:rsid w:val="00EE5F70"/>
    <w:rsid w:val="00F34A6F"/>
    <w:rsid w:val="00F87A1C"/>
    <w:rsid w:val="00FA5906"/>
    <w:rsid w:val="011D30A0"/>
    <w:rsid w:val="01683B4D"/>
    <w:rsid w:val="016B304B"/>
    <w:rsid w:val="016D4BF1"/>
    <w:rsid w:val="01761E20"/>
    <w:rsid w:val="01AA76F3"/>
    <w:rsid w:val="01D45666"/>
    <w:rsid w:val="01DA7ABB"/>
    <w:rsid w:val="01E914D1"/>
    <w:rsid w:val="020E3E06"/>
    <w:rsid w:val="02151279"/>
    <w:rsid w:val="022174EF"/>
    <w:rsid w:val="02225C09"/>
    <w:rsid w:val="02237B4A"/>
    <w:rsid w:val="022950E4"/>
    <w:rsid w:val="022973BC"/>
    <w:rsid w:val="02344013"/>
    <w:rsid w:val="025F0CD5"/>
    <w:rsid w:val="02692158"/>
    <w:rsid w:val="026954E1"/>
    <w:rsid w:val="02742E06"/>
    <w:rsid w:val="02783976"/>
    <w:rsid w:val="027E08A2"/>
    <w:rsid w:val="028D606D"/>
    <w:rsid w:val="029D03AF"/>
    <w:rsid w:val="02A55A19"/>
    <w:rsid w:val="030976AA"/>
    <w:rsid w:val="031F0DA9"/>
    <w:rsid w:val="03224ADE"/>
    <w:rsid w:val="03463A74"/>
    <w:rsid w:val="036F4D79"/>
    <w:rsid w:val="037E60C3"/>
    <w:rsid w:val="03B827B6"/>
    <w:rsid w:val="03B920E2"/>
    <w:rsid w:val="03C055D4"/>
    <w:rsid w:val="03C520CE"/>
    <w:rsid w:val="03D70129"/>
    <w:rsid w:val="03FA0A2F"/>
    <w:rsid w:val="040E17B8"/>
    <w:rsid w:val="041B71EF"/>
    <w:rsid w:val="044037DB"/>
    <w:rsid w:val="046E6839"/>
    <w:rsid w:val="04A9250C"/>
    <w:rsid w:val="04B30C95"/>
    <w:rsid w:val="04B327A2"/>
    <w:rsid w:val="04CA2EB8"/>
    <w:rsid w:val="04D3624D"/>
    <w:rsid w:val="04DF1A8A"/>
    <w:rsid w:val="0526590B"/>
    <w:rsid w:val="054203D0"/>
    <w:rsid w:val="056D7096"/>
    <w:rsid w:val="05781604"/>
    <w:rsid w:val="057C6D6E"/>
    <w:rsid w:val="05AC5838"/>
    <w:rsid w:val="05AF669E"/>
    <w:rsid w:val="05B31D8A"/>
    <w:rsid w:val="05D37841"/>
    <w:rsid w:val="05EC0902"/>
    <w:rsid w:val="05FD48BE"/>
    <w:rsid w:val="061D6D0E"/>
    <w:rsid w:val="06387E1F"/>
    <w:rsid w:val="064C5A77"/>
    <w:rsid w:val="065564A8"/>
    <w:rsid w:val="06810D53"/>
    <w:rsid w:val="069D12EF"/>
    <w:rsid w:val="06AC76BB"/>
    <w:rsid w:val="06CD6A47"/>
    <w:rsid w:val="06F34B4B"/>
    <w:rsid w:val="07205265"/>
    <w:rsid w:val="078046A1"/>
    <w:rsid w:val="078462EF"/>
    <w:rsid w:val="07A046C5"/>
    <w:rsid w:val="07B0287E"/>
    <w:rsid w:val="07CE4C09"/>
    <w:rsid w:val="07E61381"/>
    <w:rsid w:val="08020A14"/>
    <w:rsid w:val="082A37C2"/>
    <w:rsid w:val="08332819"/>
    <w:rsid w:val="08387E2F"/>
    <w:rsid w:val="085F735E"/>
    <w:rsid w:val="086C1887"/>
    <w:rsid w:val="0889068B"/>
    <w:rsid w:val="08951DAD"/>
    <w:rsid w:val="08CE2541"/>
    <w:rsid w:val="08FE2E78"/>
    <w:rsid w:val="090D6430"/>
    <w:rsid w:val="091837BC"/>
    <w:rsid w:val="091A7535"/>
    <w:rsid w:val="092E7593"/>
    <w:rsid w:val="09667239"/>
    <w:rsid w:val="09736C45"/>
    <w:rsid w:val="09C94AB7"/>
    <w:rsid w:val="09E54A69"/>
    <w:rsid w:val="09EC4EE4"/>
    <w:rsid w:val="0A7C087C"/>
    <w:rsid w:val="0A8F265D"/>
    <w:rsid w:val="0A951569"/>
    <w:rsid w:val="0AA15F0F"/>
    <w:rsid w:val="0AA80762"/>
    <w:rsid w:val="0AC736EC"/>
    <w:rsid w:val="0AD57BB7"/>
    <w:rsid w:val="0AFB1B58"/>
    <w:rsid w:val="0B067DEA"/>
    <w:rsid w:val="0B0837EA"/>
    <w:rsid w:val="0B0F3113"/>
    <w:rsid w:val="0B1D330C"/>
    <w:rsid w:val="0B2B6F55"/>
    <w:rsid w:val="0B2E4FE2"/>
    <w:rsid w:val="0B3626D0"/>
    <w:rsid w:val="0B68222E"/>
    <w:rsid w:val="0B7C0DB6"/>
    <w:rsid w:val="0B7D3DAB"/>
    <w:rsid w:val="0C160DAD"/>
    <w:rsid w:val="0C1F2E6E"/>
    <w:rsid w:val="0C210BDA"/>
    <w:rsid w:val="0C2F585E"/>
    <w:rsid w:val="0C381CAA"/>
    <w:rsid w:val="0C581BED"/>
    <w:rsid w:val="0C711B61"/>
    <w:rsid w:val="0C767178"/>
    <w:rsid w:val="0C94770E"/>
    <w:rsid w:val="0CA1581F"/>
    <w:rsid w:val="0CEE7F46"/>
    <w:rsid w:val="0CFE2CC9"/>
    <w:rsid w:val="0CFF4DBB"/>
    <w:rsid w:val="0D181FDD"/>
    <w:rsid w:val="0D4E2DF0"/>
    <w:rsid w:val="0D7977A1"/>
    <w:rsid w:val="0D98626A"/>
    <w:rsid w:val="0DE42F03"/>
    <w:rsid w:val="0DF30354"/>
    <w:rsid w:val="0E6F2662"/>
    <w:rsid w:val="0E9B2EC6"/>
    <w:rsid w:val="0EA53D44"/>
    <w:rsid w:val="0EAC137C"/>
    <w:rsid w:val="0EC60273"/>
    <w:rsid w:val="0EE91E83"/>
    <w:rsid w:val="0F2E7896"/>
    <w:rsid w:val="0F320DCB"/>
    <w:rsid w:val="0F3550C8"/>
    <w:rsid w:val="0F583567"/>
    <w:rsid w:val="0F9D0E6C"/>
    <w:rsid w:val="10020ABC"/>
    <w:rsid w:val="10125409"/>
    <w:rsid w:val="106616B3"/>
    <w:rsid w:val="10744480"/>
    <w:rsid w:val="10A16232"/>
    <w:rsid w:val="10A24BC9"/>
    <w:rsid w:val="10B95885"/>
    <w:rsid w:val="110A68BF"/>
    <w:rsid w:val="111E45BF"/>
    <w:rsid w:val="11227D7F"/>
    <w:rsid w:val="112462EA"/>
    <w:rsid w:val="112662A3"/>
    <w:rsid w:val="1136067D"/>
    <w:rsid w:val="113B1B21"/>
    <w:rsid w:val="11457FEC"/>
    <w:rsid w:val="11C26472"/>
    <w:rsid w:val="11E7145E"/>
    <w:rsid w:val="11E7661B"/>
    <w:rsid w:val="11EB0073"/>
    <w:rsid w:val="121B5333"/>
    <w:rsid w:val="121C256F"/>
    <w:rsid w:val="122A6DE6"/>
    <w:rsid w:val="125A3098"/>
    <w:rsid w:val="126C2F9B"/>
    <w:rsid w:val="12C0739F"/>
    <w:rsid w:val="12D83402"/>
    <w:rsid w:val="12E17C5D"/>
    <w:rsid w:val="12E50BB3"/>
    <w:rsid w:val="13414697"/>
    <w:rsid w:val="139B74C4"/>
    <w:rsid w:val="13BA2040"/>
    <w:rsid w:val="13C92283"/>
    <w:rsid w:val="13CC1624"/>
    <w:rsid w:val="14050C96"/>
    <w:rsid w:val="142D4818"/>
    <w:rsid w:val="145C4EA5"/>
    <w:rsid w:val="146755CB"/>
    <w:rsid w:val="147100FE"/>
    <w:rsid w:val="1475265D"/>
    <w:rsid w:val="147E1A47"/>
    <w:rsid w:val="149B2653"/>
    <w:rsid w:val="149D1F81"/>
    <w:rsid w:val="14B97848"/>
    <w:rsid w:val="14D44498"/>
    <w:rsid w:val="14DD2EAF"/>
    <w:rsid w:val="14DE3B0C"/>
    <w:rsid w:val="14EB2147"/>
    <w:rsid w:val="15095086"/>
    <w:rsid w:val="151D1327"/>
    <w:rsid w:val="156C1118"/>
    <w:rsid w:val="15AD5C75"/>
    <w:rsid w:val="16005405"/>
    <w:rsid w:val="160726BC"/>
    <w:rsid w:val="160D7033"/>
    <w:rsid w:val="161C74D3"/>
    <w:rsid w:val="16347C4E"/>
    <w:rsid w:val="165F1484"/>
    <w:rsid w:val="166E2C6E"/>
    <w:rsid w:val="16861024"/>
    <w:rsid w:val="1686445B"/>
    <w:rsid w:val="168801D3"/>
    <w:rsid w:val="172B1D9B"/>
    <w:rsid w:val="174145C8"/>
    <w:rsid w:val="174539C2"/>
    <w:rsid w:val="174F6690"/>
    <w:rsid w:val="17502FB1"/>
    <w:rsid w:val="17716EB9"/>
    <w:rsid w:val="17887D5F"/>
    <w:rsid w:val="17B543F8"/>
    <w:rsid w:val="17BE7FA7"/>
    <w:rsid w:val="17DB5820"/>
    <w:rsid w:val="17EB65EE"/>
    <w:rsid w:val="17FD693B"/>
    <w:rsid w:val="180C6FCE"/>
    <w:rsid w:val="1816180F"/>
    <w:rsid w:val="18491BE4"/>
    <w:rsid w:val="185A7C04"/>
    <w:rsid w:val="18716A45"/>
    <w:rsid w:val="18AC2C6D"/>
    <w:rsid w:val="18B76B4E"/>
    <w:rsid w:val="18D53478"/>
    <w:rsid w:val="18E8086E"/>
    <w:rsid w:val="19157D18"/>
    <w:rsid w:val="193B1E3D"/>
    <w:rsid w:val="194915BC"/>
    <w:rsid w:val="196F567B"/>
    <w:rsid w:val="197D054A"/>
    <w:rsid w:val="198C1D89"/>
    <w:rsid w:val="19947512"/>
    <w:rsid w:val="19964FCE"/>
    <w:rsid w:val="199A37C9"/>
    <w:rsid w:val="19C05ED6"/>
    <w:rsid w:val="19D454DE"/>
    <w:rsid w:val="19D517E8"/>
    <w:rsid w:val="19D71D79"/>
    <w:rsid w:val="19DC6DF5"/>
    <w:rsid w:val="19F4187C"/>
    <w:rsid w:val="1A0C7662"/>
    <w:rsid w:val="1A143B2C"/>
    <w:rsid w:val="1A1A15E7"/>
    <w:rsid w:val="1AC26025"/>
    <w:rsid w:val="1AC42237"/>
    <w:rsid w:val="1AC92B69"/>
    <w:rsid w:val="1B0F3650"/>
    <w:rsid w:val="1B16428B"/>
    <w:rsid w:val="1B5F2E69"/>
    <w:rsid w:val="1B617245"/>
    <w:rsid w:val="1B670BDB"/>
    <w:rsid w:val="1B976543"/>
    <w:rsid w:val="1BA809D0"/>
    <w:rsid w:val="1BC97744"/>
    <w:rsid w:val="1BCE34D7"/>
    <w:rsid w:val="1BD07368"/>
    <w:rsid w:val="1BD23C9F"/>
    <w:rsid w:val="1BE95E1D"/>
    <w:rsid w:val="1BF9122C"/>
    <w:rsid w:val="1C0E2606"/>
    <w:rsid w:val="1C2E5379"/>
    <w:rsid w:val="1C4F691D"/>
    <w:rsid w:val="1C550715"/>
    <w:rsid w:val="1C897CAF"/>
    <w:rsid w:val="1C9461B4"/>
    <w:rsid w:val="1C9F1DD3"/>
    <w:rsid w:val="1CE71497"/>
    <w:rsid w:val="1D6A2587"/>
    <w:rsid w:val="1DB356EE"/>
    <w:rsid w:val="1DB95116"/>
    <w:rsid w:val="1DCA298D"/>
    <w:rsid w:val="1DD2442A"/>
    <w:rsid w:val="1DE5415D"/>
    <w:rsid w:val="1E0F11DA"/>
    <w:rsid w:val="1E1602B3"/>
    <w:rsid w:val="1E4116C2"/>
    <w:rsid w:val="1E6D10DF"/>
    <w:rsid w:val="1E8279C2"/>
    <w:rsid w:val="1E9139A2"/>
    <w:rsid w:val="1EA00084"/>
    <w:rsid w:val="1F2D40F8"/>
    <w:rsid w:val="1F38206B"/>
    <w:rsid w:val="1F4D6955"/>
    <w:rsid w:val="1F6D7F66"/>
    <w:rsid w:val="1F6E1F30"/>
    <w:rsid w:val="1F817EB6"/>
    <w:rsid w:val="1F9B2376"/>
    <w:rsid w:val="1FB763D7"/>
    <w:rsid w:val="1FD224BF"/>
    <w:rsid w:val="1FD425BF"/>
    <w:rsid w:val="1FF226FC"/>
    <w:rsid w:val="1FF24910"/>
    <w:rsid w:val="20142AD8"/>
    <w:rsid w:val="2020147D"/>
    <w:rsid w:val="20276BFD"/>
    <w:rsid w:val="20564E9E"/>
    <w:rsid w:val="208D28C0"/>
    <w:rsid w:val="20947775"/>
    <w:rsid w:val="209D2ACD"/>
    <w:rsid w:val="20AC4ABE"/>
    <w:rsid w:val="20C22534"/>
    <w:rsid w:val="20C7384D"/>
    <w:rsid w:val="20E45634"/>
    <w:rsid w:val="20EA0003"/>
    <w:rsid w:val="21115269"/>
    <w:rsid w:val="21151A1E"/>
    <w:rsid w:val="21617F9F"/>
    <w:rsid w:val="21661111"/>
    <w:rsid w:val="219F63D1"/>
    <w:rsid w:val="21B52099"/>
    <w:rsid w:val="21DB6E7F"/>
    <w:rsid w:val="21E76DCB"/>
    <w:rsid w:val="21FF0FBD"/>
    <w:rsid w:val="22060B38"/>
    <w:rsid w:val="22300728"/>
    <w:rsid w:val="225849C3"/>
    <w:rsid w:val="2265761B"/>
    <w:rsid w:val="22C4363C"/>
    <w:rsid w:val="22C90971"/>
    <w:rsid w:val="23065F21"/>
    <w:rsid w:val="230706D2"/>
    <w:rsid w:val="23211B1F"/>
    <w:rsid w:val="2330691C"/>
    <w:rsid w:val="2338180F"/>
    <w:rsid w:val="23453FCD"/>
    <w:rsid w:val="235F22BC"/>
    <w:rsid w:val="239F7EA5"/>
    <w:rsid w:val="2430155A"/>
    <w:rsid w:val="244E1F2B"/>
    <w:rsid w:val="24B62445"/>
    <w:rsid w:val="24C85C3F"/>
    <w:rsid w:val="24E61E2D"/>
    <w:rsid w:val="24E72569"/>
    <w:rsid w:val="24F5112A"/>
    <w:rsid w:val="24F84776"/>
    <w:rsid w:val="253D03DB"/>
    <w:rsid w:val="25822292"/>
    <w:rsid w:val="25A246E2"/>
    <w:rsid w:val="25A6550D"/>
    <w:rsid w:val="25F0544D"/>
    <w:rsid w:val="2606045D"/>
    <w:rsid w:val="26126504"/>
    <w:rsid w:val="261C26E6"/>
    <w:rsid w:val="262B5601"/>
    <w:rsid w:val="26413EBD"/>
    <w:rsid w:val="265C680D"/>
    <w:rsid w:val="268A3AF4"/>
    <w:rsid w:val="26950CC8"/>
    <w:rsid w:val="27054F28"/>
    <w:rsid w:val="27084677"/>
    <w:rsid w:val="27616AF6"/>
    <w:rsid w:val="27667ABE"/>
    <w:rsid w:val="27765E26"/>
    <w:rsid w:val="277F1064"/>
    <w:rsid w:val="27B05B28"/>
    <w:rsid w:val="27B87259"/>
    <w:rsid w:val="27C52E06"/>
    <w:rsid w:val="27CD3FDF"/>
    <w:rsid w:val="27DC7471"/>
    <w:rsid w:val="28520495"/>
    <w:rsid w:val="28C91058"/>
    <w:rsid w:val="28E87610"/>
    <w:rsid w:val="291B4ED7"/>
    <w:rsid w:val="292E4C0A"/>
    <w:rsid w:val="29347D47"/>
    <w:rsid w:val="294F2DD3"/>
    <w:rsid w:val="295143AA"/>
    <w:rsid w:val="29804E7F"/>
    <w:rsid w:val="299538B7"/>
    <w:rsid w:val="29B87A5D"/>
    <w:rsid w:val="29CE3CF8"/>
    <w:rsid w:val="29E1696D"/>
    <w:rsid w:val="29FD4CA6"/>
    <w:rsid w:val="2A04596B"/>
    <w:rsid w:val="2A297E68"/>
    <w:rsid w:val="2A56595E"/>
    <w:rsid w:val="2A930A9D"/>
    <w:rsid w:val="2AA1765E"/>
    <w:rsid w:val="2AB94469"/>
    <w:rsid w:val="2ACA1641"/>
    <w:rsid w:val="2ACE1AD5"/>
    <w:rsid w:val="2AD215C5"/>
    <w:rsid w:val="2B2472A1"/>
    <w:rsid w:val="2B29619E"/>
    <w:rsid w:val="2B45448D"/>
    <w:rsid w:val="2B636F8B"/>
    <w:rsid w:val="2B8F74B6"/>
    <w:rsid w:val="2B98280F"/>
    <w:rsid w:val="2BB84C5F"/>
    <w:rsid w:val="2BBE40BA"/>
    <w:rsid w:val="2BD50E06"/>
    <w:rsid w:val="2BDD5AA1"/>
    <w:rsid w:val="2BEE7A10"/>
    <w:rsid w:val="2BF01E43"/>
    <w:rsid w:val="2C0B2FE1"/>
    <w:rsid w:val="2C1D4AC2"/>
    <w:rsid w:val="2C2552D3"/>
    <w:rsid w:val="2C537704"/>
    <w:rsid w:val="2C7620FC"/>
    <w:rsid w:val="2C7D1A05"/>
    <w:rsid w:val="2C8B5ED0"/>
    <w:rsid w:val="2C9F5983"/>
    <w:rsid w:val="2CB73169"/>
    <w:rsid w:val="2CC15D95"/>
    <w:rsid w:val="2CC770CA"/>
    <w:rsid w:val="2CCB0D43"/>
    <w:rsid w:val="2CD45AC9"/>
    <w:rsid w:val="2D050EDB"/>
    <w:rsid w:val="2D1B47AD"/>
    <w:rsid w:val="2D1C4D7A"/>
    <w:rsid w:val="2D404F0C"/>
    <w:rsid w:val="2D412827"/>
    <w:rsid w:val="2D4761C0"/>
    <w:rsid w:val="2D840CDA"/>
    <w:rsid w:val="2DAD15F8"/>
    <w:rsid w:val="2DC25921"/>
    <w:rsid w:val="2DC7659F"/>
    <w:rsid w:val="2DDD6579"/>
    <w:rsid w:val="2DDE6C6A"/>
    <w:rsid w:val="2DE24215"/>
    <w:rsid w:val="2DEA131C"/>
    <w:rsid w:val="2DF81343"/>
    <w:rsid w:val="2DFC06CB"/>
    <w:rsid w:val="2E034A91"/>
    <w:rsid w:val="2E3507E9"/>
    <w:rsid w:val="2E476840"/>
    <w:rsid w:val="2E592451"/>
    <w:rsid w:val="2E6F2713"/>
    <w:rsid w:val="2E7374DE"/>
    <w:rsid w:val="2EAD12DB"/>
    <w:rsid w:val="2EBC574C"/>
    <w:rsid w:val="2EBF4F35"/>
    <w:rsid w:val="2EBF73AF"/>
    <w:rsid w:val="2EF51D26"/>
    <w:rsid w:val="2F104DB2"/>
    <w:rsid w:val="2F19211C"/>
    <w:rsid w:val="2F344A94"/>
    <w:rsid w:val="2F3A598B"/>
    <w:rsid w:val="2F501385"/>
    <w:rsid w:val="2F6539F4"/>
    <w:rsid w:val="2F8D01B1"/>
    <w:rsid w:val="2F91187F"/>
    <w:rsid w:val="2FDE7312"/>
    <w:rsid w:val="2FED113D"/>
    <w:rsid w:val="30007D2A"/>
    <w:rsid w:val="301360FD"/>
    <w:rsid w:val="301521C3"/>
    <w:rsid w:val="301D32E3"/>
    <w:rsid w:val="30221892"/>
    <w:rsid w:val="30305C3B"/>
    <w:rsid w:val="30367754"/>
    <w:rsid w:val="303C164E"/>
    <w:rsid w:val="30760C45"/>
    <w:rsid w:val="307A0735"/>
    <w:rsid w:val="307C2E44"/>
    <w:rsid w:val="309A2B85"/>
    <w:rsid w:val="30C322EC"/>
    <w:rsid w:val="30CC6AB7"/>
    <w:rsid w:val="30F56190"/>
    <w:rsid w:val="310B76AD"/>
    <w:rsid w:val="31263D9C"/>
    <w:rsid w:val="31344D88"/>
    <w:rsid w:val="31481970"/>
    <w:rsid w:val="316B762A"/>
    <w:rsid w:val="317C228B"/>
    <w:rsid w:val="318E1D14"/>
    <w:rsid w:val="31AA329C"/>
    <w:rsid w:val="31B41A25"/>
    <w:rsid w:val="31B826F0"/>
    <w:rsid w:val="31D367ED"/>
    <w:rsid w:val="31DA69F6"/>
    <w:rsid w:val="322A7F39"/>
    <w:rsid w:val="325555B9"/>
    <w:rsid w:val="32C65EB4"/>
    <w:rsid w:val="32F044FF"/>
    <w:rsid w:val="32F6531F"/>
    <w:rsid w:val="33337791"/>
    <w:rsid w:val="33341FFB"/>
    <w:rsid w:val="333F7309"/>
    <w:rsid w:val="33427232"/>
    <w:rsid w:val="33497640"/>
    <w:rsid w:val="335C7FF4"/>
    <w:rsid w:val="33705E1F"/>
    <w:rsid w:val="33774A9B"/>
    <w:rsid w:val="33A332E6"/>
    <w:rsid w:val="33AA7583"/>
    <w:rsid w:val="33B47D2F"/>
    <w:rsid w:val="33D12DEC"/>
    <w:rsid w:val="33EF31E8"/>
    <w:rsid w:val="34015BA1"/>
    <w:rsid w:val="340800CA"/>
    <w:rsid w:val="340842AA"/>
    <w:rsid w:val="34346E4D"/>
    <w:rsid w:val="34492F00"/>
    <w:rsid w:val="344A6670"/>
    <w:rsid w:val="345A7293"/>
    <w:rsid w:val="34840F47"/>
    <w:rsid w:val="34D04C93"/>
    <w:rsid w:val="34D4418C"/>
    <w:rsid w:val="34E940DB"/>
    <w:rsid w:val="34F934F5"/>
    <w:rsid w:val="35026192"/>
    <w:rsid w:val="350A469D"/>
    <w:rsid w:val="35143547"/>
    <w:rsid w:val="351E2AB9"/>
    <w:rsid w:val="35626BA9"/>
    <w:rsid w:val="358E06D5"/>
    <w:rsid w:val="359F0C3E"/>
    <w:rsid w:val="35CA29C2"/>
    <w:rsid w:val="35DB062C"/>
    <w:rsid w:val="35EF313F"/>
    <w:rsid w:val="36251143"/>
    <w:rsid w:val="365D6127"/>
    <w:rsid w:val="366D22D5"/>
    <w:rsid w:val="36965B9D"/>
    <w:rsid w:val="36AC63D6"/>
    <w:rsid w:val="36D84407"/>
    <w:rsid w:val="36DA730C"/>
    <w:rsid w:val="37094303"/>
    <w:rsid w:val="373158C6"/>
    <w:rsid w:val="37682C68"/>
    <w:rsid w:val="3772660A"/>
    <w:rsid w:val="37904CE2"/>
    <w:rsid w:val="37A018BC"/>
    <w:rsid w:val="37A61E10"/>
    <w:rsid w:val="37B02C8E"/>
    <w:rsid w:val="37B82EB4"/>
    <w:rsid w:val="37C52577"/>
    <w:rsid w:val="37C8622A"/>
    <w:rsid w:val="37EA0216"/>
    <w:rsid w:val="37F52B98"/>
    <w:rsid w:val="3826179D"/>
    <w:rsid w:val="384A30E3"/>
    <w:rsid w:val="38B60778"/>
    <w:rsid w:val="38CA6BE0"/>
    <w:rsid w:val="38E56968"/>
    <w:rsid w:val="38F17A02"/>
    <w:rsid w:val="38FD673D"/>
    <w:rsid w:val="39094C0E"/>
    <w:rsid w:val="393B0C7E"/>
    <w:rsid w:val="393F30FC"/>
    <w:rsid w:val="395D3221"/>
    <w:rsid w:val="39693A3D"/>
    <w:rsid w:val="3971469F"/>
    <w:rsid w:val="397A5A3F"/>
    <w:rsid w:val="398163A9"/>
    <w:rsid w:val="39846181"/>
    <w:rsid w:val="39853C77"/>
    <w:rsid w:val="399B34CA"/>
    <w:rsid w:val="39A13824"/>
    <w:rsid w:val="39C12F1F"/>
    <w:rsid w:val="39E249FB"/>
    <w:rsid w:val="39F47D35"/>
    <w:rsid w:val="39F96B6F"/>
    <w:rsid w:val="3A137505"/>
    <w:rsid w:val="3A4D1B8A"/>
    <w:rsid w:val="3A52719D"/>
    <w:rsid w:val="3A6C1CD8"/>
    <w:rsid w:val="3AFF0D6C"/>
    <w:rsid w:val="3B0C5EBE"/>
    <w:rsid w:val="3B117389"/>
    <w:rsid w:val="3B4A5A74"/>
    <w:rsid w:val="3B5E66F2"/>
    <w:rsid w:val="3B5F6EA5"/>
    <w:rsid w:val="3B7B7DC7"/>
    <w:rsid w:val="3B9C3C56"/>
    <w:rsid w:val="3BBB7E54"/>
    <w:rsid w:val="3BCB4083"/>
    <w:rsid w:val="3C0533FC"/>
    <w:rsid w:val="3C44609B"/>
    <w:rsid w:val="3C8C2BC5"/>
    <w:rsid w:val="3CA3332A"/>
    <w:rsid w:val="3CB61A62"/>
    <w:rsid w:val="3CE31410"/>
    <w:rsid w:val="3CEE3CBC"/>
    <w:rsid w:val="3CF5168F"/>
    <w:rsid w:val="3CFE624A"/>
    <w:rsid w:val="3D097920"/>
    <w:rsid w:val="3D6764E5"/>
    <w:rsid w:val="3D742CA4"/>
    <w:rsid w:val="3D7D7AB7"/>
    <w:rsid w:val="3D7F00E7"/>
    <w:rsid w:val="3DDE476F"/>
    <w:rsid w:val="3DEE2762"/>
    <w:rsid w:val="3DF15571"/>
    <w:rsid w:val="3E126451"/>
    <w:rsid w:val="3E194088"/>
    <w:rsid w:val="3E43149C"/>
    <w:rsid w:val="3E647A31"/>
    <w:rsid w:val="3E7714D1"/>
    <w:rsid w:val="3E9F580B"/>
    <w:rsid w:val="3EA531A6"/>
    <w:rsid w:val="3EB155F4"/>
    <w:rsid w:val="3EC3774B"/>
    <w:rsid w:val="3EDB5211"/>
    <w:rsid w:val="3EED2C60"/>
    <w:rsid w:val="3F1C59E2"/>
    <w:rsid w:val="3F2727B5"/>
    <w:rsid w:val="3F277CDA"/>
    <w:rsid w:val="3F2A1578"/>
    <w:rsid w:val="3F430B7F"/>
    <w:rsid w:val="3F4C1A60"/>
    <w:rsid w:val="3F5C54AA"/>
    <w:rsid w:val="3F7608CA"/>
    <w:rsid w:val="3F817020"/>
    <w:rsid w:val="3F85289A"/>
    <w:rsid w:val="3F951EFF"/>
    <w:rsid w:val="3FAC01DF"/>
    <w:rsid w:val="3FB96CE0"/>
    <w:rsid w:val="3FF56079"/>
    <w:rsid w:val="3FF73B50"/>
    <w:rsid w:val="4010076E"/>
    <w:rsid w:val="402055DA"/>
    <w:rsid w:val="40695185"/>
    <w:rsid w:val="406D5F83"/>
    <w:rsid w:val="40934C22"/>
    <w:rsid w:val="40E02836"/>
    <w:rsid w:val="40ED0AAF"/>
    <w:rsid w:val="40F053F7"/>
    <w:rsid w:val="411F582C"/>
    <w:rsid w:val="41203D79"/>
    <w:rsid w:val="4125649B"/>
    <w:rsid w:val="41296C04"/>
    <w:rsid w:val="41370730"/>
    <w:rsid w:val="414C5BCC"/>
    <w:rsid w:val="417E7959"/>
    <w:rsid w:val="417F715C"/>
    <w:rsid w:val="41821120"/>
    <w:rsid w:val="419507D4"/>
    <w:rsid w:val="41BB6879"/>
    <w:rsid w:val="41DC61E3"/>
    <w:rsid w:val="41E111CE"/>
    <w:rsid w:val="4211790A"/>
    <w:rsid w:val="42245A09"/>
    <w:rsid w:val="423544BC"/>
    <w:rsid w:val="424211C3"/>
    <w:rsid w:val="42492616"/>
    <w:rsid w:val="42894808"/>
    <w:rsid w:val="429A368A"/>
    <w:rsid w:val="429F5DD9"/>
    <w:rsid w:val="42A25018"/>
    <w:rsid w:val="42AC4713"/>
    <w:rsid w:val="42BC4BDD"/>
    <w:rsid w:val="42CF5E08"/>
    <w:rsid w:val="42E365EE"/>
    <w:rsid w:val="42F27ED7"/>
    <w:rsid w:val="43036F68"/>
    <w:rsid w:val="432B1D63"/>
    <w:rsid w:val="433230F1"/>
    <w:rsid w:val="433A1708"/>
    <w:rsid w:val="433B01F8"/>
    <w:rsid w:val="435F025C"/>
    <w:rsid w:val="436F7EA2"/>
    <w:rsid w:val="438254A7"/>
    <w:rsid w:val="43CE1D1D"/>
    <w:rsid w:val="43D533B5"/>
    <w:rsid w:val="43E055A8"/>
    <w:rsid w:val="445826E4"/>
    <w:rsid w:val="446A68AD"/>
    <w:rsid w:val="44724271"/>
    <w:rsid w:val="448B2AB9"/>
    <w:rsid w:val="4496303F"/>
    <w:rsid w:val="44A43EDE"/>
    <w:rsid w:val="44B60AB4"/>
    <w:rsid w:val="44C312FD"/>
    <w:rsid w:val="44C626C4"/>
    <w:rsid w:val="4527170D"/>
    <w:rsid w:val="453F5652"/>
    <w:rsid w:val="457C2402"/>
    <w:rsid w:val="459C4FCE"/>
    <w:rsid w:val="45B97984"/>
    <w:rsid w:val="45C67B21"/>
    <w:rsid w:val="45DD7344"/>
    <w:rsid w:val="46206B1E"/>
    <w:rsid w:val="462D2899"/>
    <w:rsid w:val="46881B18"/>
    <w:rsid w:val="46AC195D"/>
    <w:rsid w:val="46B37B13"/>
    <w:rsid w:val="46C40504"/>
    <w:rsid w:val="46C66B41"/>
    <w:rsid w:val="46CE1383"/>
    <w:rsid w:val="46EB42D7"/>
    <w:rsid w:val="46F0679D"/>
    <w:rsid w:val="46F5341B"/>
    <w:rsid w:val="46FB3E10"/>
    <w:rsid w:val="470B7AF9"/>
    <w:rsid w:val="470F5832"/>
    <w:rsid w:val="472A7A99"/>
    <w:rsid w:val="472C71FB"/>
    <w:rsid w:val="472E3BD0"/>
    <w:rsid w:val="472E59C5"/>
    <w:rsid w:val="47424128"/>
    <w:rsid w:val="474A22AA"/>
    <w:rsid w:val="475B353B"/>
    <w:rsid w:val="477C68EF"/>
    <w:rsid w:val="479A5E99"/>
    <w:rsid w:val="47FA2976"/>
    <w:rsid w:val="481B58AC"/>
    <w:rsid w:val="4845293C"/>
    <w:rsid w:val="487F17BC"/>
    <w:rsid w:val="48A203D1"/>
    <w:rsid w:val="48AE61DA"/>
    <w:rsid w:val="48B20474"/>
    <w:rsid w:val="48CA1FE3"/>
    <w:rsid w:val="48CA5FD2"/>
    <w:rsid w:val="49043D99"/>
    <w:rsid w:val="4907292A"/>
    <w:rsid w:val="494241A7"/>
    <w:rsid w:val="49A2170D"/>
    <w:rsid w:val="49A87C69"/>
    <w:rsid w:val="4A5051BA"/>
    <w:rsid w:val="4A6825AF"/>
    <w:rsid w:val="4A6A268E"/>
    <w:rsid w:val="4A77763C"/>
    <w:rsid w:val="4A80606F"/>
    <w:rsid w:val="4A965D14"/>
    <w:rsid w:val="4AA04DE4"/>
    <w:rsid w:val="4AB02206"/>
    <w:rsid w:val="4ABD5996"/>
    <w:rsid w:val="4AE2139F"/>
    <w:rsid w:val="4AE64290"/>
    <w:rsid w:val="4AF76490"/>
    <w:rsid w:val="4B2477C4"/>
    <w:rsid w:val="4B756271"/>
    <w:rsid w:val="4B9C37FE"/>
    <w:rsid w:val="4BA12BC2"/>
    <w:rsid w:val="4BAB4AD3"/>
    <w:rsid w:val="4BC401A4"/>
    <w:rsid w:val="4BFC604B"/>
    <w:rsid w:val="4C0C0983"/>
    <w:rsid w:val="4C3C0338"/>
    <w:rsid w:val="4C571AC7"/>
    <w:rsid w:val="4C6836E0"/>
    <w:rsid w:val="4CBA15A8"/>
    <w:rsid w:val="4CC96874"/>
    <w:rsid w:val="4CE23492"/>
    <w:rsid w:val="4D335849"/>
    <w:rsid w:val="4D6C684E"/>
    <w:rsid w:val="4DA8386B"/>
    <w:rsid w:val="4DD867BA"/>
    <w:rsid w:val="4DDC6134"/>
    <w:rsid w:val="4DDF5630"/>
    <w:rsid w:val="4DED0BB2"/>
    <w:rsid w:val="4E5959D6"/>
    <w:rsid w:val="4E685C19"/>
    <w:rsid w:val="4EAF1A9A"/>
    <w:rsid w:val="4ED52926"/>
    <w:rsid w:val="4EDE3549"/>
    <w:rsid w:val="4EE15F2D"/>
    <w:rsid w:val="4EFD0A57"/>
    <w:rsid w:val="4F0022F6"/>
    <w:rsid w:val="4F0816E5"/>
    <w:rsid w:val="4F2953A8"/>
    <w:rsid w:val="4F9F7B55"/>
    <w:rsid w:val="4FA40ED3"/>
    <w:rsid w:val="4FBB3F6A"/>
    <w:rsid w:val="4FC2537C"/>
    <w:rsid w:val="4FE13ED5"/>
    <w:rsid w:val="500B2A9A"/>
    <w:rsid w:val="50106568"/>
    <w:rsid w:val="50125E3D"/>
    <w:rsid w:val="50275779"/>
    <w:rsid w:val="50354221"/>
    <w:rsid w:val="5041264D"/>
    <w:rsid w:val="50665465"/>
    <w:rsid w:val="50722D7F"/>
    <w:rsid w:val="5083197E"/>
    <w:rsid w:val="508573E2"/>
    <w:rsid w:val="50A373DC"/>
    <w:rsid w:val="50A70C7B"/>
    <w:rsid w:val="50B25FB2"/>
    <w:rsid w:val="50B57196"/>
    <w:rsid w:val="50BF5F50"/>
    <w:rsid w:val="50D876D0"/>
    <w:rsid w:val="50DD0E8C"/>
    <w:rsid w:val="50E05F3B"/>
    <w:rsid w:val="50ED1899"/>
    <w:rsid w:val="50F10148"/>
    <w:rsid w:val="510D57D6"/>
    <w:rsid w:val="5118200F"/>
    <w:rsid w:val="51183927"/>
    <w:rsid w:val="511A58F1"/>
    <w:rsid w:val="511B625B"/>
    <w:rsid w:val="51221905"/>
    <w:rsid w:val="51326991"/>
    <w:rsid w:val="513B14AD"/>
    <w:rsid w:val="514F1402"/>
    <w:rsid w:val="518C2123"/>
    <w:rsid w:val="51C34FE8"/>
    <w:rsid w:val="51CE600A"/>
    <w:rsid w:val="51E22D39"/>
    <w:rsid w:val="520F76F3"/>
    <w:rsid w:val="52187956"/>
    <w:rsid w:val="521A0270"/>
    <w:rsid w:val="52542054"/>
    <w:rsid w:val="526053C0"/>
    <w:rsid w:val="526606C2"/>
    <w:rsid w:val="52A567F4"/>
    <w:rsid w:val="52A62EBE"/>
    <w:rsid w:val="52AF2069"/>
    <w:rsid w:val="52BC756E"/>
    <w:rsid w:val="52C23008"/>
    <w:rsid w:val="52CC565E"/>
    <w:rsid w:val="52CF44B9"/>
    <w:rsid w:val="52D50A4A"/>
    <w:rsid w:val="52D76EC9"/>
    <w:rsid w:val="52E37F64"/>
    <w:rsid w:val="52EF458C"/>
    <w:rsid w:val="52F60BC6"/>
    <w:rsid w:val="53073C53"/>
    <w:rsid w:val="53387369"/>
    <w:rsid w:val="53446C55"/>
    <w:rsid w:val="53866C35"/>
    <w:rsid w:val="53915124"/>
    <w:rsid w:val="53FC071B"/>
    <w:rsid w:val="541157EE"/>
    <w:rsid w:val="542656E5"/>
    <w:rsid w:val="54281085"/>
    <w:rsid w:val="545A24A8"/>
    <w:rsid w:val="54D06994"/>
    <w:rsid w:val="552F1554"/>
    <w:rsid w:val="5555098B"/>
    <w:rsid w:val="5579695E"/>
    <w:rsid w:val="558A0B6B"/>
    <w:rsid w:val="55A22F85"/>
    <w:rsid w:val="55E00D87"/>
    <w:rsid w:val="56021C1C"/>
    <w:rsid w:val="56194332"/>
    <w:rsid w:val="561D32A9"/>
    <w:rsid w:val="562E14F6"/>
    <w:rsid w:val="565E6F3B"/>
    <w:rsid w:val="566201DA"/>
    <w:rsid w:val="567C4300"/>
    <w:rsid w:val="56935386"/>
    <w:rsid w:val="571F7091"/>
    <w:rsid w:val="5745742A"/>
    <w:rsid w:val="57517B92"/>
    <w:rsid w:val="57574A7D"/>
    <w:rsid w:val="57691D32"/>
    <w:rsid w:val="576A2F24"/>
    <w:rsid w:val="576F1BB3"/>
    <w:rsid w:val="578C0DF0"/>
    <w:rsid w:val="57A03491"/>
    <w:rsid w:val="57AD434E"/>
    <w:rsid w:val="57F73161"/>
    <w:rsid w:val="581768CD"/>
    <w:rsid w:val="5827444F"/>
    <w:rsid w:val="583C439E"/>
    <w:rsid w:val="58D25B75"/>
    <w:rsid w:val="5900361E"/>
    <w:rsid w:val="590C52ED"/>
    <w:rsid w:val="591075D9"/>
    <w:rsid w:val="59376914"/>
    <w:rsid w:val="593B388B"/>
    <w:rsid w:val="594340A3"/>
    <w:rsid w:val="59912AF7"/>
    <w:rsid w:val="59A7084D"/>
    <w:rsid w:val="59C02897"/>
    <w:rsid w:val="5A185A51"/>
    <w:rsid w:val="5A2A57A8"/>
    <w:rsid w:val="5A4B34F1"/>
    <w:rsid w:val="5A6220B6"/>
    <w:rsid w:val="5A7F3940"/>
    <w:rsid w:val="5A9F6AAA"/>
    <w:rsid w:val="5AC0631D"/>
    <w:rsid w:val="5AC6061B"/>
    <w:rsid w:val="5ACA692E"/>
    <w:rsid w:val="5ACC12DE"/>
    <w:rsid w:val="5ACF1B06"/>
    <w:rsid w:val="5ADC327C"/>
    <w:rsid w:val="5AEE56F8"/>
    <w:rsid w:val="5AFA066B"/>
    <w:rsid w:val="5B4A7FC8"/>
    <w:rsid w:val="5B537E47"/>
    <w:rsid w:val="5B5C6B06"/>
    <w:rsid w:val="5B653C0C"/>
    <w:rsid w:val="5B866D35"/>
    <w:rsid w:val="5BB73D3C"/>
    <w:rsid w:val="5BBB593A"/>
    <w:rsid w:val="5C1C655D"/>
    <w:rsid w:val="5C5B54AE"/>
    <w:rsid w:val="5C836EE1"/>
    <w:rsid w:val="5C8956D8"/>
    <w:rsid w:val="5C9B540C"/>
    <w:rsid w:val="5CC314D4"/>
    <w:rsid w:val="5CDA57B0"/>
    <w:rsid w:val="5CE30005"/>
    <w:rsid w:val="5D080CF3"/>
    <w:rsid w:val="5D302174"/>
    <w:rsid w:val="5D3D1F1F"/>
    <w:rsid w:val="5D3F4885"/>
    <w:rsid w:val="5D6121B1"/>
    <w:rsid w:val="5D7840CB"/>
    <w:rsid w:val="5D8075A6"/>
    <w:rsid w:val="5D9522C4"/>
    <w:rsid w:val="5DA231B0"/>
    <w:rsid w:val="5DAD189A"/>
    <w:rsid w:val="5DED1ED3"/>
    <w:rsid w:val="5E0A0A9B"/>
    <w:rsid w:val="5E0D40E7"/>
    <w:rsid w:val="5E0E0987"/>
    <w:rsid w:val="5E203E1A"/>
    <w:rsid w:val="5E284449"/>
    <w:rsid w:val="5E40626B"/>
    <w:rsid w:val="5E486FF3"/>
    <w:rsid w:val="5E6957C1"/>
    <w:rsid w:val="5E7952BC"/>
    <w:rsid w:val="5EA762EA"/>
    <w:rsid w:val="5EB47229"/>
    <w:rsid w:val="5EBA1614"/>
    <w:rsid w:val="5ED8611C"/>
    <w:rsid w:val="5EE34E3D"/>
    <w:rsid w:val="5EE7151D"/>
    <w:rsid w:val="5F0155FB"/>
    <w:rsid w:val="5F111940"/>
    <w:rsid w:val="5F4D1BFE"/>
    <w:rsid w:val="5F595E81"/>
    <w:rsid w:val="5F6345F7"/>
    <w:rsid w:val="5F740AEF"/>
    <w:rsid w:val="5F8430FE"/>
    <w:rsid w:val="5F9B7A36"/>
    <w:rsid w:val="5FAE5456"/>
    <w:rsid w:val="5FB07420"/>
    <w:rsid w:val="60002155"/>
    <w:rsid w:val="60252BAF"/>
    <w:rsid w:val="602624D9"/>
    <w:rsid w:val="602A5424"/>
    <w:rsid w:val="60511E26"/>
    <w:rsid w:val="606C1599"/>
    <w:rsid w:val="6071095D"/>
    <w:rsid w:val="6084031D"/>
    <w:rsid w:val="608508AD"/>
    <w:rsid w:val="6098238E"/>
    <w:rsid w:val="60A23556"/>
    <w:rsid w:val="60AA2305"/>
    <w:rsid w:val="60D959AF"/>
    <w:rsid w:val="60E455D3"/>
    <w:rsid w:val="60E63532"/>
    <w:rsid w:val="610737AE"/>
    <w:rsid w:val="610E5160"/>
    <w:rsid w:val="61113EEE"/>
    <w:rsid w:val="612B6AD3"/>
    <w:rsid w:val="616051F5"/>
    <w:rsid w:val="61765EA7"/>
    <w:rsid w:val="618C7BE6"/>
    <w:rsid w:val="61BD2DEB"/>
    <w:rsid w:val="61D1193A"/>
    <w:rsid w:val="61DD78E7"/>
    <w:rsid w:val="6200468F"/>
    <w:rsid w:val="62335B38"/>
    <w:rsid w:val="623946AB"/>
    <w:rsid w:val="626E59EE"/>
    <w:rsid w:val="627E69EC"/>
    <w:rsid w:val="62904AA1"/>
    <w:rsid w:val="62970C2B"/>
    <w:rsid w:val="629D3C8C"/>
    <w:rsid w:val="62B45F2D"/>
    <w:rsid w:val="62BC7E8A"/>
    <w:rsid w:val="62DB1089"/>
    <w:rsid w:val="62E95123"/>
    <w:rsid w:val="62FB0F57"/>
    <w:rsid w:val="632B74E9"/>
    <w:rsid w:val="63350AE6"/>
    <w:rsid w:val="633D546F"/>
    <w:rsid w:val="63423DBD"/>
    <w:rsid w:val="63675A57"/>
    <w:rsid w:val="63730D28"/>
    <w:rsid w:val="63AE011A"/>
    <w:rsid w:val="63B05C41"/>
    <w:rsid w:val="63BE035D"/>
    <w:rsid w:val="63C24D92"/>
    <w:rsid w:val="63C90AB0"/>
    <w:rsid w:val="63D064BE"/>
    <w:rsid w:val="63E853DA"/>
    <w:rsid w:val="63F55D49"/>
    <w:rsid w:val="63FF785B"/>
    <w:rsid w:val="64162ACB"/>
    <w:rsid w:val="647D62C0"/>
    <w:rsid w:val="648B668D"/>
    <w:rsid w:val="6497295D"/>
    <w:rsid w:val="64B0503B"/>
    <w:rsid w:val="64C95E89"/>
    <w:rsid w:val="6530625E"/>
    <w:rsid w:val="65385EEE"/>
    <w:rsid w:val="65793314"/>
    <w:rsid w:val="657A4758"/>
    <w:rsid w:val="65985E4C"/>
    <w:rsid w:val="659E7A6B"/>
    <w:rsid w:val="65B8702E"/>
    <w:rsid w:val="65C01982"/>
    <w:rsid w:val="65F75DA9"/>
    <w:rsid w:val="66215514"/>
    <w:rsid w:val="662242CD"/>
    <w:rsid w:val="66240220"/>
    <w:rsid w:val="66285F62"/>
    <w:rsid w:val="66327BF7"/>
    <w:rsid w:val="663F163C"/>
    <w:rsid w:val="66630D48"/>
    <w:rsid w:val="666B09FB"/>
    <w:rsid w:val="6680077E"/>
    <w:rsid w:val="66A70652"/>
    <w:rsid w:val="67017E7F"/>
    <w:rsid w:val="670F7122"/>
    <w:rsid w:val="671B5AC7"/>
    <w:rsid w:val="67346110"/>
    <w:rsid w:val="676A6889"/>
    <w:rsid w:val="677D5E3A"/>
    <w:rsid w:val="67A40284"/>
    <w:rsid w:val="67C8589C"/>
    <w:rsid w:val="67D37462"/>
    <w:rsid w:val="67FF01B0"/>
    <w:rsid w:val="680447AD"/>
    <w:rsid w:val="68282708"/>
    <w:rsid w:val="68317B87"/>
    <w:rsid w:val="68356714"/>
    <w:rsid w:val="68394457"/>
    <w:rsid w:val="68522DA9"/>
    <w:rsid w:val="68541290"/>
    <w:rsid w:val="68916BE9"/>
    <w:rsid w:val="68CF1F1F"/>
    <w:rsid w:val="68F5111F"/>
    <w:rsid w:val="6916067A"/>
    <w:rsid w:val="69223BD5"/>
    <w:rsid w:val="69230C63"/>
    <w:rsid w:val="692C7B17"/>
    <w:rsid w:val="693469CC"/>
    <w:rsid w:val="69593562"/>
    <w:rsid w:val="695B77E1"/>
    <w:rsid w:val="696A4AE4"/>
    <w:rsid w:val="69B31741"/>
    <w:rsid w:val="69BB16F8"/>
    <w:rsid w:val="69C76A8E"/>
    <w:rsid w:val="69D56750"/>
    <w:rsid w:val="69FF00D6"/>
    <w:rsid w:val="6A136F29"/>
    <w:rsid w:val="6A180DBC"/>
    <w:rsid w:val="6A4E7F61"/>
    <w:rsid w:val="6A8E0FBE"/>
    <w:rsid w:val="6A980154"/>
    <w:rsid w:val="6A9A6D03"/>
    <w:rsid w:val="6AE26F0F"/>
    <w:rsid w:val="6AED32D6"/>
    <w:rsid w:val="6B090119"/>
    <w:rsid w:val="6B6607A7"/>
    <w:rsid w:val="6B75325D"/>
    <w:rsid w:val="6BAE0900"/>
    <w:rsid w:val="6BB9765C"/>
    <w:rsid w:val="6BBB5183"/>
    <w:rsid w:val="6BC77FCB"/>
    <w:rsid w:val="6C2C4B60"/>
    <w:rsid w:val="6C384A25"/>
    <w:rsid w:val="6C720323"/>
    <w:rsid w:val="6C88775B"/>
    <w:rsid w:val="6CB41303"/>
    <w:rsid w:val="6CC62828"/>
    <w:rsid w:val="6CCC4204"/>
    <w:rsid w:val="6CD00A8D"/>
    <w:rsid w:val="6CEA21C3"/>
    <w:rsid w:val="6CEB7CE9"/>
    <w:rsid w:val="6CF52916"/>
    <w:rsid w:val="6D0668D1"/>
    <w:rsid w:val="6D395B76"/>
    <w:rsid w:val="6D5D24E1"/>
    <w:rsid w:val="6D714AA5"/>
    <w:rsid w:val="6D9A2BFD"/>
    <w:rsid w:val="6DA528C6"/>
    <w:rsid w:val="6DB8406F"/>
    <w:rsid w:val="6DF2085E"/>
    <w:rsid w:val="6DFC2498"/>
    <w:rsid w:val="6E293A13"/>
    <w:rsid w:val="6E470F4F"/>
    <w:rsid w:val="6E5A1B26"/>
    <w:rsid w:val="6E7A7F3B"/>
    <w:rsid w:val="6E9A5523"/>
    <w:rsid w:val="6EAE7221"/>
    <w:rsid w:val="6EC305D8"/>
    <w:rsid w:val="6F060311"/>
    <w:rsid w:val="6F481C3E"/>
    <w:rsid w:val="6F5E21BF"/>
    <w:rsid w:val="6F676E4E"/>
    <w:rsid w:val="6F7F4D11"/>
    <w:rsid w:val="6F853086"/>
    <w:rsid w:val="6FA32002"/>
    <w:rsid w:val="6FBD4683"/>
    <w:rsid w:val="6FCD2D1D"/>
    <w:rsid w:val="6FD76702"/>
    <w:rsid w:val="70025A76"/>
    <w:rsid w:val="70266599"/>
    <w:rsid w:val="7040450C"/>
    <w:rsid w:val="70455963"/>
    <w:rsid w:val="707D3032"/>
    <w:rsid w:val="70860455"/>
    <w:rsid w:val="708B7819"/>
    <w:rsid w:val="70A64653"/>
    <w:rsid w:val="70BA7CF9"/>
    <w:rsid w:val="70BE0445"/>
    <w:rsid w:val="70F27898"/>
    <w:rsid w:val="70FF7B56"/>
    <w:rsid w:val="71211E2B"/>
    <w:rsid w:val="71321C61"/>
    <w:rsid w:val="713958AB"/>
    <w:rsid w:val="713E6062"/>
    <w:rsid w:val="713E6AA6"/>
    <w:rsid w:val="714300F4"/>
    <w:rsid w:val="71455BC4"/>
    <w:rsid w:val="714F62CF"/>
    <w:rsid w:val="715440AF"/>
    <w:rsid w:val="715731C8"/>
    <w:rsid w:val="71573B9F"/>
    <w:rsid w:val="7185070D"/>
    <w:rsid w:val="718A7AD1"/>
    <w:rsid w:val="71A1306D"/>
    <w:rsid w:val="71A943FB"/>
    <w:rsid w:val="71C941B5"/>
    <w:rsid w:val="71DF5C20"/>
    <w:rsid w:val="72005FE5"/>
    <w:rsid w:val="722B5B1E"/>
    <w:rsid w:val="724F7D41"/>
    <w:rsid w:val="72540423"/>
    <w:rsid w:val="72556520"/>
    <w:rsid w:val="72650236"/>
    <w:rsid w:val="72704095"/>
    <w:rsid w:val="727774C2"/>
    <w:rsid w:val="72A023A3"/>
    <w:rsid w:val="72C161C4"/>
    <w:rsid w:val="72C47013"/>
    <w:rsid w:val="72CC7CA7"/>
    <w:rsid w:val="72DB3158"/>
    <w:rsid w:val="72F07E08"/>
    <w:rsid w:val="731059AA"/>
    <w:rsid w:val="73165394"/>
    <w:rsid w:val="73217FC1"/>
    <w:rsid w:val="736A4C37"/>
    <w:rsid w:val="736F3422"/>
    <w:rsid w:val="738C0605"/>
    <w:rsid w:val="738F1911"/>
    <w:rsid w:val="73A36AB1"/>
    <w:rsid w:val="73B76A1D"/>
    <w:rsid w:val="73CF3EC1"/>
    <w:rsid w:val="73D137DC"/>
    <w:rsid w:val="73F63127"/>
    <w:rsid w:val="74226A44"/>
    <w:rsid w:val="74411BD6"/>
    <w:rsid w:val="7480340D"/>
    <w:rsid w:val="74946CA6"/>
    <w:rsid w:val="74A71267"/>
    <w:rsid w:val="74AA2238"/>
    <w:rsid w:val="74B145AA"/>
    <w:rsid w:val="74BF5933"/>
    <w:rsid w:val="74C90910"/>
    <w:rsid w:val="74D06143"/>
    <w:rsid w:val="74D448E6"/>
    <w:rsid w:val="74E40FCD"/>
    <w:rsid w:val="74EC0128"/>
    <w:rsid w:val="74FA0ACC"/>
    <w:rsid w:val="75261019"/>
    <w:rsid w:val="755A5A0C"/>
    <w:rsid w:val="75802B6F"/>
    <w:rsid w:val="75821EE6"/>
    <w:rsid w:val="758D193E"/>
    <w:rsid w:val="759233F8"/>
    <w:rsid w:val="75C4732A"/>
    <w:rsid w:val="75F628F1"/>
    <w:rsid w:val="7604134D"/>
    <w:rsid w:val="76357C24"/>
    <w:rsid w:val="763D3EB9"/>
    <w:rsid w:val="764C7A4B"/>
    <w:rsid w:val="76893B88"/>
    <w:rsid w:val="76BD6F25"/>
    <w:rsid w:val="76CA6BC2"/>
    <w:rsid w:val="76CC293A"/>
    <w:rsid w:val="76D33CC8"/>
    <w:rsid w:val="76E7440D"/>
    <w:rsid w:val="76E934EC"/>
    <w:rsid w:val="76ED1C41"/>
    <w:rsid w:val="77256ACE"/>
    <w:rsid w:val="7731718E"/>
    <w:rsid w:val="77342AF6"/>
    <w:rsid w:val="77383B2B"/>
    <w:rsid w:val="774249AA"/>
    <w:rsid w:val="77550B81"/>
    <w:rsid w:val="77690189"/>
    <w:rsid w:val="77894387"/>
    <w:rsid w:val="77B04009"/>
    <w:rsid w:val="77C04021"/>
    <w:rsid w:val="77D316EE"/>
    <w:rsid w:val="77FE33CF"/>
    <w:rsid w:val="7801786E"/>
    <w:rsid w:val="780D6C58"/>
    <w:rsid w:val="787D038F"/>
    <w:rsid w:val="78854E43"/>
    <w:rsid w:val="78964FAD"/>
    <w:rsid w:val="78BF3A77"/>
    <w:rsid w:val="78D87374"/>
    <w:rsid w:val="78E87052"/>
    <w:rsid w:val="790F6EC6"/>
    <w:rsid w:val="793A7A41"/>
    <w:rsid w:val="794004E6"/>
    <w:rsid w:val="794F0D84"/>
    <w:rsid w:val="796306F0"/>
    <w:rsid w:val="79777A55"/>
    <w:rsid w:val="798B5981"/>
    <w:rsid w:val="79CD0EA3"/>
    <w:rsid w:val="79D556D1"/>
    <w:rsid w:val="7A3251AA"/>
    <w:rsid w:val="7A367366"/>
    <w:rsid w:val="7A4B626B"/>
    <w:rsid w:val="7A530E81"/>
    <w:rsid w:val="7A69020F"/>
    <w:rsid w:val="7A6A471E"/>
    <w:rsid w:val="7A756DBD"/>
    <w:rsid w:val="7A7D21DC"/>
    <w:rsid w:val="7A8552D9"/>
    <w:rsid w:val="7A905705"/>
    <w:rsid w:val="7AE571B4"/>
    <w:rsid w:val="7B0C0269"/>
    <w:rsid w:val="7B203254"/>
    <w:rsid w:val="7B452CBB"/>
    <w:rsid w:val="7B58536C"/>
    <w:rsid w:val="7B76389F"/>
    <w:rsid w:val="7B876E2F"/>
    <w:rsid w:val="7B89037B"/>
    <w:rsid w:val="7B98728E"/>
    <w:rsid w:val="7B9A0A39"/>
    <w:rsid w:val="7BAC435A"/>
    <w:rsid w:val="7BD72009"/>
    <w:rsid w:val="7BF70459"/>
    <w:rsid w:val="7C2154D6"/>
    <w:rsid w:val="7C4A17C7"/>
    <w:rsid w:val="7C5807CC"/>
    <w:rsid w:val="7D050953"/>
    <w:rsid w:val="7D2708CA"/>
    <w:rsid w:val="7D354FDC"/>
    <w:rsid w:val="7D68620F"/>
    <w:rsid w:val="7D9B7F52"/>
    <w:rsid w:val="7DA37337"/>
    <w:rsid w:val="7DB417BF"/>
    <w:rsid w:val="7E021A25"/>
    <w:rsid w:val="7E03663C"/>
    <w:rsid w:val="7E103A61"/>
    <w:rsid w:val="7E235535"/>
    <w:rsid w:val="7E237E00"/>
    <w:rsid w:val="7E292243"/>
    <w:rsid w:val="7E3C65F7"/>
    <w:rsid w:val="7E527BC8"/>
    <w:rsid w:val="7E5576B9"/>
    <w:rsid w:val="7E5C1E6F"/>
    <w:rsid w:val="7E955CBC"/>
    <w:rsid w:val="7E967AAD"/>
    <w:rsid w:val="7E9812FE"/>
    <w:rsid w:val="7E9957F7"/>
    <w:rsid w:val="7EDC1B37"/>
    <w:rsid w:val="7EE051FD"/>
    <w:rsid w:val="7EE61E2E"/>
    <w:rsid w:val="7EEC6DCF"/>
    <w:rsid w:val="7F0C595B"/>
    <w:rsid w:val="7F0D4ABD"/>
    <w:rsid w:val="7F2B29E3"/>
    <w:rsid w:val="7F343772"/>
    <w:rsid w:val="7F380D27"/>
    <w:rsid w:val="7F580511"/>
    <w:rsid w:val="7F692908"/>
    <w:rsid w:val="7F6B7780"/>
    <w:rsid w:val="7F722E84"/>
    <w:rsid w:val="7FB224C1"/>
    <w:rsid w:val="7FCA0AE5"/>
    <w:rsid w:val="7FCC549C"/>
    <w:rsid w:val="7FD665D7"/>
    <w:rsid w:val="EEADE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1"/>
    <w:qFormat/>
    <w:uiPriority w:val="0"/>
    <w:pPr>
      <w:autoSpaceDE w:val="0"/>
      <w:autoSpaceDN w:val="0"/>
      <w:adjustRightInd w:val="0"/>
      <w:snapToGrid w:val="0"/>
      <w:spacing w:line="360" w:lineRule="auto"/>
      <w:ind w:left="4575" w:hanging="1320"/>
      <w:jc w:val="center"/>
      <w:outlineLvl w:val="0"/>
    </w:pPr>
    <w:rPr>
      <w:rFonts w:eastAsia="黑体"/>
      <w:kern w:val="0"/>
      <w:sz w:val="44"/>
    </w:rPr>
  </w:style>
  <w:style w:type="paragraph" w:styleId="4">
    <w:name w:val="heading 2"/>
    <w:basedOn w:val="1"/>
    <w:next w:val="1"/>
    <w:link w:val="368"/>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5">
    <w:name w:val="heading 3"/>
    <w:basedOn w:val="1"/>
    <w:next w:val="1"/>
    <w:link w:val="394"/>
    <w:qFormat/>
    <w:uiPriority w:val="0"/>
    <w:pPr>
      <w:autoSpaceDE w:val="0"/>
      <w:autoSpaceDN w:val="0"/>
      <w:adjustRightInd w:val="0"/>
      <w:spacing w:before="16"/>
      <w:jc w:val="left"/>
      <w:outlineLvl w:val="2"/>
    </w:pPr>
    <w:rPr>
      <w:rFonts w:ascii="仿宋_GB2312" w:eastAsia="仿宋_GB2312"/>
      <w:b/>
      <w:kern w:val="0"/>
      <w:sz w:val="24"/>
    </w:rPr>
  </w:style>
  <w:style w:type="paragraph" w:styleId="6">
    <w:name w:val="heading 4"/>
    <w:basedOn w:val="1"/>
    <w:next w:val="1"/>
    <w:link w:val="291"/>
    <w:qFormat/>
    <w:uiPriority w:val="0"/>
    <w:pPr>
      <w:jc w:val="center"/>
      <w:outlineLvl w:val="3"/>
    </w:pPr>
  </w:style>
  <w:style w:type="paragraph" w:styleId="7">
    <w:name w:val="heading 5"/>
    <w:basedOn w:val="1"/>
    <w:next w:val="1"/>
    <w:link w:val="387"/>
    <w:qFormat/>
    <w:uiPriority w:val="0"/>
    <w:pPr>
      <w:keepNext/>
      <w:keepLines/>
      <w:spacing w:before="280" w:after="290" w:line="374" w:lineRule="auto"/>
      <w:outlineLvl w:val="4"/>
    </w:pPr>
    <w:rPr>
      <w:b/>
      <w:bCs/>
      <w:kern w:val="0"/>
      <w:sz w:val="28"/>
      <w:szCs w:val="28"/>
    </w:rPr>
  </w:style>
  <w:style w:type="paragraph" w:styleId="8">
    <w:name w:val="heading 6"/>
    <w:basedOn w:val="1"/>
    <w:next w:val="1"/>
    <w:link w:val="326"/>
    <w:qFormat/>
    <w:uiPriority w:val="0"/>
    <w:pPr>
      <w:keepNext/>
      <w:keepLines/>
      <w:spacing w:before="240" w:after="64" w:line="319" w:lineRule="auto"/>
      <w:outlineLvl w:val="5"/>
    </w:pPr>
    <w:rPr>
      <w:rFonts w:ascii="Arial" w:hAnsi="Arial" w:eastAsia="黑体"/>
      <w:b/>
      <w:bCs/>
      <w:kern w:val="0"/>
      <w:sz w:val="24"/>
      <w:szCs w:val="24"/>
    </w:rPr>
  </w:style>
  <w:style w:type="paragraph" w:styleId="9">
    <w:name w:val="heading 7"/>
    <w:basedOn w:val="1"/>
    <w:next w:val="1"/>
    <w:link w:val="393"/>
    <w:qFormat/>
    <w:uiPriority w:val="0"/>
    <w:pPr>
      <w:keepNext/>
      <w:keepLines/>
      <w:spacing w:before="240" w:after="64" w:line="319" w:lineRule="auto"/>
      <w:outlineLvl w:val="6"/>
    </w:pPr>
    <w:rPr>
      <w:b/>
      <w:bCs/>
      <w:kern w:val="0"/>
      <w:sz w:val="24"/>
      <w:szCs w:val="24"/>
    </w:rPr>
  </w:style>
  <w:style w:type="paragraph" w:styleId="10">
    <w:name w:val="heading 8"/>
    <w:basedOn w:val="1"/>
    <w:next w:val="1"/>
    <w:link w:val="302"/>
    <w:qFormat/>
    <w:uiPriority w:val="0"/>
    <w:pPr>
      <w:keepNext/>
      <w:keepLines/>
      <w:spacing w:before="240" w:after="64" w:line="319" w:lineRule="auto"/>
      <w:outlineLvl w:val="7"/>
    </w:pPr>
    <w:rPr>
      <w:rFonts w:ascii="Arial" w:hAnsi="Arial" w:eastAsia="黑体"/>
      <w:kern w:val="0"/>
      <w:sz w:val="24"/>
      <w:szCs w:val="24"/>
    </w:rPr>
  </w:style>
  <w:style w:type="paragraph" w:styleId="11">
    <w:name w:val="heading 9"/>
    <w:basedOn w:val="1"/>
    <w:next w:val="1"/>
    <w:link w:val="287"/>
    <w:qFormat/>
    <w:uiPriority w:val="0"/>
    <w:pPr>
      <w:keepNext/>
      <w:keepLines/>
      <w:spacing w:before="240" w:after="64" w:line="319" w:lineRule="auto"/>
      <w:outlineLvl w:val="8"/>
    </w:pPr>
    <w:rPr>
      <w:rFonts w:ascii="Arial" w:hAnsi="Arial" w:eastAsia="黑体"/>
      <w:kern w:val="0"/>
      <w:sz w:val="20"/>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1260"/>
      <w:jc w:val="left"/>
    </w:pPr>
    <w:rPr>
      <w:rFonts w:ascii="Calibri" w:hAnsi="Calibri"/>
      <w:sz w:val="18"/>
    </w:r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tabs>
        <w:tab w:val="left" w:pos="1620"/>
      </w:tabs>
      <w:ind w:left="1620" w:leftChars="600" w:hanging="360" w:hangingChars="200"/>
    </w:pPr>
    <w:rPr>
      <w:szCs w:val="24"/>
    </w:rPr>
  </w:style>
  <w:style w:type="paragraph" w:styleId="16">
    <w:name w:val="caption"/>
    <w:basedOn w:val="1"/>
    <w:next w:val="1"/>
    <w:qFormat/>
    <w:uiPriority w:val="0"/>
    <w:rPr>
      <w:rFonts w:ascii="Cambria" w:hAnsi="Cambria" w:eastAsia="黑体"/>
      <w:sz w:val="20"/>
    </w:rPr>
  </w:style>
  <w:style w:type="paragraph" w:styleId="17">
    <w:name w:val="List Bullet"/>
    <w:basedOn w:val="1"/>
    <w:qFormat/>
    <w:uiPriority w:val="0"/>
    <w:pPr>
      <w:tabs>
        <w:tab w:val="left" w:pos="360"/>
      </w:tabs>
      <w:ind w:left="360" w:hanging="360" w:hangingChars="200"/>
    </w:pPr>
    <w:rPr>
      <w:szCs w:val="24"/>
    </w:rPr>
  </w:style>
  <w:style w:type="paragraph" w:styleId="18">
    <w:name w:val="Document Map"/>
    <w:basedOn w:val="1"/>
    <w:link w:val="347"/>
    <w:qFormat/>
    <w:uiPriority w:val="0"/>
    <w:pPr>
      <w:shd w:val="clear" w:color="auto" w:fill="000080"/>
    </w:pPr>
    <w:rPr>
      <w:rFonts w:ascii="Calibri" w:hAnsi="Calibri"/>
      <w:kern w:val="0"/>
      <w:sz w:val="20"/>
    </w:r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98"/>
    <w:qFormat/>
    <w:uiPriority w:val="99"/>
    <w:pPr>
      <w:jc w:val="left"/>
    </w:pPr>
    <w:rPr>
      <w:kern w:val="0"/>
      <w:sz w:val="20"/>
    </w:rPr>
  </w:style>
  <w:style w:type="paragraph" w:styleId="21">
    <w:name w:val="Body Text 3"/>
    <w:basedOn w:val="1"/>
    <w:link w:val="310"/>
    <w:qFormat/>
    <w:uiPriority w:val="0"/>
    <w:pPr>
      <w:spacing w:after="120"/>
    </w:pPr>
    <w:rPr>
      <w:rFonts w:ascii="Calibri" w:hAnsi="Calibri"/>
      <w:kern w:val="0"/>
      <w:sz w:val="16"/>
      <w:szCs w:val="16"/>
    </w:rPr>
  </w:style>
  <w:style w:type="paragraph" w:styleId="22">
    <w:name w:val="List Bullet 3"/>
    <w:basedOn w:val="1"/>
    <w:qFormat/>
    <w:uiPriority w:val="0"/>
    <w:pPr>
      <w:tabs>
        <w:tab w:val="left" w:pos="1200"/>
      </w:tabs>
      <w:ind w:left="1200" w:leftChars="400" w:hanging="360" w:hangingChars="200"/>
    </w:pPr>
    <w:rPr>
      <w:szCs w:val="24"/>
    </w:rPr>
  </w:style>
  <w:style w:type="paragraph" w:styleId="23">
    <w:name w:val="Body Text"/>
    <w:basedOn w:val="1"/>
    <w:next w:val="1"/>
    <w:link w:val="441"/>
    <w:qFormat/>
    <w:uiPriority w:val="0"/>
    <w:rPr>
      <w:rFonts w:ascii="Calibri" w:hAnsi="Calibri"/>
      <w:kern w:val="0"/>
      <w:sz w:val="26"/>
    </w:rPr>
  </w:style>
  <w:style w:type="paragraph" w:styleId="24">
    <w:name w:val="Body Text Indent"/>
    <w:basedOn w:val="1"/>
    <w:link w:val="415"/>
    <w:qFormat/>
    <w:uiPriority w:val="0"/>
    <w:pPr>
      <w:spacing w:line="360" w:lineRule="auto"/>
      <w:ind w:firstLine="560" w:firstLineChars="200"/>
    </w:pPr>
    <w:rPr>
      <w:rFonts w:ascii="黑体" w:hAnsi="宋体" w:eastAsia="黑体"/>
      <w:color w:val="000000"/>
      <w:kern w:val="0"/>
      <w:sz w:val="28"/>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9">
    <w:name w:val="List Bullet 2"/>
    <w:basedOn w:val="1"/>
    <w:qFormat/>
    <w:uiPriority w:val="0"/>
    <w:pPr>
      <w:tabs>
        <w:tab w:val="left" w:pos="780"/>
      </w:tabs>
      <w:ind w:left="780" w:leftChars="200" w:hanging="360" w:hangingChars="200"/>
    </w:pPr>
    <w:rPr>
      <w:szCs w:val="24"/>
    </w:rPr>
  </w:style>
  <w:style w:type="paragraph" w:styleId="30">
    <w:name w:val="index 4"/>
    <w:basedOn w:val="1"/>
    <w:next w:val="1"/>
    <w:qFormat/>
    <w:uiPriority w:val="0"/>
    <w:pPr>
      <w:ind w:left="600" w:leftChars="600"/>
    </w:pPr>
    <w:rPr>
      <w:szCs w:val="24"/>
    </w:rPr>
  </w:style>
  <w:style w:type="paragraph" w:styleId="31">
    <w:name w:val="toc 5"/>
    <w:basedOn w:val="1"/>
    <w:next w:val="1"/>
    <w:qFormat/>
    <w:uiPriority w:val="0"/>
    <w:pPr>
      <w:ind w:left="840"/>
      <w:jc w:val="left"/>
    </w:pPr>
    <w:rPr>
      <w:rFonts w:ascii="Calibri" w:hAnsi="Calibri"/>
      <w:sz w:val="18"/>
    </w:rPr>
  </w:style>
  <w:style w:type="paragraph" w:styleId="32">
    <w:name w:val="toc 3"/>
    <w:basedOn w:val="1"/>
    <w:next w:val="1"/>
    <w:qFormat/>
    <w:uiPriority w:val="39"/>
    <w:pPr>
      <w:ind w:left="420"/>
      <w:jc w:val="left"/>
    </w:pPr>
    <w:rPr>
      <w:rFonts w:ascii="Calibri" w:hAnsi="Calibri" w:eastAsia="仿宋_GB2312"/>
    </w:rPr>
  </w:style>
  <w:style w:type="paragraph" w:styleId="33">
    <w:name w:val="Plain Text"/>
    <w:basedOn w:val="1"/>
    <w:link w:val="426"/>
    <w:qFormat/>
    <w:uiPriority w:val="0"/>
    <w:rPr>
      <w:rFonts w:ascii="宋体" w:hAnsi="Courier New"/>
      <w:kern w:val="0"/>
      <w:sz w:val="28"/>
    </w:rPr>
  </w:style>
  <w:style w:type="paragraph" w:styleId="34">
    <w:name w:val="List Bullet 5"/>
    <w:basedOn w:val="1"/>
    <w:qFormat/>
    <w:uiPriority w:val="0"/>
    <w:pPr>
      <w:tabs>
        <w:tab w:val="left" w:pos="2040"/>
      </w:tabs>
      <w:ind w:left="2040" w:leftChars="800" w:hanging="360" w:hangingChars="200"/>
    </w:pPr>
    <w:rPr>
      <w:szCs w:val="24"/>
    </w:rPr>
  </w:style>
  <w:style w:type="paragraph" w:styleId="35">
    <w:name w:val="toc 8"/>
    <w:basedOn w:val="1"/>
    <w:next w:val="1"/>
    <w:qFormat/>
    <w:uiPriority w:val="0"/>
    <w:pPr>
      <w:ind w:left="1470"/>
      <w:jc w:val="left"/>
    </w:pPr>
    <w:rPr>
      <w:rFonts w:ascii="Calibri" w:hAnsi="Calibri"/>
      <w:sz w:val="18"/>
    </w:rPr>
  </w:style>
  <w:style w:type="paragraph" w:styleId="36">
    <w:name w:val="Date"/>
    <w:basedOn w:val="1"/>
    <w:next w:val="1"/>
    <w:link w:val="358"/>
    <w:qFormat/>
    <w:uiPriority w:val="0"/>
    <w:rPr>
      <w:rFonts w:ascii="Calibri" w:hAnsi="Calibri"/>
      <w:kern w:val="0"/>
      <w:sz w:val="24"/>
    </w:rPr>
  </w:style>
  <w:style w:type="paragraph" w:styleId="37">
    <w:name w:val="Body Text Indent 2"/>
    <w:basedOn w:val="1"/>
    <w:link w:val="382"/>
    <w:qFormat/>
    <w:uiPriority w:val="0"/>
    <w:pPr>
      <w:ind w:left="1005" w:hanging="1005"/>
    </w:pPr>
    <w:rPr>
      <w:rFonts w:ascii="Calibri" w:hAnsi="Calibri" w:eastAsia="仿宋_GB2312"/>
      <w:kern w:val="0"/>
      <w:sz w:val="32"/>
    </w:rPr>
  </w:style>
  <w:style w:type="paragraph" w:styleId="38">
    <w:name w:val="endnote text"/>
    <w:basedOn w:val="1"/>
    <w:link w:val="356"/>
    <w:qFormat/>
    <w:uiPriority w:val="0"/>
    <w:pPr>
      <w:widowControl/>
      <w:snapToGrid w:val="0"/>
      <w:jc w:val="left"/>
    </w:pPr>
    <w:rPr>
      <w:rFonts w:ascii="Arial" w:hAnsi="Arial"/>
      <w:kern w:val="0"/>
      <w:sz w:val="20"/>
      <w:szCs w:val="24"/>
      <w:lang w:eastAsia="en-US"/>
    </w:rPr>
  </w:style>
  <w:style w:type="paragraph" w:styleId="39">
    <w:name w:val="Balloon Text"/>
    <w:basedOn w:val="1"/>
    <w:link w:val="427"/>
    <w:qFormat/>
    <w:uiPriority w:val="0"/>
    <w:rPr>
      <w:rFonts w:ascii="Calibri" w:hAnsi="Calibri"/>
      <w:kern w:val="0"/>
      <w:sz w:val="18"/>
    </w:rPr>
  </w:style>
  <w:style w:type="paragraph" w:styleId="40">
    <w:name w:val="footer"/>
    <w:basedOn w:val="1"/>
    <w:link w:val="460"/>
    <w:qFormat/>
    <w:uiPriority w:val="0"/>
    <w:pPr>
      <w:tabs>
        <w:tab w:val="center" w:pos="4153"/>
        <w:tab w:val="right" w:pos="8306"/>
      </w:tabs>
      <w:snapToGrid w:val="0"/>
      <w:jc w:val="left"/>
    </w:pPr>
    <w:rPr>
      <w:rFonts w:ascii="Calibri" w:hAnsi="Calibri"/>
      <w:kern w:val="0"/>
      <w:sz w:val="18"/>
      <w:szCs w:val="18"/>
    </w:rPr>
  </w:style>
  <w:style w:type="paragraph" w:styleId="41">
    <w:name w:val="header"/>
    <w:basedOn w:val="1"/>
    <w:link w:val="359"/>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2">
    <w:name w:val="toc 1"/>
    <w:basedOn w:val="3"/>
    <w:next w:val="1"/>
    <w:qFormat/>
    <w:uiPriority w:val="0"/>
    <w:pPr>
      <w:spacing w:before="120" w:after="120"/>
      <w:jc w:val="left"/>
    </w:pPr>
    <w:rPr>
      <w:rFonts w:ascii="Calibri" w:hAnsi="Calibri" w:eastAsia="仿宋_GB2312"/>
      <w:b/>
      <w:caps/>
      <w:sz w:val="28"/>
    </w:rPr>
  </w:style>
  <w:style w:type="paragraph" w:styleId="43">
    <w:name w:val="List Continue 4"/>
    <w:basedOn w:val="1"/>
    <w:qFormat/>
    <w:uiPriority w:val="0"/>
    <w:pPr>
      <w:adjustRightInd w:val="0"/>
      <w:snapToGrid w:val="0"/>
      <w:spacing w:after="120" w:line="360" w:lineRule="auto"/>
      <w:ind w:left="1680" w:leftChars="800"/>
    </w:pPr>
    <w:rPr>
      <w:sz w:val="24"/>
    </w:rPr>
  </w:style>
  <w:style w:type="paragraph" w:styleId="44">
    <w:name w:val="toc 4"/>
    <w:basedOn w:val="1"/>
    <w:next w:val="1"/>
    <w:qFormat/>
    <w:uiPriority w:val="0"/>
    <w:pPr>
      <w:ind w:left="630"/>
      <w:jc w:val="left"/>
    </w:pPr>
    <w:rPr>
      <w:rFonts w:ascii="Calibri" w:hAnsi="Calibri"/>
      <w:sz w:val="18"/>
    </w:rPr>
  </w:style>
  <w:style w:type="paragraph" w:styleId="45">
    <w:name w:val="Subtitle"/>
    <w:basedOn w:val="1"/>
    <w:link w:val="444"/>
    <w:qFormat/>
    <w:uiPriority w:val="0"/>
    <w:pPr>
      <w:widowControl/>
      <w:jc w:val="center"/>
    </w:pPr>
    <w:rPr>
      <w:rFonts w:ascii="Calibri" w:hAnsi="Calibri"/>
      <w:kern w:val="0"/>
      <w:sz w:val="20"/>
      <w:szCs w:val="24"/>
      <w:u w:val="single"/>
      <w:lang w:eastAsia="en-US"/>
    </w:rPr>
  </w:style>
  <w:style w:type="paragraph" w:styleId="46">
    <w:name w:val="footnote text"/>
    <w:basedOn w:val="1"/>
    <w:link w:val="397"/>
    <w:qFormat/>
    <w:uiPriority w:val="0"/>
    <w:pPr>
      <w:snapToGrid w:val="0"/>
      <w:jc w:val="left"/>
    </w:pPr>
    <w:rPr>
      <w:rFonts w:ascii="Calibri" w:hAnsi="Calibri"/>
      <w:kern w:val="0"/>
      <w:sz w:val="18"/>
    </w:rPr>
  </w:style>
  <w:style w:type="paragraph" w:styleId="47">
    <w:name w:val="toc 6"/>
    <w:basedOn w:val="1"/>
    <w:next w:val="1"/>
    <w:qFormat/>
    <w:uiPriority w:val="0"/>
    <w:pPr>
      <w:ind w:left="1050"/>
      <w:jc w:val="left"/>
    </w:pPr>
    <w:rPr>
      <w:rFonts w:ascii="Calibri" w:hAnsi="Calibri"/>
      <w:sz w:val="18"/>
    </w:rPr>
  </w:style>
  <w:style w:type="paragraph" w:styleId="48">
    <w:name w:val="List 5"/>
    <w:basedOn w:val="1"/>
    <w:qFormat/>
    <w:uiPriority w:val="0"/>
    <w:pPr>
      <w:adjustRightInd w:val="0"/>
      <w:snapToGrid w:val="0"/>
      <w:spacing w:line="360" w:lineRule="auto"/>
      <w:ind w:left="100" w:leftChars="800" w:hanging="200" w:hangingChars="200"/>
    </w:pPr>
    <w:rPr>
      <w:sz w:val="24"/>
    </w:rPr>
  </w:style>
  <w:style w:type="paragraph" w:styleId="49">
    <w:name w:val="Body Text Indent 3"/>
    <w:basedOn w:val="1"/>
    <w:link w:val="345"/>
    <w:qFormat/>
    <w:uiPriority w:val="0"/>
    <w:pPr>
      <w:spacing w:after="120"/>
      <w:ind w:left="420" w:leftChars="200"/>
    </w:pPr>
    <w:rPr>
      <w:rFonts w:ascii="Calibri" w:hAnsi="Calibri"/>
      <w:kern w:val="0"/>
      <w:sz w:val="16"/>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tabs>
        <w:tab w:val="right" w:leader="dot" w:pos="8609"/>
      </w:tabs>
      <w:ind w:left="210"/>
      <w:jc w:val="distribute"/>
    </w:pPr>
    <w:rPr>
      <w:rFonts w:ascii="Calibri" w:hAnsi="Calibri" w:eastAsia="仿宋_GB2312"/>
      <w:smallCaps/>
    </w:rPr>
  </w:style>
  <w:style w:type="paragraph" w:styleId="52">
    <w:name w:val="toc 9"/>
    <w:basedOn w:val="1"/>
    <w:next w:val="1"/>
    <w:qFormat/>
    <w:uiPriority w:val="0"/>
    <w:pPr>
      <w:ind w:left="1680"/>
      <w:jc w:val="left"/>
    </w:pPr>
    <w:rPr>
      <w:rFonts w:ascii="Calibri" w:hAnsi="Calibri"/>
      <w:sz w:val="18"/>
    </w:rPr>
  </w:style>
  <w:style w:type="paragraph" w:styleId="53">
    <w:name w:val="Body Text 2"/>
    <w:basedOn w:val="1"/>
    <w:link w:val="385"/>
    <w:qFormat/>
    <w:uiPriority w:val="0"/>
    <w:rPr>
      <w:rFonts w:ascii="Calibri" w:hAnsi="Calibri"/>
      <w:i/>
      <w:kern w:val="0"/>
      <w:sz w:val="26"/>
    </w:rPr>
  </w:style>
  <w:style w:type="paragraph" w:styleId="54">
    <w:name w:val="List 4"/>
    <w:basedOn w:val="1"/>
    <w:qFormat/>
    <w:uiPriority w:val="0"/>
    <w:pPr>
      <w:adjustRightInd w:val="0"/>
      <w:snapToGrid w:val="0"/>
      <w:spacing w:line="360" w:lineRule="auto"/>
      <w:ind w:left="100" w:leftChars="600" w:hanging="200" w:hangingChars="200"/>
    </w:pPr>
    <w:rPr>
      <w:sz w:val="24"/>
    </w:rPr>
  </w:style>
  <w:style w:type="paragraph" w:styleId="55">
    <w:name w:val="List Continue 2"/>
    <w:basedOn w:val="1"/>
    <w:qFormat/>
    <w:uiPriority w:val="0"/>
    <w:pPr>
      <w:spacing w:after="120"/>
      <w:ind w:left="840" w:leftChars="400"/>
    </w:pPr>
    <w:rPr>
      <w:szCs w:val="24"/>
    </w:rPr>
  </w:style>
  <w:style w:type="paragraph" w:styleId="56">
    <w:name w:val="HTML Preformatted"/>
    <w:basedOn w:val="1"/>
    <w:link w:val="4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7">
    <w:name w:val="Normal (Web)"/>
    <w:basedOn w:val="1"/>
    <w:qFormat/>
    <w:uiPriority w:val="0"/>
    <w:pPr>
      <w:widowControl/>
      <w:spacing w:before="100" w:beforeAutospacing="1" w:after="100" w:afterAutospacing="1"/>
      <w:jc w:val="left"/>
    </w:pPr>
    <w:rPr>
      <w:rFonts w:ascii="_x000B__x000C_" w:hAnsi="_x000B__x000C_"/>
      <w:kern w:val="0"/>
      <w:sz w:val="24"/>
    </w:rPr>
  </w:style>
  <w:style w:type="paragraph" w:styleId="58">
    <w:name w:val="List Continue 3"/>
    <w:basedOn w:val="1"/>
    <w:qFormat/>
    <w:uiPriority w:val="0"/>
    <w:pPr>
      <w:adjustRightInd w:val="0"/>
      <w:snapToGrid w:val="0"/>
      <w:spacing w:after="120" w:line="360" w:lineRule="auto"/>
      <w:ind w:left="1260" w:leftChars="600"/>
    </w:pPr>
    <w:rPr>
      <w:sz w:val="24"/>
    </w:rPr>
  </w:style>
  <w:style w:type="paragraph" w:styleId="59">
    <w:name w:val="index 1"/>
    <w:basedOn w:val="1"/>
    <w:next w:val="1"/>
    <w:qFormat/>
    <w:uiPriority w:val="0"/>
    <w:pPr>
      <w:spacing w:line="220" w:lineRule="exact"/>
      <w:jc w:val="center"/>
    </w:pPr>
    <w:rPr>
      <w:rFonts w:ascii="仿宋_GB2312" w:eastAsia="仿宋_GB2312"/>
      <w:szCs w:val="21"/>
    </w:rPr>
  </w:style>
  <w:style w:type="paragraph" w:styleId="60">
    <w:name w:val="Title"/>
    <w:basedOn w:val="1"/>
    <w:link w:val="312"/>
    <w:qFormat/>
    <w:uiPriority w:val="0"/>
    <w:pPr>
      <w:widowControl/>
      <w:jc w:val="center"/>
    </w:pPr>
    <w:rPr>
      <w:rFonts w:ascii="Calibri" w:hAnsi="Calibri"/>
      <w:kern w:val="0"/>
      <w:sz w:val="20"/>
      <w:szCs w:val="24"/>
      <w:u w:val="single"/>
      <w:lang w:eastAsia="en-US"/>
    </w:rPr>
  </w:style>
  <w:style w:type="paragraph" w:styleId="61">
    <w:name w:val="annotation subject"/>
    <w:basedOn w:val="20"/>
    <w:next w:val="20"/>
    <w:link w:val="409"/>
    <w:qFormat/>
    <w:uiPriority w:val="0"/>
    <w:rPr>
      <w:rFonts w:ascii="Calibri" w:hAnsi="Calibri"/>
      <w:sz w:val="24"/>
    </w:rPr>
  </w:style>
  <w:style w:type="paragraph" w:styleId="62">
    <w:name w:val="Body Text First Indent"/>
    <w:basedOn w:val="23"/>
    <w:link w:val="294"/>
    <w:qFormat/>
    <w:uiPriority w:val="0"/>
    <w:pPr>
      <w:spacing w:line="360" w:lineRule="auto"/>
      <w:ind w:firstLine="420"/>
    </w:pPr>
    <w:rPr>
      <w:rFonts w:ascii="宋体" w:hAnsi="宋体"/>
      <w:sz w:val="24"/>
    </w:rPr>
  </w:style>
  <w:style w:type="paragraph" w:styleId="63">
    <w:name w:val="Body Text First Indent 2"/>
    <w:basedOn w:val="24"/>
    <w:link w:val="416"/>
    <w:qFormat/>
    <w:uiPriority w:val="0"/>
    <w:pPr>
      <w:spacing w:after="120" w:line="240" w:lineRule="auto"/>
      <w:ind w:left="420" w:leftChars="200" w:firstLine="420"/>
    </w:pPr>
    <w:rPr>
      <w:sz w:val="20"/>
      <w:szCs w:val="24"/>
    </w:rPr>
  </w:style>
  <w:style w:type="table" w:styleId="65">
    <w:name w:val="Table Grid"/>
    <w:basedOn w:val="6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7">
    <w:name w:val="Strong"/>
    <w:qFormat/>
    <w:uiPriority w:val="22"/>
    <w:rPr>
      <w:b/>
    </w:rPr>
  </w:style>
  <w:style w:type="character" w:styleId="68">
    <w:name w:val="endnote reference"/>
    <w:qFormat/>
    <w:uiPriority w:val="0"/>
    <w:rPr>
      <w:rFonts w:ascii="Calibri" w:hAnsi="Calibri" w:eastAsia="宋体" w:cs="Times New Roman"/>
      <w:vertAlign w:val="superscript"/>
    </w:rPr>
  </w:style>
  <w:style w:type="character" w:styleId="69">
    <w:name w:val="page number"/>
    <w:basedOn w:val="66"/>
    <w:qFormat/>
    <w:uiPriority w:val="0"/>
  </w:style>
  <w:style w:type="character" w:styleId="70">
    <w:name w:val="FollowedHyperlink"/>
    <w:basedOn w:val="66"/>
    <w:qFormat/>
    <w:uiPriority w:val="0"/>
    <w:rPr>
      <w:color w:val="296FBE"/>
      <w:u w:val="none"/>
    </w:rPr>
  </w:style>
  <w:style w:type="character" w:styleId="71">
    <w:name w:val="Emphasis"/>
    <w:qFormat/>
    <w:uiPriority w:val="0"/>
    <w:rPr>
      <w:i/>
      <w:iCs/>
    </w:rPr>
  </w:style>
  <w:style w:type="character" w:styleId="72">
    <w:name w:val="HTML Definition"/>
    <w:basedOn w:val="66"/>
    <w:qFormat/>
    <w:uiPriority w:val="99"/>
  </w:style>
  <w:style w:type="character" w:styleId="73">
    <w:name w:val="HTML Variable"/>
    <w:basedOn w:val="66"/>
    <w:qFormat/>
    <w:uiPriority w:val="99"/>
  </w:style>
  <w:style w:type="character" w:styleId="74">
    <w:name w:val="Hyperlink"/>
    <w:basedOn w:val="66"/>
    <w:qFormat/>
    <w:uiPriority w:val="99"/>
    <w:rPr>
      <w:color w:val="296FBE"/>
      <w:u w:val="none"/>
    </w:rPr>
  </w:style>
  <w:style w:type="character" w:styleId="75">
    <w:name w:val="HTML Code"/>
    <w:basedOn w:val="66"/>
    <w:qFormat/>
    <w:uiPriority w:val="99"/>
    <w:rPr>
      <w:rFonts w:hint="eastAsia" w:ascii="微软雅黑" w:hAnsi="微软雅黑" w:eastAsia="微软雅黑" w:cs="微软雅黑"/>
      <w:sz w:val="20"/>
    </w:rPr>
  </w:style>
  <w:style w:type="character" w:styleId="76">
    <w:name w:val="annotation reference"/>
    <w:qFormat/>
    <w:uiPriority w:val="0"/>
    <w:rPr>
      <w:sz w:val="21"/>
    </w:rPr>
  </w:style>
  <w:style w:type="character" w:styleId="77">
    <w:name w:val="HTML Cite"/>
    <w:qFormat/>
    <w:uiPriority w:val="0"/>
    <w:rPr>
      <w:color w:val="008000"/>
    </w:rPr>
  </w:style>
  <w:style w:type="character" w:styleId="78">
    <w:name w:val="footnote reference"/>
    <w:qFormat/>
    <w:uiPriority w:val="0"/>
    <w:rPr>
      <w:vertAlign w:val="superscript"/>
    </w:rPr>
  </w:style>
  <w:style w:type="paragraph" w:customStyle="1" w:styleId="79">
    <w:name w:val="内容标题"/>
    <w:basedOn w:val="18"/>
    <w:qFormat/>
    <w:uiPriority w:val="0"/>
    <w:rPr>
      <w:rFonts w:ascii="Tahoma" w:hAnsi="Tahoma"/>
      <w:kern w:val="2"/>
      <w:sz w:val="24"/>
    </w:rPr>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默认段落字体 Para Char Char Char Char Char Char Char"/>
    <w:basedOn w:val="1"/>
    <w:qFormat/>
    <w:uiPriority w:val="0"/>
    <w:rPr>
      <w:rFonts w:ascii="Tahoma" w:hAnsi="Tahoma"/>
      <w:sz w:val="24"/>
    </w:rPr>
  </w:style>
  <w:style w:type="paragraph" w:customStyle="1" w:styleId="82">
    <w:name w:val="首行缩进"/>
    <w:basedOn w:val="1"/>
    <w:qFormat/>
    <w:uiPriority w:val="0"/>
    <w:pPr>
      <w:numPr>
        <w:ilvl w:val="0"/>
        <w:numId w:val="2"/>
      </w:numPr>
      <w:tabs>
        <w:tab w:val="left" w:pos="540"/>
      </w:tabs>
      <w:spacing w:line="360" w:lineRule="auto"/>
    </w:pPr>
    <w:rPr>
      <w:rFonts w:eastAsia="仿宋_GB2312"/>
      <w:sz w:val="28"/>
    </w:rPr>
  </w:style>
  <w:style w:type="paragraph" w:customStyle="1" w:styleId="83">
    <w:name w:val="Char"/>
    <w:basedOn w:val="18"/>
    <w:qFormat/>
    <w:uiPriority w:val="0"/>
    <w:pPr>
      <w:spacing w:line="360" w:lineRule="auto"/>
      <w:ind w:firstLine="200" w:firstLineChars="200"/>
    </w:pPr>
    <w:rPr>
      <w:sz w:val="18"/>
    </w:rPr>
  </w:style>
  <w:style w:type="paragraph" w:customStyle="1" w:styleId="84">
    <w:name w:val="样式 首行缩进:  0.74 厘米"/>
    <w:basedOn w:val="1"/>
    <w:qFormat/>
    <w:uiPriority w:val="0"/>
    <w:pPr>
      <w:spacing w:line="360" w:lineRule="auto"/>
      <w:ind w:firstLine="420"/>
    </w:pPr>
    <w:rPr>
      <w:sz w:val="24"/>
    </w:rPr>
  </w:style>
  <w:style w:type="paragraph" w:customStyle="1" w:styleId="85">
    <w:name w:val="文字"/>
    <w:basedOn w:val="1"/>
    <w:link w:val="383"/>
    <w:qFormat/>
    <w:uiPriority w:val="0"/>
    <w:pPr>
      <w:tabs>
        <w:tab w:val="left" w:pos="8520"/>
      </w:tabs>
      <w:spacing w:line="312" w:lineRule="auto"/>
      <w:ind w:right="-210" w:firstLine="556"/>
    </w:pPr>
    <w:rPr>
      <w:rFonts w:ascii="宋体" w:hAnsi="Calibri"/>
      <w:sz w:val="28"/>
    </w:rPr>
  </w:style>
  <w:style w:type="paragraph" w:customStyle="1" w:styleId="8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7">
    <w:name w:val="Char Char Char Char Char Char Char"/>
    <w:basedOn w:val="1"/>
    <w:qFormat/>
    <w:uiPriority w:val="0"/>
    <w:rPr>
      <w:szCs w:val="24"/>
    </w:rPr>
  </w:style>
  <w:style w:type="paragraph" w:customStyle="1" w:styleId="88">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89">
    <w:name w:val="默认段落字体 Para Char Char Char Char"/>
    <w:basedOn w:val="1"/>
    <w:qFormat/>
    <w:uiPriority w:val="0"/>
    <w:rPr>
      <w:szCs w:val="21"/>
    </w:rPr>
  </w:style>
  <w:style w:type="paragraph" w:customStyle="1" w:styleId="90">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表头文本"/>
    <w:qFormat/>
    <w:uiPriority w:val="0"/>
    <w:pPr>
      <w:jc w:val="center"/>
    </w:pPr>
    <w:rPr>
      <w:rFonts w:ascii="Arial" w:hAnsi="Arial" w:eastAsia="宋体" w:cs="Times New Roman"/>
      <w:b/>
      <w:sz w:val="21"/>
      <w:lang w:val="en-US" w:eastAsia="zh-CN" w:bidi="ar-SA"/>
    </w:rPr>
  </w:style>
  <w:style w:type="paragraph" w:customStyle="1" w:styleId="92">
    <w:name w:val="Char Char Char Char"/>
    <w:basedOn w:val="18"/>
    <w:qFormat/>
    <w:uiPriority w:val="0"/>
    <w:pPr>
      <w:spacing w:line="360" w:lineRule="auto"/>
      <w:ind w:firstLine="200" w:firstLineChars="200"/>
    </w:pPr>
  </w:style>
  <w:style w:type="paragraph" w:customStyle="1" w:styleId="9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94">
    <w:name w:val="Char7"/>
    <w:basedOn w:val="1"/>
    <w:qFormat/>
    <w:uiPriority w:val="0"/>
    <w:pPr>
      <w:widowControl/>
      <w:spacing w:after="160" w:line="240" w:lineRule="exact"/>
      <w:jc w:val="left"/>
    </w:pPr>
  </w:style>
  <w:style w:type="paragraph" w:customStyle="1" w:styleId="95">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6">
    <w:name w:val="简单回函地址"/>
    <w:basedOn w:val="1"/>
    <w:qFormat/>
    <w:uiPriority w:val="0"/>
    <w:pPr>
      <w:adjustRightInd w:val="0"/>
      <w:snapToGrid w:val="0"/>
      <w:spacing w:line="360" w:lineRule="auto"/>
    </w:pPr>
    <w:rPr>
      <w:sz w:val="24"/>
    </w:rPr>
  </w:style>
  <w:style w:type="paragraph" w:customStyle="1" w:styleId="97">
    <w:name w:val="Char2 Char Char Char Char Char Char"/>
    <w:basedOn w:val="1"/>
    <w:qFormat/>
    <w:uiPriority w:val="0"/>
    <w:rPr>
      <w:rFonts w:ascii="仿宋_GB2312"/>
      <w:b/>
      <w:sz w:val="30"/>
    </w:rPr>
  </w:style>
  <w:style w:type="paragraph" w:customStyle="1" w:styleId="9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9">
    <w:name w:val="CM95"/>
    <w:basedOn w:val="1"/>
    <w:next w:val="1"/>
    <w:qFormat/>
    <w:uiPriority w:val="0"/>
    <w:pPr>
      <w:autoSpaceDE w:val="0"/>
      <w:autoSpaceDN w:val="0"/>
      <w:adjustRightInd w:val="0"/>
      <w:spacing w:after="115"/>
      <w:jc w:val="left"/>
    </w:pPr>
    <w:rPr>
      <w:rFonts w:ascii="宋体"/>
      <w:kern w:val="0"/>
      <w:sz w:val="24"/>
      <w:szCs w:val="24"/>
    </w:rPr>
  </w:style>
  <w:style w:type="paragraph" w:customStyle="1" w:styleId="100">
    <w:name w:val="二级列表"/>
    <w:basedOn w:val="101"/>
    <w:next w:val="101"/>
    <w:qFormat/>
    <w:uiPriority w:val="0"/>
    <w:pPr>
      <w:tabs>
        <w:tab w:val="left" w:pos="2120"/>
      </w:tabs>
      <w:ind w:firstLine="0" w:firstLineChars="0"/>
    </w:pPr>
    <w:rPr>
      <w:b/>
    </w:rPr>
  </w:style>
  <w:style w:type="paragraph" w:customStyle="1" w:styleId="101">
    <w:name w:val="段落正文"/>
    <w:basedOn w:val="1"/>
    <w:qFormat/>
    <w:uiPriority w:val="0"/>
    <w:pPr>
      <w:spacing w:beforeLines="50" w:line="360" w:lineRule="auto"/>
      <w:ind w:firstLine="200" w:firstLineChars="200"/>
    </w:pPr>
    <w:rPr>
      <w:spacing w:val="2"/>
      <w:sz w:val="24"/>
    </w:rPr>
  </w:style>
  <w:style w:type="paragraph" w:customStyle="1" w:styleId="102">
    <w:name w:val="Char Char Char Char1"/>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03">
    <w:name w:val="标题5"/>
    <w:basedOn w:val="5"/>
    <w:link w:val="405"/>
    <w:qFormat/>
    <w:uiPriority w:val="0"/>
    <w:pPr>
      <w:keepNext/>
      <w:keepLines/>
      <w:autoSpaceDE/>
      <w:autoSpaceDN/>
      <w:adjustRightInd/>
      <w:spacing w:before="260" w:after="260" w:line="413" w:lineRule="auto"/>
      <w:jc w:val="both"/>
    </w:pPr>
    <w:rPr>
      <w:rFonts w:ascii="Arial" w:hAnsi="Arial" w:eastAsia="宋体"/>
      <w:bCs/>
      <w:szCs w:val="32"/>
    </w:rPr>
  </w:style>
  <w:style w:type="paragraph" w:customStyle="1" w:styleId="1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06">
    <w:name w:val="Style Heading 3h3Heading 3 - oldLevel 3 HeadH3level_3PIM 3se..."/>
    <w:basedOn w:val="5"/>
    <w:qFormat/>
    <w:uiPriority w:val="0"/>
    <w:pPr>
      <w:keepNext/>
      <w:keepLines/>
      <w:numPr>
        <w:ilvl w:val="2"/>
        <w:numId w:val="3"/>
      </w:numPr>
      <w:tabs>
        <w:tab w:val="left" w:pos="709"/>
      </w:tabs>
      <w:autoSpaceDE/>
      <w:autoSpaceDN/>
      <w:adjustRightInd/>
      <w:spacing w:before="260" w:after="260" w:line="413" w:lineRule="auto"/>
      <w:jc w:val="both"/>
    </w:pPr>
    <w:rPr>
      <w:rFonts w:ascii="Times New Roman" w:eastAsia="宋体"/>
      <w:kern w:val="2"/>
      <w:sz w:val="32"/>
    </w:rPr>
  </w:style>
  <w:style w:type="paragraph" w:customStyle="1" w:styleId="10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8">
    <w:name w:val="表格内容"/>
    <w:basedOn w:val="1"/>
    <w:qFormat/>
    <w:uiPriority w:val="0"/>
    <w:pPr>
      <w:suppressLineNumbers/>
      <w:suppressAutoHyphens/>
    </w:pPr>
    <w:rPr>
      <w:rFonts w:ascii="Calibri" w:hAnsi="Calibri"/>
      <w:szCs w:val="24"/>
    </w:rPr>
  </w:style>
  <w:style w:type="paragraph" w:customStyle="1" w:styleId="109">
    <w:name w:val="样式1xz"/>
    <w:basedOn w:val="1"/>
    <w:qFormat/>
    <w:uiPriority w:val="0"/>
    <w:pPr>
      <w:tabs>
        <w:tab w:val="left" w:pos="1050"/>
        <w:tab w:val="right" w:leader="dot" w:pos="8296"/>
      </w:tabs>
    </w:pPr>
    <w:rPr>
      <w:caps/>
      <w:spacing w:val="20"/>
      <w:sz w:val="24"/>
    </w:rPr>
  </w:style>
  <w:style w:type="paragraph" w:customStyle="1" w:styleId="11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2">
    <w:name w:val="Title - Revision"/>
    <w:basedOn w:val="60"/>
    <w:qFormat/>
    <w:uiPriority w:val="0"/>
    <w:pPr>
      <w:spacing w:before="720" w:after="240" w:line="360" w:lineRule="auto"/>
    </w:pPr>
    <w:rPr>
      <w:rFonts w:ascii="Arial" w:hAnsi="Arial"/>
      <w:b/>
      <w:smallCaps/>
      <w:kern w:val="28"/>
      <w:sz w:val="36"/>
      <w:szCs w:val="20"/>
      <w:u w:val="none"/>
    </w:rPr>
  </w:style>
  <w:style w:type="paragraph" w:customStyle="1" w:styleId="113">
    <w:name w:val="Title - Date"/>
    <w:basedOn w:val="60"/>
    <w:next w:val="1"/>
    <w:qFormat/>
    <w:uiPriority w:val="0"/>
    <w:pPr>
      <w:spacing w:before="240" w:after="720" w:line="360" w:lineRule="auto"/>
    </w:pPr>
    <w:rPr>
      <w:rFonts w:ascii="Arial" w:hAnsi="Arial"/>
      <w:b/>
      <w:smallCaps/>
      <w:kern w:val="28"/>
      <w:sz w:val="28"/>
      <w:szCs w:val="20"/>
      <w:u w:val="none"/>
    </w:rPr>
  </w:style>
  <w:style w:type="paragraph" w:customStyle="1" w:styleId="11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sz w:val="28"/>
      <w:lang w:val="zh-CN"/>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cs="宋体"/>
      <w:b w:val="0"/>
      <w:kern w:val="2"/>
    </w:rPr>
  </w:style>
  <w:style w:type="paragraph" w:customStyle="1" w:styleId="117">
    <w:name w:val="关键词"/>
    <w:basedOn w:val="1"/>
    <w:next w:val="1"/>
    <w:qFormat/>
    <w:uiPriority w:val="0"/>
    <w:pPr>
      <w:spacing w:line="360" w:lineRule="auto"/>
    </w:pPr>
    <w:rPr>
      <w:rFonts w:eastAsia="黑体"/>
      <w:sz w:val="20"/>
    </w:rPr>
  </w:style>
  <w:style w:type="paragraph" w:customStyle="1" w:styleId="118">
    <w:name w:val="_Style 116"/>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color w:val="365F91"/>
      <w:sz w:val="28"/>
    </w:rPr>
  </w:style>
  <w:style w:type="paragraph" w:customStyle="1" w:styleId="119">
    <w:name w:val="样式 标题 1 + (西文) 宋体 非加粗 黑色 两端对齐 左侧:  0 厘米 首行缩进:  0.89 厘米"/>
    <w:basedOn w:val="3"/>
    <w:qFormat/>
    <w:uiPriority w:val="0"/>
    <w:pPr>
      <w:keepNext/>
      <w:tabs>
        <w:tab w:val="left" w:pos="1140"/>
      </w:tabs>
      <w:autoSpaceDE/>
      <w:autoSpaceDN/>
      <w:ind w:left="1140" w:hanging="720"/>
    </w:pPr>
    <w:rPr>
      <w:rFonts w:ascii="宋体" w:hAnsi="宋体"/>
      <w:b/>
      <w:color w:val="000000"/>
      <w:sz w:val="30"/>
      <w:szCs w:val="30"/>
    </w:rPr>
  </w:style>
  <w:style w:type="paragraph" w:customStyle="1" w:styleId="120">
    <w:name w:val="一级条标题"/>
    <w:basedOn w:val="121"/>
    <w:next w:val="80"/>
    <w:qFormat/>
    <w:uiPriority w:val="0"/>
    <w:pPr>
      <w:tabs>
        <w:tab w:val="left" w:pos="1200"/>
      </w:tabs>
      <w:ind w:left="525" w:firstLine="0"/>
      <w:outlineLvl w:val="2"/>
    </w:pPr>
    <w:rPr>
      <w:sz w:val="21"/>
    </w:rPr>
  </w:style>
  <w:style w:type="paragraph" w:customStyle="1" w:styleId="121">
    <w:name w:val="章标题"/>
    <w:next w:val="1"/>
    <w:qFormat/>
    <w:uiPriority w:val="0"/>
    <w:pPr>
      <w:tabs>
        <w:tab w:val="left" w:pos="1200"/>
      </w:tabs>
      <w:spacing w:beforeLines="50" w:afterLines="50"/>
      <w:ind w:hanging="360"/>
      <w:jc w:val="both"/>
      <w:outlineLvl w:val="1"/>
    </w:pPr>
    <w:rPr>
      <w:rFonts w:ascii="黑体" w:hAnsi="Times New Roman" w:eastAsia="黑体" w:cs="Times New Roman"/>
      <w:sz w:val="24"/>
      <w:lang w:val="en-US" w:eastAsia="zh-CN" w:bidi="ar-SA"/>
    </w:rPr>
  </w:style>
  <w:style w:type="paragraph" w:customStyle="1" w:styleId="12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3">
    <w:name w:val="Char Char1 Char"/>
    <w:basedOn w:val="1"/>
    <w:qFormat/>
    <w:uiPriority w:val="0"/>
    <w:rPr>
      <w:rFonts w:ascii="Tahoma" w:hAnsi="Tahoma"/>
      <w:sz w:val="24"/>
      <w:szCs w:val="24"/>
    </w:rPr>
  </w:style>
  <w:style w:type="paragraph" w:customStyle="1" w:styleId="1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5">
    <w:name w:val="Intense Quote"/>
    <w:basedOn w:val="1"/>
    <w:next w:val="1"/>
    <w:link w:val="461"/>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126">
    <w:name w:val="编号正文"/>
    <w:basedOn w:val="111"/>
    <w:qFormat/>
    <w:uiPriority w:val="0"/>
    <w:pPr>
      <w:snapToGrid/>
      <w:spacing w:line="360" w:lineRule="auto"/>
      <w:ind w:left="1407" w:hanging="1047"/>
      <w:jc w:val="left"/>
    </w:pPr>
    <w:rPr>
      <w:rFonts w:eastAsia="仿宋_GB2312"/>
    </w:rPr>
  </w:style>
  <w:style w:type="paragraph" w:customStyle="1" w:styleId="1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2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表号"/>
    <w:basedOn w:val="1"/>
    <w:qFormat/>
    <w:uiPriority w:val="0"/>
    <w:pPr>
      <w:numPr>
        <w:ilvl w:val="0"/>
        <w:numId w:val="4"/>
      </w:numPr>
      <w:tabs>
        <w:tab w:val="left" w:pos="648"/>
      </w:tabs>
      <w:autoSpaceDE w:val="0"/>
      <w:autoSpaceDN w:val="0"/>
      <w:adjustRightInd w:val="0"/>
      <w:spacing w:before="210" w:after="210"/>
      <w:ind w:hanging="137"/>
      <w:jc w:val="center"/>
    </w:pPr>
    <w:rPr>
      <w:kern w:val="0"/>
      <w:lang w:eastAsia="en-US"/>
    </w:rPr>
  </w:style>
  <w:style w:type="paragraph" w:customStyle="1" w:styleId="130">
    <w:name w:val="Char Char Char Char Char Char Char Char Char Char Char Char Char Char Char Char"/>
    <w:basedOn w:val="18"/>
    <w:qFormat/>
    <w:uiPriority w:val="0"/>
    <w:pPr>
      <w:spacing w:line="360" w:lineRule="auto"/>
      <w:ind w:firstLine="200" w:firstLineChars="200"/>
    </w:pPr>
    <w:rPr>
      <w:szCs w:val="24"/>
      <w:shd w:val="clear" w:color="auto" w:fill="000080"/>
    </w:rPr>
  </w:style>
  <w:style w:type="paragraph" w:customStyle="1" w:styleId="131">
    <w:name w:val="Char Char Char Char Char Char Char Char Char Char Char Char Char Char Char Char1"/>
    <w:basedOn w:val="1"/>
    <w:qFormat/>
    <w:uiPriority w:val="0"/>
    <w:pPr>
      <w:tabs>
        <w:tab w:val="left" w:pos="360"/>
      </w:tabs>
    </w:pPr>
    <w:rPr>
      <w:sz w:val="24"/>
    </w:rPr>
  </w:style>
  <w:style w:type="paragraph" w:customStyle="1" w:styleId="132">
    <w:name w:val="正文小标题"/>
    <w:basedOn w:val="1"/>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33">
    <w:name w:val="正文文本缩进 21"/>
    <w:basedOn w:val="1"/>
    <w:qFormat/>
    <w:uiPriority w:val="0"/>
    <w:pPr>
      <w:adjustRightInd w:val="0"/>
      <w:spacing w:before="120"/>
      <w:ind w:firstLine="420"/>
      <w:textAlignment w:val="baseline"/>
    </w:pPr>
    <w:rPr>
      <w:sz w:val="24"/>
    </w:rPr>
  </w:style>
  <w:style w:type="paragraph" w:customStyle="1" w:styleId="134">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6">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13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8">
    <w:name w:val="Char Char30 Char Char Char Char"/>
    <w:basedOn w:val="1"/>
    <w:qFormat/>
    <w:uiPriority w:val="0"/>
    <w:rPr>
      <w:szCs w:val="24"/>
    </w:rPr>
  </w:style>
  <w:style w:type="paragraph" w:customStyle="1" w:styleId="139">
    <w:name w:val="自定样式1"/>
    <w:basedOn w:val="1"/>
    <w:qFormat/>
    <w:uiPriority w:val="0"/>
    <w:pPr>
      <w:suppressAutoHyphens/>
      <w:jc w:val="center"/>
    </w:pPr>
    <w:rPr>
      <w:rFonts w:ascii="宋体" w:hAnsi="宋体"/>
      <w:color w:val="000000"/>
      <w:sz w:val="18"/>
      <w:szCs w:val="24"/>
    </w:rPr>
  </w:style>
  <w:style w:type="paragraph" w:customStyle="1" w:styleId="14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1">
    <w:name w:val="style1"/>
    <w:basedOn w:val="1"/>
    <w:qFormat/>
    <w:uiPriority w:val="0"/>
    <w:pPr>
      <w:widowControl/>
      <w:spacing w:before="100" w:beforeAutospacing="1" w:after="100" w:afterAutospacing="1"/>
      <w:jc w:val="left"/>
    </w:pPr>
    <w:rPr>
      <w:rFonts w:ascii="宋体" w:hAnsi="宋体"/>
      <w:kern w:val="0"/>
    </w:rPr>
  </w:style>
  <w:style w:type="paragraph" w:customStyle="1" w:styleId="142">
    <w:name w:val="样式 宋体 五号 两端对齐 行距: 单倍行距"/>
    <w:basedOn w:val="1"/>
    <w:qFormat/>
    <w:uiPriority w:val="0"/>
    <w:pPr>
      <w:adjustRightInd w:val="0"/>
      <w:textAlignment w:val="baseline"/>
    </w:pPr>
    <w:rPr>
      <w:rFonts w:ascii="宋体" w:hAnsi="宋体"/>
      <w:kern w:val="0"/>
    </w:rPr>
  </w:style>
  <w:style w:type="paragraph" w:customStyle="1" w:styleId="143">
    <w:name w:val="Char Char14 Char Char"/>
    <w:basedOn w:val="1"/>
    <w:qFormat/>
    <w:uiPriority w:val="0"/>
    <w:rPr>
      <w:szCs w:val="24"/>
    </w:rPr>
  </w:style>
  <w:style w:type="paragraph" w:customStyle="1" w:styleId="14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5">
    <w:name w:val="WW-表格标题"/>
    <w:basedOn w:val="146"/>
    <w:qFormat/>
    <w:uiPriority w:val="0"/>
  </w:style>
  <w:style w:type="paragraph" w:customStyle="1" w:styleId="146">
    <w:name w:val="WW-表格内容"/>
    <w:basedOn w:val="1"/>
    <w:qFormat/>
    <w:uiPriority w:val="0"/>
    <w:pPr>
      <w:suppressLineNumbers/>
      <w:suppressAutoHyphens/>
    </w:pPr>
    <w:rPr>
      <w:rFonts w:ascii="Calibri" w:hAnsi="Calibri"/>
      <w:szCs w:val="24"/>
    </w:rPr>
  </w:style>
  <w:style w:type="paragraph" w:customStyle="1" w:styleId="147">
    <w:name w:val="Char1 Char Char Char"/>
    <w:basedOn w:val="1"/>
    <w:qFormat/>
    <w:uiPriority w:val="0"/>
    <w:rPr>
      <w:rFonts w:ascii="Tahoma" w:hAnsi="Tahoma"/>
      <w:sz w:val="24"/>
    </w:rPr>
  </w:style>
  <w:style w:type="paragraph" w:customStyle="1" w:styleId="148">
    <w:name w:val="样式1"/>
    <w:basedOn w:val="3"/>
    <w:qFormat/>
    <w:uiPriority w:val="0"/>
    <w:pPr>
      <w:keepNext/>
      <w:keepLines/>
      <w:snapToGrid/>
      <w:spacing w:before="340" w:after="330" w:line="340" w:lineRule="exact"/>
      <w:ind w:left="0" w:right="-20" w:firstLine="0"/>
    </w:pPr>
    <w:rPr>
      <w:rFonts w:ascii="宋体" w:hAnsi="宋体" w:eastAsia="仿宋_GB2312"/>
      <w:b/>
      <w:bCs/>
      <w:sz w:val="32"/>
      <w:szCs w:val="32"/>
    </w:rPr>
  </w:style>
  <w:style w:type="paragraph" w:customStyle="1" w:styleId="149">
    <w:name w:val="首行缩进 1"/>
    <w:basedOn w:val="1"/>
    <w:qFormat/>
    <w:uiPriority w:val="0"/>
    <w:pPr>
      <w:spacing w:after="120" w:line="360" w:lineRule="auto"/>
      <w:ind w:firstLine="200" w:firstLineChars="200"/>
    </w:pPr>
    <w:rPr>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styleId="151">
    <w:name w:val="List Paragraph"/>
    <w:basedOn w:val="1"/>
    <w:qFormat/>
    <w:uiPriority w:val="0"/>
    <w:pPr>
      <w:ind w:firstLine="420" w:firstLineChars="200"/>
    </w:pPr>
    <w:rPr>
      <w:sz w:val="28"/>
    </w:rPr>
  </w:style>
  <w:style w:type="paragraph" w:customStyle="1" w:styleId="152">
    <w:name w:val="Char Char Char1 Char"/>
    <w:basedOn w:val="1"/>
    <w:qFormat/>
    <w:uiPriority w:val="0"/>
    <w:rPr>
      <w:rFonts w:ascii="Calibri" w:hAnsi="Calibri"/>
      <w:szCs w:val="24"/>
    </w:rPr>
  </w:style>
  <w:style w:type="paragraph" w:customStyle="1" w:styleId="15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54">
    <w:name w:val="Char Char Char Char Char2 Char"/>
    <w:basedOn w:val="1"/>
    <w:qFormat/>
    <w:uiPriority w:val="0"/>
    <w:pPr>
      <w:adjustRightInd w:val="0"/>
      <w:snapToGrid w:val="0"/>
      <w:spacing w:line="360" w:lineRule="auto"/>
      <w:ind w:firstLine="200" w:firstLineChars="200"/>
    </w:pPr>
  </w:style>
  <w:style w:type="paragraph" w:customStyle="1" w:styleId="155">
    <w:name w:val="样式 标题 1 + 黑体 三号 非加粗 居中 段前: 6 磅 段后: 6 磅 行距: 固定值 20 磅"/>
    <w:basedOn w:val="3"/>
    <w:qFormat/>
    <w:uiPriority w:val="0"/>
    <w:pPr>
      <w:keepNext/>
      <w:keepLines/>
      <w:autoSpaceDE/>
      <w:autoSpaceDN/>
      <w:adjustRightInd/>
      <w:snapToGrid/>
      <w:spacing w:before="120" w:after="120" w:line="400" w:lineRule="exact"/>
      <w:ind w:left="0" w:firstLine="0"/>
    </w:pPr>
    <w:rPr>
      <w:rFonts w:ascii="黑体" w:hAnsi="黑体" w:cs="宋体"/>
      <w:kern w:val="44"/>
      <w:sz w:val="32"/>
    </w:rPr>
  </w:style>
  <w:style w:type="paragraph" w:customStyle="1" w:styleId="156">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5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58">
    <w:name w:val="样式2"/>
    <w:basedOn w:val="4"/>
    <w:qFormat/>
    <w:uiPriority w:val="0"/>
    <w:pPr>
      <w:keepNext/>
      <w:keepLines/>
      <w:snapToGrid/>
      <w:spacing w:before="260" w:after="260" w:line="300" w:lineRule="exact"/>
      <w:ind w:left="220" w:right="-20"/>
      <w:jc w:val="center"/>
    </w:pPr>
    <w:rPr>
      <w:rFonts w:ascii="宋体" w:hAnsi="宋体"/>
      <w:bCs/>
      <w:spacing w:val="0"/>
      <w:szCs w:val="28"/>
    </w:rPr>
  </w:style>
  <w:style w:type="paragraph" w:customStyle="1" w:styleId="159">
    <w:name w:val="文本框样式1"/>
    <w:basedOn w:val="1"/>
    <w:qFormat/>
    <w:uiPriority w:val="0"/>
    <w:pPr>
      <w:adjustRightInd w:val="0"/>
      <w:snapToGrid w:val="0"/>
      <w:spacing w:before="60" w:line="180" w:lineRule="exact"/>
      <w:jc w:val="center"/>
    </w:pPr>
  </w:style>
  <w:style w:type="paragraph" w:customStyle="1" w:styleId="160">
    <w:name w:val="二级条标题"/>
    <w:basedOn w:val="120"/>
    <w:next w:val="80"/>
    <w:qFormat/>
    <w:uiPriority w:val="0"/>
    <w:pPr>
      <w:ind w:left="840"/>
      <w:outlineLvl w:val="3"/>
    </w:pPr>
  </w:style>
  <w:style w:type="paragraph" w:customStyle="1" w:styleId="16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标准正文"/>
    <w:basedOn w:val="24"/>
    <w:qFormat/>
    <w:uiPriority w:val="0"/>
    <w:pPr>
      <w:spacing w:before="60" w:after="60"/>
      <w:ind w:firstLine="482" w:firstLineChars="0"/>
    </w:pPr>
    <w:rPr>
      <w:rFonts w:ascii="Arial" w:hAnsi="Arial" w:eastAsia="宋体"/>
      <w:color w:val="auto"/>
      <w:kern w:val="2"/>
      <w:sz w:val="24"/>
    </w:rPr>
  </w:style>
  <w:style w:type="paragraph" w:customStyle="1" w:styleId="163">
    <w:name w:val="标题2"/>
    <w:basedOn w:val="4"/>
    <w:qFormat/>
    <w:uiPriority w:val="0"/>
    <w:pPr>
      <w:autoSpaceDE/>
      <w:autoSpaceDN/>
      <w:ind w:firstLine="574" w:firstLineChars="196"/>
      <w:jc w:val="both"/>
      <w:outlineLvl w:val="9"/>
    </w:pPr>
    <w:rPr>
      <w:rFonts w:ascii="宋体" w:hAnsi="宋体" w:eastAsia="宋体"/>
      <w:spacing w:val="6"/>
      <w:w w:val="100"/>
      <w:kern w:val="2"/>
      <w:u w:val="single"/>
    </w:rPr>
  </w:style>
  <w:style w:type="paragraph" w:customStyle="1" w:styleId="164">
    <w:name w:val="Char11"/>
    <w:basedOn w:val="1"/>
    <w:qFormat/>
    <w:uiPriority w:val="0"/>
    <w:pPr>
      <w:spacing w:beforeLines="50"/>
      <w:ind w:firstLine="200" w:firstLineChars="200"/>
    </w:pPr>
    <w:rPr>
      <w:rFonts w:ascii="宋体" w:hAnsi="宋体" w:cs="Courier New"/>
      <w:spacing w:val="-2"/>
      <w:sz w:val="22"/>
      <w:szCs w:val="32"/>
    </w:rPr>
  </w:style>
  <w:style w:type="paragraph" w:customStyle="1" w:styleId="16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6">
    <w:name w:val="1.正文"/>
    <w:basedOn w:val="1"/>
    <w:qFormat/>
    <w:uiPriority w:val="0"/>
    <w:pPr>
      <w:spacing w:line="360" w:lineRule="auto"/>
      <w:ind w:left="540" w:leftChars="225" w:firstLine="540" w:firstLineChars="225"/>
    </w:pPr>
    <w:rPr>
      <w:sz w:val="24"/>
    </w:rPr>
  </w:style>
  <w:style w:type="paragraph" w:customStyle="1" w:styleId="167">
    <w:name w:val="_Style 165"/>
    <w:qFormat/>
    <w:uiPriority w:val="0"/>
    <w:rPr>
      <w:rFonts w:ascii="Times New Roman" w:hAnsi="Times New Roman" w:eastAsia="宋体" w:cs="Times New Roman"/>
      <w:kern w:val="2"/>
      <w:sz w:val="21"/>
      <w:lang w:val="en-US" w:eastAsia="zh-CN" w:bidi="ar-SA"/>
    </w:rPr>
  </w:style>
  <w:style w:type="paragraph" w:customStyle="1" w:styleId="168">
    <w:name w:val="附录3"/>
    <w:basedOn w:val="1"/>
    <w:next w:val="1"/>
    <w:qFormat/>
    <w:uiPriority w:val="0"/>
    <w:pPr>
      <w:tabs>
        <w:tab w:val="left" w:pos="851"/>
      </w:tabs>
      <w:ind w:left="425" w:hanging="425"/>
      <w:outlineLvl w:val="2"/>
    </w:pPr>
    <w:rPr>
      <w:rFonts w:eastAsia="黑体"/>
      <w:b/>
      <w:sz w:val="32"/>
    </w:rPr>
  </w:style>
  <w:style w:type="paragraph" w:customStyle="1" w:styleId="169">
    <w:name w:val="Char9"/>
    <w:basedOn w:val="18"/>
    <w:qFormat/>
    <w:uiPriority w:val="0"/>
    <w:pPr>
      <w:spacing w:line="360" w:lineRule="auto"/>
      <w:ind w:firstLine="200" w:firstLineChars="200"/>
    </w:pPr>
  </w:style>
  <w:style w:type="paragraph" w:customStyle="1" w:styleId="17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1">
    <w:name w:val="Char Char9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2">
    <w:name w:val="标题无"/>
    <w:basedOn w:val="1"/>
    <w:qFormat/>
    <w:uiPriority w:val="0"/>
    <w:pPr>
      <w:spacing w:line="360" w:lineRule="auto"/>
    </w:pPr>
    <w:rPr>
      <w:sz w:val="24"/>
    </w:rPr>
  </w:style>
  <w:style w:type="paragraph" w:customStyle="1" w:styleId="17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目录"/>
    <w:basedOn w:val="1"/>
    <w:qFormat/>
    <w:uiPriority w:val="0"/>
    <w:pPr>
      <w:widowControl/>
      <w:jc w:val="center"/>
    </w:pPr>
    <w:rPr>
      <w:rFonts w:ascii="宋体"/>
      <w:b/>
      <w:kern w:val="0"/>
      <w:sz w:val="36"/>
    </w:rPr>
  </w:style>
  <w:style w:type="paragraph" w:customStyle="1" w:styleId="175">
    <w:name w:val="可研正文"/>
    <w:basedOn w:val="23"/>
    <w:qFormat/>
    <w:uiPriority w:val="0"/>
    <w:pPr>
      <w:adjustRightInd w:val="0"/>
      <w:snapToGrid w:val="0"/>
      <w:spacing w:line="440" w:lineRule="exact"/>
      <w:ind w:firstLine="567"/>
    </w:pPr>
    <w:rPr>
      <w:rFonts w:ascii="仿宋_GB2312" w:hAnsi="Times New Roman" w:eastAsia="仿宋_GB2312"/>
      <w:kern w:val="2"/>
      <w:sz w:val="28"/>
    </w:rPr>
  </w:style>
  <w:style w:type="paragraph" w:customStyle="1" w:styleId="176">
    <w:name w:val="正文4"/>
    <w:basedOn w:val="1"/>
    <w:qFormat/>
    <w:uiPriority w:val="0"/>
    <w:pPr>
      <w:tabs>
        <w:tab w:val="left" w:pos="1275"/>
      </w:tabs>
      <w:spacing w:before="60" w:after="60" w:line="360" w:lineRule="auto"/>
      <w:ind w:left="820" w:leftChars="400" w:hanging="705"/>
    </w:pPr>
    <w:rPr>
      <w:sz w:val="24"/>
    </w:rPr>
  </w:style>
  <w:style w:type="paragraph" w:customStyle="1" w:styleId="177">
    <w:name w:val="默认段落字体 Para Char Char Char Char Char Char Char Char Char Char Char Char Char"/>
    <w:basedOn w:val="1"/>
    <w:qFormat/>
    <w:uiPriority w:val="0"/>
    <w:rPr>
      <w:szCs w:val="24"/>
    </w:rPr>
  </w:style>
  <w:style w:type="paragraph" w:customStyle="1" w:styleId="178">
    <w:name w:val="Char1"/>
    <w:basedOn w:val="1"/>
    <w:qFormat/>
    <w:uiPriority w:val="0"/>
  </w:style>
  <w:style w:type="paragraph" w:customStyle="1" w:styleId="179">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80">
    <w:name w:val="正文（首行不缩进）"/>
    <w:basedOn w:val="1"/>
    <w:qFormat/>
    <w:uiPriority w:val="0"/>
    <w:pPr>
      <w:autoSpaceDE w:val="0"/>
      <w:autoSpaceDN w:val="0"/>
      <w:adjustRightInd w:val="0"/>
      <w:spacing w:line="360" w:lineRule="auto"/>
      <w:jc w:val="left"/>
    </w:pPr>
    <w:rPr>
      <w:kern w:val="0"/>
    </w:rPr>
  </w:style>
  <w:style w:type="paragraph" w:customStyle="1" w:styleId="18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表格标题"/>
    <w:basedOn w:val="108"/>
    <w:qFormat/>
    <w:uiPriority w:val="0"/>
  </w:style>
  <w:style w:type="paragraph" w:customStyle="1" w:styleId="184">
    <w:name w:val="表格文字"/>
    <w:basedOn w:val="1"/>
    <w:qFormat/>
    <w:uiPriority w:val="0"/>
    <w:pPr>
      <w:adjustRightInd w:val="0"/>
      <w:spacing w:line="420" w:lineRule="atLeast"/>
      <w:jc w:val="left"/>
      <w:textAlignment w:val="baseline"/>
    </w:pPr>
    <w:rPr>
      <w:rFonts w:ascii="Calibri" w:hAnsi="Calibri"/>
      <w:kern w:val="0"/>
    </w:rPr>
  </w:style>
  <w:style w:type="paragraph" w:customStyle="1" w:styleId="185">
    <w:name w:val="操作步骤"/>
    <w:basedOn w:val="1"/>
    <w:qFormat/>
    <w:uiPriority w:val="0"/>
    <w:pPr>
      <w:numPr>
        <w:ilvl w:val="0"/>
        <w:numId w:val="5"/>
      </w:numPr>
      <w:tabs>
        <w:tab w:val="left" w:pos="425"/>
      </w:tabs>
      <w:autoSpaceDE w:val="0"/>
      <w:autoSpaceDN w:val="0"/>
      <w:adjustRightInd w:val="0"/>
      <w:snapToGrid w:val="0"/>
      <w:spacing w:line="40" w:lineRule="atLeast"/>
      <w:textAlignment w:val="bottom"/>
    </w:pPr>
    <w:rPr>
      <w:rFonts w:ascii="昆仑楷体" w:eastAsia="楷体_GB2312"/>
      <w:kern w:val="0"/>
    </w:rPr>
  </w:style>
  <w:style w:type="paragraph" w:customStyle="1" w:styleId="18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7">
    <w:name w:val="p0"/>
    <w:basedOn w:val="1"/>
    <w:qFormat/>
    <w:uiPriority w:val="0"/>
    <w:pPr>
      <w:widowControl/>
    </w:pPr>
    <w:rPr>
      <w:kern w:val="0"/>
      <w:szCs w:val="21"/>
    </w:rPr>
  </w:style>
  <w:style w:type="paragraph" w:customStyle="1" w:styleId="188">
    <w:name w:val="正文 + 三号"/>
    <w:basedOn w:val="1"/>
    <w:qFormat/>
    <w:uiPriority w:val="0"/>
  </w:style>
  <w:style w:type="paragraph" w:customStyle="1" w:styleId="189">
    <w:name w:val="正文1"/>
    <w:basedOn w:val="1"/>
    <w:qFormat/>
    <w:uiPriority w:val="0"/>
    <w:pPr>
      <w:spacing w:line="300" w:lineRule="auto"/>
      <w:ind w:firstLine="200" w:firstLineChars="200"/>
    </w:pPr>
    <w:rPr>
      <w:sz w:val="24"/>
    </w:rPr>
  </w:style>
  <w:style w:type="paragraph" w:customStyle="1" w:styleId="190">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91">
    <w:name w:val="Table Text"/>
    <w:link w:val="316"/>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IN Feature"/>
    <w:next w:val="19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3">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94">
    <w:name w:val="样式 标题 6第五层条 + 三号 段前: 0.5 行"/>
    <w:basedOn w:val="8"/>
    <w:qFormat/>
    <w:uiPriority w:val="0"/>
    <w:pPr>
      <w:widowControl/>
      <w:tabs>
        <w:tab w:val="left" w:pos="1152"/>
      </w:tabs>
      <w:spacing w:beforeLines="50" w:line="317" w:lineRule="auto"/>
      <w:ind w:left="1152" w:hanging="1152"/>
      <w:jc w:val="left"/>
    </w:pPr>
    <w:rPr>
      <w:bCs w:val="0"/>
      <w:snapToGrid w:val="0"/>
      <w:kern w:val="24"/>
      <w:sz w:val="28"/>
      <w:szCs w:val="20"/>
    </w:rPr>
  </w:style>
  <w:style w:type="paragraph" w:customStyle="1" w:styleId="195">
    <w:name w:val="Char Char1 Char Char Char Char Char Char Char"/>
    <w:basedOn w:val="1"/>
    <w:qFormat/>
    <w:uiPriority w:val="0"/>
    <w:pPr>
      <w:pageBreakBefore/>
    </w:pPr>
  </w:style>
  <w:style w:type="paragraph" w:customStyle="1" w:styleId="1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98">
    <w:name w:val="正文表格"/>
    <w:basedOn w:val="1"/>
    <w:qFormat/>
    <w:uiPriority w:val="0"/>
    <w:pPr>
      <w:adjustRightInd w:val="0"/>
      <w:spacing w:before="40" w:after="40"/>
    </w:pPr>
    <w:rPr>
      <w:sz w:val="24"/>
    </w:rPr>
  </w:style>
  <w:style w:type="paragraph" w:customStyle="1" w:styleId="199">
    <w:name w:val="正文字缩2字"/>
    <w:basedOn w:val="1"/>
    <w:qFormat/>
    <w:uiPriority w:val="0"/>
    <w:pPr>
      <w:spacing w:before="60" w:after="60" w:line="360" w:lineRule="auto"/>
      <w:ind w:left="200" w:leftChars="200" w:firstLine="200" w:firstLineChars="200"/>
    </w:pPr>
    <w:rPr>
      <w:sz w:val="24"/>
    </w:rPr>
  </w:style>
  <w:style w:type="paragraph" w:customStyle="1" w:styleId="200">
    <w:name w:val="Char1 Char Char Char1"/>
    <w:basedOn w:val="1"/>
    <w:qFormat/>
    <w:uiPriority w:val="0"/>
    <w:rPr>
      <w:rFonts w:ascii="Tahoma" w:hAnsi="Tahoma"/>
      <w:sz w:val="30"/>
    </w:rPr>
  </w:style>
  <w:style w:type="paragraph" w:customStyle="1" w:styleId="201">
    <w:name w:val="标题4"/>
    <w:basedOn w:val="4"/>
    <w:next w:val="30"/>
    <w:link w:val="403"/>
    <w:qFormat/>
    <w:uiPriority w:val="0"/>
    <w:pPr>
      <w:keepNext/>
      <w:keepLines/>
      <w:autoSpaceDE/>
      <w:autoSpaceDN/>
      <w:adjustRightInd/>
      <w:snapToGrid/>
      <w:spacing w:before="260" w:after="260" w:line="413" w:lineRule="auto"/>
      <w:jc w:val="both"/>
    </w:pPr>
    <w:rPr>
      <w:rFonts w:ascii="Arial" w:hAnsi="Arial" w:eastAsia="宋体"/>
      <w:bCs/>
      <w:spacing w:val="0"/>
      <w:w w:val="100"/>
      <w:sz w:val="24"/>
      <w:szCs w:val="32"/>
    </w:rPr>
  </w:style>
  <w:style w:type="paragraph" w:customStyle="1" w:styleId="202">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rPr>
  </w:style>
  <w:style w:type="paragraph" w:customStyle="1" w:styleId="203">
    <w:name w:val="样式 标题 1章标题Heading 0Section HeadPIM 1H1h11st levell11H1..."/>
    <w:basedOn w:val="3"/>
    <w:qFormat/>
    <w:uiPriority w:val="0"/>
    <w:pPr>
      <w:keepNext/>
      <w:keepLines/>
      <w:pageBreakBefore/>
      <w:tabs>
        <w:tab w:val="left" w:pos="432"/>
      </w:tabs>
      <w:spacing w:before="340" w:after="330" w:line="578" w:lineRule="atLeast"/>
      <w:ind w:left="0" w:firstLine="0"/>
      <w:jc w:val="both"/>
      <w:textAlignment w:val="bottom"/>
    </w:pPr>
    <w:rPr>
      <w:rFonts w:ascii="宋体" w:hAnsi="宋体"/>
      <w:b/>
      <w:kern w:val="44"/>
      <w:sz w:val="36"/>
    </w:rPr>
  </w:style>
  <w:style w:type="paragraph" w:customStyle="1" w:styleId="204">
    <w:name w:val="Char Char Char Char Char Char Char1"/>
    <w:basedOn w:val="1"/>
    <w:qFormat/>
    <w:uiPriority w:val="0"/>
    <w:rPr>
      <w:rFonts w:ascii="Calibri" w:hAnsi="Calibri"/>
    </w:rPr>
  </w:style>
  <w:style w:type="paragraph" w:customStyle="1" w:styleId="20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6">
    <w:name w:val="文章正文"/>
    <w:basedOn w:val="1"/>
    <w:qFormat/>
    <w:uiPriority w:val="0"/>
    <w:pPr>
      <w:ind w:firstLine="560" w:firstLineChars="200"/>
    </w:pPr>
    <w:rPr>
      <w:rFonts w:ascii="仿宋_GB2312" w:hAnsi="宋体" w:eastAsia="仿宋_GB2312"/>
      <w:color w:val="000000"/>
      <w:sz w:val="28"/>
    </w:rPr>
  </w:style>
  <w:style w:type="paragraph" w:customStyle="1" w:styleId="207">
    <w:name w:val="样式 正文缩进正文（首行缩进两字）表正文正文非缩进特点标题4段1 + 首行缩进:  2 字符"/>
    <w:basedOn w:val="2"/>
    <w:qFormat/>
    <w:uiPriority w:val="0"/>
    <w:pPr>
      <w:adjustRightInd w:val="0"/>
      <w:snapToGrid w:val="0"/>
      <w:spacing w:line="360" w:lineRule="auto"/>
      <w:ind w:firstLine="480"/>
    </w:pPr>
    <w:rPr>
      <w:sz w:val="24"/>
      <w:szCs w:val="20"/>
    </w:rPr>
  </w:style>
  <w:style w:type="paragraph" w:customStyle="1" w:styleId="208">
    <w:name w:val="招标正文"/>
    <w:basedOn w:val="1"/>
    <w:link w:val="361"/>
    <w:qFormat/>
    <w:uiPriority w:val="0"/>
    <w:pPr>
      <w:spacing w:line="480" w:lineRule="exact"/>
    </w:pPr>
    <w:rPr>
      <w:rFonts w:ascii="Calibri" w:hAnsi="宋体"/>
      <w:color w:val="000000"/>
      <w:kern w:val="0"/>
      <w:sz w:val="20"/>
      <w:szCs w:val="21"/>
    </w:rPr>
  </w:style>
  <w:style w:type="paragraph" w:customStyle="1" w:styleId="209">
    <w:name w:val="Item List"/>
    <w:qFormat/>
    <w:uiPriority w:val="0"/>
    <w:pPr>
      <w:numPr>
        <w:ilvl w:val="0"/>
        <w:numId w:val="6"/>
      </w:numPr>
      <w:tabs>
        <w:tab w:val="left" w:pos="1644"/>
      </w:tabs>
      <w:spacing w:line="300" w:lineRule="auto"/>
      <w:jc w:val="both"/>
    </w:pPr>
    <w:rPr>
      <w:rFonts w:ascii="Arial" w:hAnsi="Arial" w:eastAsia="宋体" w:cs="Times New Roman"/>
      <w:sz w:val="21"/>
      <w:lang w:val="en-US" w:eastAsia="zh-CN" w:bidi="ar-SA"/>
    </w:rPr>
  </w:style>
  <w:style w:type="paragraph" w:customStyle="1" w:styleId="210">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11">
    <w:name w:val="标书正文:  0.74 厘米"/>
    <w:basedOn w:val="1"/>
    <w:qFormat/>
    <w:uiPriority w:val="0"/>
    <w:pPr>
      <w:snapToGrid w:val="0"/>
      <w:spacing w:line="360" w:lineRule="auto"/>
      <w:ind w:firstLine="420"/>
    </w:pPr>
    <w:rPr>
      <w:sz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4">
    <w:name w:val="图例"/>
    <w:basedOn w:val="1"/>
    <w:qFormat/>
    <w:uiPriority w:val="0"/>
    <w:pPr>
      <w:spacing w:before="120" w:after="120" w:line="360" w:lineRule="auto"/>
      <w:jc w:val="center"/>
    </w:pPr>
    <w:rPr>
      <w:rFonts w:eastAsia="仿宋_GB2312"/>
      <w:b/>
      <w:sz w:val="24"/>
    </w:rPr>
  </w:style>
  <w:style w:type="paragraph" w:customStyle="1" w:styleId="215">
    <w:name w:val="摘要"/>
    <w:basedOn w:val="1"/>
    <w:next w:val="4"/>
    <w:qFormat/>
    <w:uiPriority w:val="0"/>
    <w:pPr>
      <w:spacing w:line="360" w:lineRule="auto"/>
    </w:pPr>
    <w:rPr>
      <w:rFonts w:eastAsia="黑体"/>
      <w:sz w:val="20"/>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8">
    <w:name w:val="样式4"/>
    <w:basedOn w:val="6"/>
    <w:qFormat/>
    <w:uiPriority w:val="0"/>
    <w:pPr>
      <w:keepNext/>
      <w:keepLines/>
      <w:snapToGrid w:val="0"/>
      <w:spacing w:before="280" w:after="290" w:line="372" w:lineRule="auto"/>
      <w:jc w:val="both"/>
    </w:pPr>
    <w:rPr>
      <w:rFonts w:ascii="Arial" w:hAnsi="Arial" w:eastAsia="黑体"/>
      <w:sz w:val="28"/>
    </w:rPr>
  </w:style>
  <w:style w:type="paragraph" w:customStyle="1" w:styleId="219">
    <w:name w:val="附录4"/>
    <w:basedOn w:val="1"/>
    <w:next w:val="1"/>
    <w:qFormat/>
    <w:uiPriority w:val="0"/>
    <w:pPr>
      <w:widowControl/>
      <w:tabs>
        <w:tab w:val="left" w:pos="1134"/>
      </w:tabs>
      <w:spacing w:line="300" w:lineRule="auto"/>
      <w:ind w:left="1361" w:hanging="1361"/>
      <w:outlineLvl w:val="3"/>
    </w:pPr>
    <w:rPr>
      <w:rFonts w:ascii="Arial" w:hAnsi="Arial" w:eastAsia="黑体"/>
      <w:kern w:val="0"/>
      <w:sz w:val="28"/>
    </w:rPr>
  </w:style>
  <w:style w:type="paragraph" w:customStyle="1" w:styleId="220">
    <w:name w:val="目录文字"/>
    <w:basedOn w:val="1"/>
    <w:qFormat/>
    <w:uiPriority w:val="0"/>
    <w:pPr>
      <w:widowControl/>
      <w:spacing w:line="480" w:lineRule="auto"/>
      <w:jc w:val="left"/>
    </w:pPr>
    <w:rPr>
      <w:rFonts w:ascii="宋体" w:hAnsi="宋体"/>
      <w:kern w:val="0"/>
      <w:sz w:val="24"/>
    </w:rPr>
  </w:style>
  <w:style w:type="paragraph" w:customStyle="1" w:styleId="221">
    <w:name w:val="Char Char30 Char Char"/>
    <w:basedOn w:val="1"/>
    <w:qFormat/>
    <w:uiPriority w:val="0"/>
    <w:rPr>
      <w:szCs w:val="24"/>
    </w:rPr>
  </w:style>
  <w:style w:type="paragraph" w:customStyle="1" w:styleId="222">
    <w:name w:val="列表项目"/>
    <w:basedOn w:val="1"/>
    <w:qFormat/>
    <w:uiPriority w:val="0"/>
    <w:pPr>
      <w:numPr>
        <w:ilvl w:val="0"/>
        <w:numId w:val="7"/>
      </w:numPr>
      <w:tabs>
        <w:tab w:val="left" w:pos="420"/>
      </w:tabs>
      <w:spacing w:line="288" w:lineRule="auto"/>
      <w:ind w:left="840" w:leftChars="200" w:hanging="420" w:hangingChars="200"/>
    </w:pPr>
  </w:style>
  <w:style w:type="paragraph" w:customStyle="1" w:styleId="22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4">
    <w:name w:val="Char Char Char Char Char"/>
    <w:basedOn w:val="1"/>
    <w:qFormat/>
    <w:uiPriority w:val="0"/>
    <w:pPr>
      <w:numPr>
        <w:ilvl w:val="0"/>
        <w:numId w:val="3"/>
      </w:numPr>
      <w:tabs>
        <w:tab w:val="left" w:pos="425"/>
      </w:tabs>
    </w:pPr>
    <w:rPr>
      <w:rFonts w:ascii="Tahoma" w:hAnsi="Tahoma"/>
      <w:sz w:val="24"/>
    </w:rPr>
  </w:style>
  <w:style w:type="paragraph" w:customStyle="1" w:styleId="225">
    <w:name w:val="样式 正文首行缩进 2 + 首行缩进:  2 字符"/>
    <w:basedOn w:val="1"/>
    <w:qFormat/>
    <w:uiPriority w:val="0"/>
    <w:pPr>
      <w:numPr>
        <w:ilvl w:val="0"/>
        <w:numId w:val="8"/>
      </w:numPr>
      <w:tabs>
        <w:tab w:val="left" w:pos="987"/>
      </w:tabs>
      <w:adjustRightInd w:val="0"/>
      <w:snapToGrid w:val="0"/>
      <w:spacing w:line="360" w:lineRule="auto"/>
    </w:pPr>
    <w:rPr>
      <w:rFonts w:ascii="Arial" w:hAnsi="Arial"/>
      <w:b/>
      <w:sz w:val="24"/>
    </w:rPr>
  </w:style>
  <w:style w:type="paragraph" w:customStyle="1" w:styleId="226">
    <w:name w:val="样式 宋体 五号 行距: 单倍行距"/>
    <w:basedOn w:val="1"/>
    <w:qFormat/>
    <w:uiPriority w:val="0"/>
    <w:pPr>
      <w:adjustRightInd w:val="0"/>
      <w:jc w:val="left"/>
    </w:pPr>
    <w:rPr>
      <w:rFonts w:ascii="宋体" w:hAnsi="宋体"/>
      <w:kern w:val="0"/>
    </w:rPr>
  </w:style>
  <w:style w:type="paragraph" w:customStyle="1" w:styleId="227">
    <w:name w:val="Item Step in Table"/>
    <w:qFormat/>
    <w:uiPriority w:val="0"/>
    <w:pPr>
      <w:tabs>
        <w:tab w:val="left" w:pos="397"/>
        <w:tab w:val="left" w:pos="1200"/>
      </w:tabs>
      <w:spacing w:before="40" w:after="40"/>
      <w:ind w:left="1200" w:hanging="360"/>
      <w:jc w:val="both"/>
    </w:pPr>
    <w:rPr>
      <w:rFonts w:ascii="Arial" w:hAnsi="Arial" w:eastAsia="宋体" w:cs="Times New Roman"/>
      <w:sz w:val="18"/>
      <w:lang w:val="en-US" w:eastAsia="zh-CN" w:bidi="ar-SA"/>
    </w:rPr>
  </w:style>
  <w:style w:type="paragraph" w:customStyle="1" w:styleId="228">
    <w:name w:val="样式3"/>
    <w:basedOn w:val="5"/>
    <w:qFormat/>
    <w:uiPriority w:val="0"/>
    <w:pPr>
      <w:keepNext/>
      <w:keepLines/>
      <w:spacing w:before="0" w:line="360" w:lineRule="auto"/>
      <w:ind w:left="119" w:right="-23"/>
    </w:pPr>
    <w:rPr>
      <w:rFonts w:ascii="宋体" w:hAnsi="宋体"/>
      <w:bCs/>
      <w:szCs w:val="32"/>
    </w:rPr>
  </w:style>
  <w:style w:type="paragraph" w:customStyle="1" w:styleId="229">
    <w:name w:val="表文字"/>
    <w:qFormat/>
    <w:uiPriority w:val="0"/>
    <w:rPr>
      <w:rFonts w:ascii="宋体" w:hAnsi="Times New Roman" w:eastAsia="宋体" w:cs="Times New Roman"/>
      <w:kern w:val="2"/>
      <w:lang w:val="en-US" w:eastAsia="zh-CN" w:bidi="ar-SA"/>
    </w:rPr>
  </w:style>
  <w:style w:type="paragraph" w:customStyle="1" w:styleId="230">
    <w:name w:val="af"/>
    <w:basedOn w:val="1"/>
    <w:qFormat/>
    <w:uiPriority w:val="0"/>
    <w:pPr>
      <w:widowControl/>
      <w:spacing w:line="300" w:lineRule="atLeast"/>
      <w:jc w:val="left"/>
    </w:pPr>
    <w:rPr>
      <w:rFonts w:ascii="宋体" w:hAnsi="宋体"/>
      <w:kern w:val="0"/>
      <w:sz w:val="18"/>
    </w:rPr>
  </w:style>
  <w:style w:type="paragraph" w:customStyle="1" w:styleId="231">
    <w:name w:val="图片文字"/>
    <w:basedOn w:val="1"/>
    <w:qFormat/>
    <w:uiPriority w:val="0"/>
    <w:pPr>
      <w:spacing w:line="240" w:lineRule="atLeast"/>
      <w:jc w:val="center"/>
    </w:pPr>
  </w:style>
  <w:style w:type="paragraph" w:customStyle="1" w:styleId="232">
    <w:name w:val="pa-27"/>
    <w:basedOn w:val="1"/>
    <w:qFormat/>
    <w:uiPriority w:val="0"/>
    <w:pPr>
      <w:widowControl/>
      <w:spacing w:line="360" w:lineRule="atLeast"/>
      <w:ind w:firstLine="420"/>
    </w:pPr>
    <w:rPr>
      <w:rFonts w:ascii="宋体" w:hAnsi="宋体" w:cs="宋体"/>
      <w:kern w:val="0"/>
      <w:sz w:val="24"/>
      <w:szCs w:val="24"/>
    </w:rPr>
  </w:style>
  <w:style w:type="paragraph" w:customStyle="1" w:styleId="233">
    <w:name w:val="Char12"/>
    <w:basedOn w:val="1"/>
    <w:qFormat/>
    <w:uiPriority w:val="0"/>
    <w:pPr>
      <w:spacing w:beforeLines="50" w:afterLines="50"/>
    </w:pPr>
    <w:rPr>
      <w:rFonts w:ascii="Tahoma" w:hAnsi="Tahoma"/>
      <w:sz w:val="24"/>
    </w:rPr>
  </w:style>
  <w:style w:type="paragraph" w:customStyle="1" w:styleId="234">
    <w:name w:val="文本1"/>
    <w:basedOn w:val="1"/>
    <w:qFormat/>
    <w:uiPriority w:val="0"/>
    <w:pPr>
      <w:adjustRightInd w:val="0"/>
      <w:spacing w:line="312" w:lineRule="atLeast"/>
      <w:jc w:val="center"/>
      <w:textAlignment w:val="baseline"/>
    </w:pPr>
    <w:rPr>
      <w:kern w:val="0"/>
      <w:sz w:val="18"/>
    </w:rPr>
  </w:style>
  <w:style w:type="paragraph" w:customStyle="1" w:styleId="235">
    <w:name w:val="Table Text Char Char Char"/>
    <w:link w:val="317"/>
    <w:qFormat/>
    <w:uiPriority w:val="0"/>
    <w:pPr>
      <w:snapToGrid w:val="0"/>
      <w:spacing w:before="80" w:after="80"/>
    </w:pPr>
    <w:rPr>
      <w:rFonts w:ascii="Arial" w:hAnsi="Arial" w:eastAsia="宋体" w:cs="Times New Roman"/>
      <w:kern w:val="2"/>
      <w:sz w:val="18"/>
      <w:lang w:val="en-US" w:eastAsia="zh-CN" w:bidi="ar-SA"/>
    </w:rPr>
  </w:style>
  <w:style w:type="paragraph" w:customStyle="1" w:styleId="236">
    <w:name w:val="Note"/>
    <w:basedOn w:val="1"/>
    <w:qFormat/>
    <w:uiPriority w:val="0"/>
    <w:pPr>
      <w:pBdr>
        <w:top w:val="single" w:color="auto" w:sz="12" w:space="3"/>
        <w:bottom w:val="single" w:color="auto" w:sz="12" w:space="3"/>
      </w:pBdr>
      <w:spacing w:line="360" w:lineRule="auto"/>
    </w:pPr>
    <w:rPr>
      <w:sz w:val="24"/>
    </w:rPr>
  </w:style>
  <w:style w:type="paragraph" w:customStyle="1" w:styleId="237">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styleId="242">
    <w:name w:val="Quote"/>
    <w:basedOn w:val="1"/>
    <w:next w:val="1"/>
    <w:link w:val="468"/>
    <w:qFormat/>
    <w:uiPriority w:val="0"/>
    <w:rPr>
      <w:rFonts w:ascii="Calibri" w:hAnsi="Calibri"/>
      <w:i/>
      <w:iCs/>
      <w:color w:val="000000"/>
      <w:szCs w:val="22"/>
    </w:rPr>
  </w:style>
  <w:style w:type="paragraph" w:customStyle="1" w:styleId="24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4">
    <w:name w:val="Char Char Char Char Char Char"/>
    <w:basedOn w:val="1"/>
    <w:qFormat/>
    <w:uiPriority w:val="0"/>
    <w:rPr>
      <w:rFonts w:ascii="Calibri" w:hAnsi="Calibri"/>
      <w:szCs w:val="24"/>
    </w:rPr>
  </w:style>
  <w:style w:type="paragraph" w:customStyle="1" w:styleId="245">
    <w:name w:val="表格"/>
    <w:basedOn w:val="1"/>
    <w:qFormat/>
    <w:uiPriority w:val="0"/>
    <w:pPr>
      <w:jc w:val="center"/>
      <w:textAlignment w:val="center"/>
    </w:pPr>
    <w:rPr>
      <w:rFonts w:ascii="华文细黑" w:hAnsi="华文细黑"/>
      <w:kern w:val="0"/>
    </w:rPr>
  </w:style>
  <w:style w:type="paragraph" w:customStyle="1" w:styleId="246">
    <w:name w:val="CSS1级正文 Char"/>
    <w:basedOn w:val="23"/>
    <w:qFormat/>
    <w:uiPriority w:val="0"/>
    <w:pPr>
      <w:adjustRightInd w:val="0"/>
      <w:snapToGrid w:val="0"/>
      <w:spacing w:line="360" w:lineRule="auto"/>
      <w:ind w:firstLine="480"/>
    </w:pPr>
    <w:rPr>
      <w:rFonts w:ascii="Times New Roman" w:hAnsi="Times New Roman"/>
      <w:kern w:val="2"/>
      <w:sz w:val="24"/>
    </w:rPr>
  </w:style>
  <w:style w:type="paragraph" w:customStyle="1" w:styleId="24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4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250">
    <w:name w:val="没有缩进（为图形使用）"/>
    <w:basedOn w:val="1"/>
    <w:qFormat/>
    <w:uiPriority w:val="0"/>
    <w:pPr>
      <w:spacing w:before="120" w:after="120" w:line="360" w:lineRule="auto"/>
    </w:pPr>
    <w:rPr>
      <w:sz w:val="24"/>
    </w:rPr>
  </w:style>
  <w:style w:type="paragraph" w:customStyle="1" w:styleId="251">
    <w:name w:val="样式 样式 首行缩进:  2 字符 + 首行缩进:  2 字符"/>
    <w:basedOn w:val="1"/>
    <w:qFormat/>
    <w:uiPriority w:val="0"/>
    <w:pPr>
      <w:numPr>
        <w:ilvl w:val="0"/>
        <w:numId w:val="9"/>
      </w:numPr>
      <w:spacing w:line="360" w:lineRule="auto"/>
      <w:ind w:firstLine="480" w:firstLineChars="200"/>
    </w:pPr>
    <w:rPr>
      <w:sz w:val="24"/>
    </w:rPr>
  </w:style>
  <w:style w:type="paragraph" w:customStyle="1" w:styleId="252">
    <w:name w:val="Table Contents"/>
    <w:basedOn w:val="23"/>
    <w:qFormat/>
    <w:uiPriority w:val="0"/>
    <w:pPr>
      <w:suppressAutoHyphens/>
      <w:jc w:val="left"/>
    </w:pPr>
    <w:rPr>
      <w:rFonts w:ascii="Times New Roman" w:hAnsi="Times New Roman" w:eastAsia="Times New Roman"/>
      <w:sz w:val="24"/>
    </w:rPr>
  </w:style>
  <w:style w:type="paragraph" w:customStyle="1" w:styleId="2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4">
    <w:name w:val="样式 标题 1 + 居中 段前: 6 磅 段后: 6 磅 行距: 1.5 倍行距"/>
    <w:basedOn w:val="3"/>
    <w:qFormat/>
    <w:uiPriority w:val="0"/>
    <w:pPr>
      <w:keepNext/>
      <w:keepLines/>
      <w:autoSpaceDE/>
      <w:autoSpaceDN/>
      <w:spacing w:before="120" w:after="120"/>
      <w:ind w:left="0" w:firstLine="0"/>
    </w:pPr>
    <w:rPr>
      <w:rFonts w:eastAsia="宋体"/>
      <w:b/>
      <w:kern w:val="44"/>
      <w:sz w:val="32"/>
    </w:rPr>
  </w:style>
  <w:style w:type="paragraph" w:customStyle="1" w:styleId="255">
    <w:name w:val="附件标题-1"/>
    <w:basedOn w:val="1"/>
    <w:qFormat/>
    <w:uiPriority w:val="0"/>
    <w:pPr>
      <w:spacing w:beforeLines="50"/>
      <w:jc w:val="center"/>
    </w:pPr>
    <w:rPr>
      <w:rFonts w:eastAsia="黑体"/>
      <w:sz w:val="32"/>
      <w:szCs w:val="24"/>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styleId="257">
    <w:name w:val="No Spacing"/>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258">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5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0">
    <w:name w:val="标题3——2"/>
    <w:basedOn w:val="5"/>
    <w:next w:val="62"/>
    <w:qFormat/>
    <w:uiPriority w:val="0"/>
    <w:pPr>
      <w:keepNext/>
      <w:keepLines/>
      <w:tabs>
        <w:tab w:val="left" w:pos="1280"/>
        <w:tab w:val="right" w:leader="dot" w:pos="8777"/>
      </w:tabs>
      <w:autoSpaceDE/>
      <w:autoSpaceDN/>
      <w:adjustRightInd/>
      <w:spacing w:beforeLines="100"/>
      <w:ind w:left="851" w:hanging="851"/>
      <w:jc w:val="both"/>
      <w:outlineLvl w:val="9"/>
    </w:pPr>
    <w:rPr>
      <w:rFonts w:ascii="黑体" w:hAnsi="宋体" w:eastAsia="黑体"/>
      <w:kern w:val="2"/>
      <w:sz w:val="30"/>
    </w:rPr>
  </w:style>
  <w:style w:type="paragraph" w:customStyle="1" w:styleId="261">
    <w:name w:val="表格内文字"/>
    <w:basedOn w:val="33"/>
    <w:qFormat/>
    <w:uiPriority w:val="0"/>
    <w:pPr>
      <w:adjustRightInd w:val="0"/>
    </w:pPr>
    <w:rPr>
      <w:color w:val="000000"/>
      <w:kern w:val="2"/>
      <w:sz w:val="21"/>
      <w:lang w:val="en-GB"/>
    </w:rPr>
  </w:style>
  <w:style w:type="paragraph" w:customStyle="1" w:styleId="262">
    <w:name w:val="样式 行距: 1.5 倍行距1"/>
    <w:basedOn w:val="1"/>
    <w:qFormat/>
    <w:uiPriority w:val="0"/>
    <w:pPr>
      <w:snapToGrid w:val="0"/>
    </w:pPr>
  </w:style>
  <w:style w:type="paragraph" w:customStyle="1" w:styleId="263">
    <w:name w:val="Char Char Char"/>
    <w:basedOn w:val="1"/>
    <w:qFormat/>
    <w:uiPriority w:val="0"/>
    <w:rPr>
      <w:rFonts w:ascii="Calibri" w:hAnsi="Calibri"/>
      <w:szCs w:val="24"/>
    </w:rPr>
  </w:style>
  <w:style w:type="paragraph" w:customStyle="1" w:styleId="2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65">
    <w:name w:val="Char Char16 Char Char Char Char"/>
    <w:basedOn w:val="1"/>
    <w:qFormat/>
    <w:uiPriority w:val="0"/>
    <w:rPr>
      <w:szCs w:val="24"/>
    </w:rPr>
  </w:style>
  <w:style w:type="paragraph" w:customStyle="1" w:styleId="266">
    <w:name w:val="正文文本 21"/>
    <w:basedOn w:val="1"/>
    <w:qFormat/>
    <w:uiPriority w:val="0"/>
    <w:pPr>
      <w:adjustRightInd w:val="0"/>
      <w:spacing w:before="120" w:line="360" w:lineRule="auto"/>
      <w:ind w:firstLine="480"/>
      <w:textAlignment w:val="baseline"/>
    </w:pPr>
    <w:rPr>
      <w:sz w:val="24"/>
    </w:rPr>
  </w:style>
  <w:style w:type="paragraph" w:customStyle="1" w:styleId="267">
    <w:name w:val="00"/>
    <w:basedOn w:val="1"/>
    <w:qFormat/>
    <w:uiPriority w:val="0"/>
    <w:pPr>
      <w:autoSpaceDE w:val="0"/>
      <w:autoSpaceDN w:val="0"/>
      <w:adjustRightInd w:val="0"/>
      <w:jc w:val="left"/>
    </w:pPr>
    <w:rPr>
      <w:rFonts w:ascii="黑体" w:eastAsia="黑体"/>
      <w:b/>
      <w:kern w:val="0"/>
      <w:sz w:val="20"/>
    </w:rPr>
  </w:style>
  <w:style w:type="paragraph" w:customStyle="1" w:styleId="26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69">
    <w:name w:val="pa-34"/>
    <w:qFormat/>
    <w:uiPriority w:val="0"/>
    <w:pPr>
      <w:spacing w:line="360" w:lineRule="atLeast"/>
      <w:ind w:firstLine="420"/>
    </w:pPr>
    <w:rPr>
      <w:rFonts w:ascii="宋体" w:hAnsi="宋体" w:eastAsia="宋体" w:cs="Times New Roman"/>
      <w:sz w:val="24"/>
      <w:lang w:val="en-US" w:eastAsia="zh-CN" w:bidi="ar-SA"/>
    </w:rPr>
  </w:style>
  <w:style w:type="paragraph" w:customStyle="1" w:styleId="270">
    <w:name w:val="Char Char 字元 字元 字元 Char Char Char Char"/>
    <w:basedOn w:val="1"/>
    <w:qFormat/>
    <w:uiPriority w:val="0"/>
    <w:pPr>
      <w:adjustRightInd w:val="0"/>
      <w:spacing w:line="360" w:lineRule="auto"/>
    </w:pPr>
    <w:rPr>
      <w:kern w:val="0"/>
      <w:sz w:val="24"/>
    </w:rPr>
  </w:style>
  <w:style w:type="paragraph" w:customStyle="1" w:styleId="271">
    <w:name w:val="rr"/>
    <w:basedOn w:val="1"/>
    <w:qFormat/>
    <w:uiPriority w:val="0"/>
    <w:pPr>
      <w:widowControl/>
      <w:spacing w:before="100" w:beforeAutospacing="1" w:after="100" w:afterAutospacing="1"/>
      <w:jc w:val="left"/>
    </w:pPr>
    <w:rPr>
      <w:rFonts w:hint="eastAsia" w:ascii="宋体" w:hAnsi="宋体"/>
      <w:kern w:val="0"/>
      <w:szCs w:val="21"/>
    </w:rPr>
  </w:style>
  <w:style w:type="character" w:customStyle="1" w:styleId="272">
    <w:name w:val="icontext11"/>
    <w:basedOn w:val="66"/>
    <w:qFormat/>
    <w:uiPriority w:val="0"/>
  </w:style>
  <w:style w:type="character" w:customStyle="1" w:styleId="273">
    <w:name w:val="标题 1 Char1"/>
    <w:qFormat/>
    <w:uiPriority w:val="0"/>
    <w:rPr>
      <w:rFonts w:ascii="Times New Roman" w:hAnsi="Times New Roman" w:eastAsia="黑体"/>
      <w:kern w:val="2"/>
      <w:sz w:val="44"/>
      <w:szCs w:val="44"/>
    </w:rPr>
  </w:style>
  <w:style w:type="character" w:customStyle="1" w:styleId="274">
    <w:name w:val="docpro"/>
    <w:qFormat/>
    <w:uiPriority w:val="0"/>
    <w:rPr>
      <w:rFonts w:ascii="Calibri" w:hAnsi="Calibri" w:eastAsia="宋体" w:cs="Times New Roman"/>
    </w:rPr>
  </w:style>
  <w:style w:type="character" w:customStyle="1" w:styleId="275">
    <w:name w:val="文档结构图 Char3"/>
    <w:qFormat/>
    <w:uiPriority w:val="99"/>
    <w:rPr>
      <w:rFonts w:ascii="宋体"/>
      <w:kern w:val="2"/>
      <w:sz w:val="18"/>
      <w:szCs w:val="18"/>
    </w:rPr>
  </w:style>
  <w:style w:type="character" w:customStyle="1" w:styleId="276">
    <w:name w:val="top-det1"/>
    <w:qFormat/>
    <w:uiPriority w:val="0"/>
    <w:rPr>
      <w:b/>
      <w:color w:val="000000"/>
    </w:rPr>
  </w:style>
  <w:style w:type="character" w:customStyle="1" w:styleId="277">
    <w:name w:val="pagechatarealistclose_box1"/>
    <w:basedOn w:val="66"/>
    <w:qFormat/>
    <w:uiPriority w:val="0"/>
  </w:style>
  <w:style w:type="character" w:customStyle="1" w:styleId="278">
    <w:name w:val="正文文本缩进 2 Char1"/>
    <w:qFormat/>
    <w:uiPriority w:val="99"/>
    <w:rPr>
      <w:rFonts w:ascii="Times New Roman" w:hAnsi="Times New Roman" w:eastAsia="宋体" w:cs="Times New Roman"/>
      <w:szCs w:val="20"/>
    </w:rPr>
  </w:style>
  <w:style w:type="character" w:customStyle="1" w:styleId="279">
    <w:name w:val="Char Char4"/>
    <w:qFormat/>
    <w:uiPriority w:val="0"/>
    <w:rPr>
      <w:rFonts w:ascii="Calibri" w:hAnsi="Calibri" w:eastAsia="宋体" w:cs="Times New Roman"/>
      <w:szCs w:val="24"/>
      <w:u w:val="single"/>
      <w:lang w:eastAsia="en-US"/>
    </w:rPr>
  </w:style>
  <w:style w:type="character" w:customStyle="1" w:styleId="280">
    <w:name w:val="tmpztreemove_arrow"/>
    <w:basedOn w:val="66"/>
    <w:qFormat/>
    <w:uiPriority w:val="0"/>
  </w:style>
  <w:style w:type="character" w:customStyle="1" w:styleId="281">
    <w:name w:val="Char Char2"/>
    <w:qFormat/>
    <w:uiPriority w:val="0"/>
    <w:rPr>
      <w:rFonts w:hint="eastAsia" w:ascii="宋体" w:hAnsi="宋体" w:eastAsia="宋体"/>
      <w:sz w:val="24"/>
      <w:lang w:val="en-US" w:eastAsia="zh-CN" w:bidi="ar-SA"/>
    </w:rPr>
  </w:style>
  <w:style w:type="character" w:customStyle="1" w:styleId="282">
    <w:name w:val="标题 Char2"/>
    <w:qFormat/>
    <w:uiPriority w:val="10"/>
    <w:rPr>
      <w:rFonts w:ascii="Cambria" w:hAnsi="Cambria" w:eastAsia="宋体" w:cs="Times New Roman"/>
      <w:b/>
      <w:bCs/>
      <w:sz w:val="32"/>
      <w:szCs w:val="32"/>
    </w:rPr>
  </w:style>
  <w:style w:type="character" w:customStyle="1" w:styleId="283">
    <w:name w:val="pagechatarealistclose_box"/>
    <w:basedOn w:val="66"/>
    <w:qFormat/>
    <w:uiPriority w:val="0"/>
  </w:style>
  <w:style w:type="character" w:customStyle="1" w:styleId="284">
    <w:name w:val="Table Text Char1 Char"/>
    <w:qFormat/>
    <w:uiPriority w:val="0"/>
    <w:rPr>
      <w:rFonts w:ascii="Arial" w:hAnsi="Arial"/>
      <w:kern w:val="2"/>
      <w:sz w:val="18"/>
      <w:lang w:val="en-US" w:eastAsia="zh-CN" w:bidi="ar-SA"/>
    </w:rPr>
  </w:style>
  <w:style w:type="character" w:customStyle="1" w:styleId="285">
    <w:name w:val="副标题 Char2"/>
    <w:qFormat/>
    <w:uiPriority w:val="11"/>
    <w:rPr>
      <w:rFonts w:ascii="Cambria" w:hAnsi="Cambria" w:cs="Times New Roman"/>
      <w:b/>
      <w:bCs/>
      <w:kern w:val="28"/>
      <w:sz w:val="32"/>
      <w:szCs w:val="32"/>
    </w:rPr>
  </w:style>
  <w:style w:type="character" w:customStyle="1" w:styleId="286">
    <w:name w:val="iconline2"/>
    <w:basedOn w:val="66"/>
    <w:qFormat/>
    <w:uiPriority w:val="0"/>
  </w:style>
  <w:style w:type="character" w:customStyle="1" w:styleId="287">
    <w:name w:val="标题 9 Char"/>
    <w:link w:val="11"/>
    <w:qFormat/>
    <w:uiPriority w:val="0"/>
    <w:rPr>
      <w:rFonts w:ascii="Arial" w:hAnsi="Arial" w:eastAsia="黑体" w:cs="Times New Roman"/>
      <w:szCs w:val="21"/>
    </w:rPr>
  </w:style>
  <w:style w:type="character" w:customStyle="1" w:styleId="288">
    <w:name w:val="Heading 1 Char_be8a4789-93bd-4c5e-b0cf-5f8325a89285"/>
    <w:qFormat/>
    <w:uiPriority w:val="0"/>
    <w:rPr>
      <w:rFonts w:hint="eastAsia" w:ascii="宋体" w:hAnsi="宋体" w:eastAsia="宋体"/>
      <w:b/>
      <w:bCs/>
      <w:kern w:val="44"/>
      <w:sz w:val="44"/>
      <w:szCs w:val="44"/>
      <w:lang w:val="en-US" w:eastAsia="zh-CN" w:bidi="ar-SA"/>
    </w:rPr>
  </w:style>
  <w:style w:type="character" w:customStyle="1" w:styleId="289">
    <w:name w:val="Char Char9"/>
    <w:qFormat/>
    <w:uiPriority w:val="0"/>
    <w:rPr>
      <w:rFonts w:ascii="仿宋_GB2312" w:eastAsia="仿宋_GB2312"/>
      <w:b/>
      <w:sz w:val="24"/>
    </w:rPr>
  </w:style>
  <w:style w:type="character" w:customStyle="1" w:styleId="290">
    <w:name w:val="w32"/>
    <w:basedOn w:val="66"/>
    <w:qFormat/>
    <w:uiPriority w:val="0"/>
  </w:style>
  <w:style w:type="character" w:customStyle="1" w:styleId="291">
    <w:name w:val="标题 4 Char"/>
    <w:link w:val="6"/>
    <w:qFormat/>
    <w:uiPriority w:val="0"/>
    <w:rPr>
      <w:rFonts w:ascii="仿宋_GB2312" w:hAnsi="Times New Roman" w:eastAsia="仿宋_GB2312" w:cs="Times New Roman"/>
      <w:b/>
      <w:sz w:val="24"/>
      <w:szCs w:val="20"/>
    </w:rPr>
  </w:style>
  <w:style w:type="character" w:customStyle="1" w:styleId="292">
    <w:name w:val="_Style 290"/>
    <w:qFormat/>
    <w:uiPriority w:val="0"/>
    <w:rPr>
      <w:smallCaps/>
      <w:color w:val="C0504D"/>
      <w:u w:val="single"/>
    </w:rPr>
  </w:style>
  <w:style w:type="character" w:customStyle="1" w:styleId="293">
    <w:name w:val="icontext3"/>
    <w:basedOn w:val="66"/>
    <w:qFormat/>
    <w:uiPriority w:val="0"/>
  </w:style>
  <w:style w:type="character" w:customStyle="1" w:styleId="294">
    <w:name w:val="正文首行缩进 Char"/>
    <w:link w:val="62"/>
    <w:qFormat/>
    <w:uiPriority w:val="0"/>
    <w:rPr>
      <w:rFonts w:ascii="宋体" w:hAnsi="宋体"/>
      <w:kern w:val="2"/>
      <w:sz w:val="24"/>
    </w:rPr>
  </w:style>
  <w:style w:type="character" w:customStyle="1" w:styleId="295">
    <w:name w:val="正文文本 Char2"/>
    <w:qFormat/>
    <w:uiPriority w:val="0"/>
    <w:rPr>
      <w:kern w:val="2"/>
      <w:sz w:val="21"/>
      <w:szCs w:val="24"/>
    </w:rPr>
  </w:style>
  <w:style w:type="character" w:customStyle="1" w:styleId="296">
    <w:name w:val="ico1658"/>
    <w:basedOn w:val="66"/>
    <w:qFormat/>
    <w:uiPriority w:val="0"/>
  </w:style>
  <w:style w:type="character" w:customStyle="1" w:styleId="297">
    <w:name w:val="Char Char17"/>
    <w:qFormat/>
    <w:uiPriority w:val="0"/>
    <w:rPr>
      <w:rFonts w:ascii="Cambria" w:hAnsi="Cambria" w:eastAsia="宋体" w:cs="Times New Roman"/>
      <w:b/>
      <w:bCs/>
      <w:kern w:val="2"/>
      <w:sz w:val="32"/>
      <w:szCs w:val="32"/>
    </w:rPr>
  </w:style>
  <w:style w:type="character" w:customStyle="1" w:styleId="298">
    <w:name w:val="style161"/>
    <w:qFormat/>
    <w:uiPriority w:val="0"/>
    <w:rPr>
      <w:rFonts w:ascii="Calibri" w:hAnsi="Calibri" w:eastAsia="宋体" w:cs="Times New Roman"/>
      <w:b/>
      <w:bCs/>
      <w:color w:val="333333"/>
    </w:rPr>
  </w:style>
  <w:style w:type="character" w:customStyle="1" w:styleId="299">
    <w:name w:val="正文首行缩进 2 Char1"/>
    <w:basedOn w:val="300"/>
    <w:qFormat/>
    <w:uiPriority w:val="99"/>
    <w:rPr>
      <w:rFonts w:ascii="Times New Roman" w:hAnsi="Times New Roman" w:eastAsia="宋体" w:cs="Times New Roman"/>
      <w:szCs w:val="20"/>
    </w:rPr>
  </w:style>
  <w:style w:type="character" w:customStyle="1" w:styleId="300">
    <w:name w:val="正文文本缩进 Char1"/>
    <w:qFormat/>
    <w:uiPriority w:val="99"/>
    <w:rPr>
      <w:rFonts w:ascii="Times New Roman" w:hAnsi="Times New Roman" w:eastAsia="宋体" w:cs="Times New Roman"/>
      <w:szCs w:val="20"/>
    </w:rPr>
  </w:style>
  <w:style w:type="character" w:customStyle="1" w:styleId="301">
    <w:name w:val="color_gray3"/>
    <w:basedOn w:val="66"/>
    <w:qFormat/>
    <w:uiPriority w:val="0"/>
    <w:rPr>
      <w:color w:val="999999"/>
    </w:rPr>
  </w:style>
  <w:style w:type="character" w:customStyle="1" w:styleId="302">
    <w:name w:val="标题 8 Char"/>
    <w:link w:val="10"/>
    <w:qFormat/>
    <w:uiPriority w:val="0"/>
    <w:rPr>
      <w:rFonts w:ascii="Arial" w:hAnsi="Arial" w:eastAsia="黑体" w:cs="Times New Roman"/>
      <w:sz w:val="24"/>
      <w:szCs w:val="24"/>
    </w:rPr>
  </w:style>
  <w:style w:type="character" w:customStyle="1" w:styleId="303">
    <w:name w:val="font31"/>
    <w:qFormat/>
    <w:uiPriority w:val="0"/>
    <w:rPr>
      <w:rFonts w:hint="default" w:ascii="Times New Roman" w:hAnsi="Times New Roman" w:cs="Times New Roman"/>
      <w:color w:val="000000"/>
      <w:sz w:val="18"/>
      <w:szCs w:val="18"/>
      <w:u w:val="none"/>
    </w:rPr>
  </w:style>
  <w:style w:type="character" w:customStyle="1" w:styleId="304">
    <w:name w:val="Char Char1"/>
    <w:qFormat/>
    <w:uiPriority w:val="0"/>
    <w:rPr>
      <w:i/>
      <w:kern w:val="2"/>
      <w:sz w:val="26"/>
    </w:rPr>
  </w:style>
  <w:style w:type="character" w:customStyle="1" w:styleId="305">
    <w:name w:val="_Style 303"/>
    <w:qFormat/>
    <w:uiPriority w:val="0"/>
    <w:rPr>
      <w:b/>
      <w:bCs/>
      <w:smallCaps/>
      <w:spacing w:val="5"/>
    </w:rPr>
  </w:style>
  <w:style w:type="character" w:customStyle="1" w:styleId="306">
    <w:name w:val="标题 3 Char1"/>
    <w:qFormat/>
    <w:uiPriority w:val="0"/>
    <w:rPr>
      <w:rFonts w:ascii="仿宋_GB2312" w:hAnsi="Times New Roman" w:eastAsia="仿宋_GB2312" w:cs="MingLiU"/>
      <w:b/>
      <w:kern w:val="2"/>
      <w:sz w:val="24"/>
      <w:szCs w:val="28"/>
    </w:rPr>
  </w:style>
  <w:style w:type="character" w:customStyle="1" w:styleId="307">
    <w:name w:val="标题 4 Char1"/>
    <w:qFormat/>
    <w:uiPriority w:val="0"/>
    <w:rPr>
      <w:rFonts w:ascii="仿宋_GB2312" w:hAnsi="Times New Roman" w:eastAsia="仿宋_GB2312" w:cs="MingLiU"/>
      <w:b/>
      <w:kern w:val="2"/>
      <w:sz w:val="24"/>
      <w:szCs w:val="28"/>
    </w:rPr>
  </w:style>
  <w:style w:type="character" w:customStyle="1" w:styleId="308">
    <w:name w:val="active"/>
    <w:basedOn w:val="66"/>
    <w:qFormat/>
    <w:uiPriority w:val="0"/>
    <w:rPr>
      <w:color w:val="00FF00"/>
      <w:shd w:val="clear" w:color="auto" w:fill="111111"/>
    </w:rPr>
  </w:style>
  <w:style w:type="character" w:customStyle="1" w:styleId="309">
    <w:name w:val="Char Char3"/>
    <w:qFormat/>
    <w:uiPriority w:val="0"/>
    <w:rPr>
      <w:kern w:val="2"/>
      <w:sz w:val="18"/>
    </w:rPr>
  </w:style>
  <w:style w:type="character" w:customStyle="1" w:styleId="310">
    <w:name w:val="正文文本 3 Char"/>
    <w:link w:val="21"/>
    <w:qFormat/>
    <w:uiPriority w:val="0"/>
    <w:rPr>
      <w:sz w:val="16"/>
      <w:szCs w:val="16"/>
    </w:rPr>
  </w:style>
  <w:style w:type="character" w:customStyle="1" w:styleId="311">
    <w:name w:val="样式 Char Char"/>
    <w:qFormat/>
    <w:uiPriority w:val="0"/>
    <w:rPr>
      <w:rFonts w:ascii="宋体" w:hAnsi="宋体" w:eastAsia="宋体"/>
      <w:sz w:val="24"/>
      <w:lang w:val="en-US" w:eastAsia="zh-CN"/>
    </w:rPr>
  </w:style>
  <w:style w:type="character" w:customStyle="1" w:styleId="312">
    <w:name w:val="标题 Char1"/>
    <w:link w:val="60"/>
    <w:qFormat/>
    <w:uiPriority w:val="0"/>
    <w:rPr>
      <w:szCs w:val="24"/>
      <w:u w:val="single"/>
      <w:lang w:eastAsia="en-US"/>
    </w:rPr>
  </w:style>
  <w:style w:type="character" w:customStyle="1" w:styleId="313">
    <w:name w:val="文档结构图 Char1"/>
    <w:qFormat/>
    <w:uiPriority w:val="0"/>
    <w:rPr>
      <w:rFonts w:ascii="宋体" w:hAnsi="Times New Roman" w:eastAsia="宋体" w:cs="Times New Roman"/>
      <w:sz w:val="18"/>
      <w:szCs w:val="18"/>
    </w:rPr>
  </w:style>
  <w:style w:type="character" w:customStyle="1" w:styleId="314">
    <w:name w:val="content-white1"/>
    <w:qFormat/>
    <w:uiPriority w:val="0"/>
    <w:rPr>
      <w:rFonts w:ascii="_x000B__x000C_" w:hAnsi="_x000B__x000C_"/>
      <w:color w:val="auto"/>
      <w:sz w:val="18"/>
      <w:u w:val="none"/>
    </w:rPr>
  </w:style>
  <w:style w:type="character" w:customStyle="1" w:styleId="315">
    <w:name w:val="批注框文本 Char2"/>
    <w:qFormat/>
    <w:uiPriority w:val="0"/>
    <w:rPr>
      <w:kern w:val="2"/>
      <w:sz w:val="18"/>
      <w:szCs w:val="18"/>
    </w:rPr>
  </w:style>
  <w:style w:type="character" w:customStyle="1" w:styleId="316">
    <w:name w:val="Table Text Char"/>
    <w:link w:val="191"/>
    <w:qFormat/>
    <w:uiPriority w:val="0"/>
    <w:rPr>
      <w:rFonts w:ascii="Arial" w:hAnsi="Arial"/>
      <w:kern w:val="2"/>
      <w:sz w:val="18"/>
      <w:lang w:val="en-US" w:eastAsia="zh-CN" w:bidi="ar-SA"/>
    </w:rPr>
  </w:style>
  <w:style w:type="character" w:customStyle="1" w:styleId="317">
    <w:name w:val="Table Text Char Char Char Char"/>
    <w:link w:val="235"/>
    <w:qFormat/>
    <w:uiPriority w:val="0"/>
    <w:rPr>
      <w:rFonts w:ascii="Arial" w:hAnsi="Arial"/>
      <w:kern w:val="2"/>
      <w:sz w:val="18"/>
      <w:lang w:val="en-US" w:eastAsia="zh-CN" w:bidi="ar-SA"/>
    </w:rPr>
  </w:style>
  <w:style w:type="character" w:customStyle="1" w:styleId="318">
    <w:name w:val="title_emph1"/>
    <w:qFormat/>
    <w:uiPriority w:val="0"/>
    <w:rPr>
      <w:rFonts w:hint="default" w:ascii="Arial" w:hAnsi="Arial"/>
      <w:b/>
      <w:sz w:val="20"/>
    </w:rPr>
  </w:style>
  <w:style w:type="character" w:customStyle="1" w:styleId="319">
    <w:name w:val="HTML 预设格式 Char1"/>
    <w:qFormat/>
    <w:uiPriority w:val="0"/>
    <w:rPr>
      <w:rFonts w:ascii="Courier New" w:hAnsi="Courier New" w:eastAsia="宋体" w:cs="Courier New"/>
      <w:sz w:val="20"/>
      <w:szCs w:val="20"/>
    </w:rPr>
  </w:style>
  <w:style w:type="character" w:customStyle="1" w:styleId="320">
    <w:name w:val="font161"/>
    <w:qFormat/>
    <w:uiPriority w:val="0"/>
    <w:rPr>
      <w:rFonts w:ascii="Calibri" w:hAnsi="Calibri" w:eastAsia="宋体" w:cs="Times New Roman"/>
      <w:b/>
      <w:bCs/>
      <w:sz w:val="32"/>
      <w:szCs w:val="32"/>
    </w:rPr>
  </w:style>
  <w:style w:type="character" w:customStyle="1" w:styleId="321">
    <w:name w:val="ss16"/>
    <w:qFormat/>
    <w:uiPriority w:val="0"/>
    <w:rPr>
      <w:rFonts w:hint="eastAsia" w:ascii="宋体" w:hAnsi="宋体" w:eastAsia="宋体" w:cs="Times New Roman"/>
      <w:color w:val="000000"/>
      <w:sz w:val="9"/>
      <w:szCs w:val="9"/>
    </w:rPr>
  </w:style>
  <w:style w:type="character" w:customStyle="1" w:styleId="322">
    <w:name w:val="批注主题 Char Char"/>
    <w:basedOn w:val="323"/>
    <w:qFormat/>
    <w:uiPriority w:val="0"/>
    <w:rPr>
      <w:sz w:val="24"/>
    </w:rPr>
  </w:style>
  <w:style w:type="character" w:customStyle="1" w:styleId="323">
    <w:name w:val="Char Char6"/>
    <w:qFormat/>
    <w:uiPriority w:val="0"/>
    <w:rPr>
      <w:sz w:val="24"/>
    </w:rPr>
  </w:style>
  <w:style w:type="character" w:customStyle="1" w:styleId="324">
    <w:name w:val="button"/>
    <w:basedOn w:val="66"/>
    <w:qFormat/>
    <w:uiPriority w:val="0"/>
  </w:style>
  <w:style w:type="character" w:customStyle="1" w:styleId="325">
    <w:name w:val="font71"/>
    <w:qFormat/>
    <w:uiPriority w:val="0"/>
    <w:rPr>
      <w:rFonts w:hint="eastAsia" w:ascii="宋体" w:hAnsi="宋体" w:eastAsia="宋体" w:cs="宋体"/>
      <w:b/>
      <w:color w:val="000000"/>
      <w:sz w:val="18"/>
      <w:szCs w:val="18"/>
      <w:u w:val="none"/>
    </w:rPr>
  </w:style>
  <w:style w:type="character" w:customStyle="1" w:styleId="326">
    <w:name w:val="标题 6 Char"/>
    <w:link w:val="8"/>
    <w:qFormat/>
    <w:uiPriority w:val="0"/>
    <w:rPr>
      <w:rFonts w:ascii="Arial" w:hAnsi="Arial" w:eastAsia="黑体" w:cs="Times New Roman"/>
      <w:b/>
      <w:bCs/>
      <w:sz w:val="24"/>
      <w:szCs w:val="24"/>
    </w:rPr>
  </w:style>
  <w:style w:type="character" w:customStyle="1" w:styleId="327">
    <w:name w:val="icontext2"/>
    <w:basedOn w:val="66"/>
    <w:qFormat/>
    <w:uiPriority w:val="0"/>
  </w:style>
  <w:style w:type="character" w:customStyle="1" w:styleId="328">
    <w:name w:val="defaultfont1"/>
    <w:qFormat/>
    <w:uiPriority w:val="0"/>
    <w:rPr>
      <w:rFonts w:ascii="Calibri" w:hAnsi="Calibri" w:eastAsia="宋体" w:cs="Times New Roman"/>
    </w:rPr>
  </w:style>
  <w:style w:type="character" w:customStyle="1" w:styleId="329">
    <w:name w:val="引用 Char Char Char"/>
    <w:qFormat/>
    <w:uiPriority w:val="0"/>
    <w:rPr>
      <w:rFonts w:ascii="Calibri" w:hAnsi="Calibri" w:eastAsia="宋体" w:cs="Times New Roman"/>
      <w:i/>
      <w:iCs/>
      <w:color w:val="000000"/>
      <w:kern w:val="2"/>
      <w:sz w:val="21"/>
      <w:szCs w:val="22"/>
      <w:lang w:bidi="ar-SA"/>
    </w:rPr>
  </w:style>
  <w:style w:type="character" w:customStyle="1" w:styleId="330">
    <w:name w:val="font61"/>
    <w:qFormat/>
    <w:uiPriority w:val="0"/>
    <w:rPr>
      <w:rFonts w:hint="eastAsia" w:ascii="宋体" w:hAnsi="宋体" w:eastAsia="宋体" w:cs="宋体"/>
      <w:color w:val="000000"/>
      <w:sz w:val="18"/>
      <w:szCs w:val="18"/>
      <w:u w:val="none"/>
    </w:rPr>
  </w:style>
  <w:style w:type="character" w:customStyle="1" w:styleId="331">
    <w:name w:val="spanleft"/>
    <w:qFormat/>
    <w:uiPriority w:val="0"/>
    <w:rPr>
      <w:rFonts w:ascii="Calibri" w:hAnsi="Calibri" w:eastAsia="宋体" w:cs="Times New Roman"/>
    </w:rPr>
  </w:style>
  <w:style w:type="character" w:customStyle="1" w:styleId="332">
    <w:name w:val="未命名11"/>
    <w:qFormat/>
    <w:uiPriority w:val="0"/>
    <w:rPr>
      <w:color w:val="77FFFF"/>
      <w:sz w:val="24"/>
    </w:rPr>
  </w:style>
  <w:style w:type="character" w:customStyle="1" w:styleId="333">
    <w:name w:val="main_tdbg_7601"/>
    <w:qFormat/>
    <w:uiPriority w:val="0"/>
    <w:rPr>
      <w:rFonts w:ascii="Calibri" w:hAnsi="Calibri" w:eastAsia="宋体" w:cs="Times New Roman"/>
      <w:sz w:val="14"/>
      <w:szCs w:val="14"/>
    </w:rPr>
  </w:style>
  <w:style w:type="character" w:customStyle="1" w:styleId="334">
    <w:name w:val="color_gray"/>
    <w:basedOn w:val="66"/>
    <w:qFormat/>
    <w:uiPriority w:val="0"/>
    <w:rPr>
      <w:color w:val="999999"/>
    </w:rPr>
  </w:style>
  <w:style w:type="character" w:customStyle="1" w:styleId="335">
    <w:name w:val="unnamed1"/>
    <w:qFormat/>
    <w:uiPriority w:val="0"/>
    <w:rPr>
      <w:rFonts w:ascii="Calibri" w:hAnsi="Calibri" w:eastAsia="宋体" w:cs="Times New Roman"/>
    </w:rPr>
  </w:style>
  <w:style w:type="character" w:customStyle="1" w:styleId="336">
    <w:name w:val="Char Char7"/>
    <w:qFormat/>
    <w:uiPriority w:val="0"/>
    <w:rPr>
      <w:kern w:val="2"/>
      <w:sz w:val="18"/>
    </w:rPr>
  </w:style>
  <w:style w:type="character" w:customStyle="1" w:styleId="337">
    <w:name w:val="last-child"/>
    <w:basedOn w:val="66"/>
    <w:qFormat/>
    <w:uiPriority w:val="0"/>
  </w:style>
  <w:style w:type="character" w:customStyle="1" w:styleId="338">
    <w:name w:val="标书正文:  0.74 厘米 Char1"/>
    <w:qFormat/>
    <w:uiPriority w:val="0"/>
    <w:rPr>
      <w:rFonts w:eastAsia="宋体"/>
      <w:kern w:val="2"/>
      <w:sz w:val="24"/>
      <w:lang w:val="en-US" w:eastAsia="zh-CN"/>
    </w:rPr>
  </w:style>
  <w:style w:type="character" w:customStyle="1" w:styleId="339">
    <w:name w:val="批注主题 Char1"/>
    <w:qFormat/>
    <w:uiPriority w:val="99"/>
    <w:rPr>
      <w:rFonts w:ascii="Times New Roman" w:hAnsi="Times New Roman" w:eastAsia="宋体" w:cs="Times New Roman"/>
      <w:b/>
      <w:bCs/>
      <w:szCs w:val="20"/>
    </w:rPr>
  </w:style>
  <w:style w:type="character" w:customStyle="1" w:styleId="340">
    <w:name w:val="日期 Char2"/>
    <w:qFormat/>
    <w:uiPriority w:val="99"/>
    <w:rPr>
      <w:kern w:val="2"/>
      <w:sz w:val="21"/>
      <w:szCs w:val="22"/>
    </w:rPr>
  </w:style>
  <w:style w:type="character" w:customStyle="1" w:styleId="341">
    <w:name w:val="estimate_gray"/>
    <w:basedOn w:val="66"/>
    <w:qFormat/>
    <w:uiPriority w:val="0"/>
    <w:rPr>
      <w:color w:val="FFFFFF"/>
    </w:rPr>
  </w:style>
  <w:style w:type="character" w:customStyle="1" w:styleId="342">
    <w:name w:val="bar_info2"/>
    <w:basedOn w:val="66"/>
    <w:qFormat/>
    <w:uiPriority w:val="0"/>
  </w:style>
  <w:style w:type="character" w:customStyle="1" w:styleId="343">
    <w:name w:val="Char Char Char1"/>
    <w:qFormat/>
    <w:uiPriority w:val="0"/>
    <w:rPr>
      <w:kern w:val="2"/>
      <w:sz w:val="18"/>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正文文本缩进 3 Char"/>
    <w:link w:val="49"/>
    <w:qFormat/>
    <w:uiPriority w:val="0"/>
    <w:rPr>
      <w:sz w:val="16"/>
    </w:rPr>
  </w:style>
  <w:style w:type="character" w:customStyle="1" w:styleId="346">
    <w:name w:val="spanright"/>
    <w:qFormat/>
    <w:uiPriority w:val="0"/>
    <w:rPr>
      <w:rFonts w:ascii="Calibri" w:hAnsi="Calibri" w:eastAsia="宋体" w:cs="Times New Roman"/>
    </w:rPr>
  </w:style>
  <w:style w:type="character" w:customStyle="1" w:styleId="347">
    <w:name w:val="文档结构图 Char"/>
    <w:link w:val="18"/>
    <w:qFormat/>
    <w:uiPriority w:val="0"/>
    <w:rPr>
      <w:shd w:val="clear" w:color="auto" w:fill="000080"/>
    </w:rPr>
  </w:style>
  <w:style w:type="character" w:customStyle="1" w:styleId="348">
    <w:name w:val="active8"/>
    <w:basedOn w:val="66"/>
    <w:qFormat/>
    <w:uiPriority w:val="0"/>
    <w:rPr>
      <w:color w:val="00FF00"/>
      <w:shd w:val="clear" w:color="auto" w:fill="111111"/>
    </w:rPr>
  </w:style>
  <w:style w:type="character" w:customStyle="1" w:styleId="349">
    <w:name w:val="批注主题 Char3"/>
    <w:qFormat/>
    <w:uiPriority w:val="99"/>
    <w:rPr>
      <w:b/>
      <w:bCs/>
      <w:kern w:val="2"/>
      <w:sz w:val="21"/>
      <w:szCs w:val="22"/>
    </w:rPr>
  </w:style>
  <w:style w:type="character" w:customStyle="1" w:styleId="350">
    <w:name w:val="intel3"/>
    <w:qFormat/>
    <w:uiPriority w:val="0"/>
    <w:rPr>
      <w:rFonts w:ascii="Calibri" w:hAnsi="Calibri" w:eastAsia="宋体" w:cs="Times New Roman"/>
    </w:rPr>
  </w:style>
  <w:style w:type="character" w:customStyle="1" w:styleId="351">
    <w:name w:val="脚注文本 Char1"/>
    <w:qFormat/>
    <w:uiPriority w:val="99"/>
    <w:rPr>
      <w:rFonts w:ascii="Times New Roman" w:hAnsi="Times New Roman" w:eastAsia="宋体" w:cs="Times New Roman"/>
      <w:sz w:val="18"/>
      <w:szCs w:val="18"/>
    </w:rPr>
  </w:style>
  <w:style w:type="character" w:customStyle="1" w:styleId="352">
    <w:name w:val="ca-151"/>
    <w:qFormat/>
    <w:uiPriority w:val="0"/>
    <w:rPr>
      <w:rFonts w:hint="default" w:ascii="Times New Roman" w:hAnsi="Times New Roman" w:cs="Times New Roman"/>
      <w:sz w:val="21"/>
      <w:szCs w:val="21"/>
    </w:rPr>
  </w:style>
  <w:style w:type="character" w:customStyle="1" w:styleId="353">
    <w:name w:val="明显引用 Char Char Char"/>
    <w:qFormat/>
    <w:uiPriority w:val="0"/>
    <w:rPr>
      <w:rFonts w:ascii="Calibri" w:hAnsi="Calibri" w:eastAsia="宋体" w:cs="Times New Roman"/>
      <w:b/>
      <w:bCs/>
      <w:i/>
      <w:iCs/>
      <w:color w:val="4F81BD"/>
      <w:kern w:val="2"/>
      <w:sz w:val="21"/>
      <w:szCs w:val="22"/>
      <w:lang w:bidi="ar-SA"/>
    </w:rPr>
  </w:style>
  <w:style w:type="character" w:customStyle="1" w:styleId="354">
    <w:name w:val="正文 + 三号 Char"/>
    <w:qFormat/>
    <w:uiPriority w:val="0"/>
    <w:rPr>
      <w:rFonts w:eastAsia="宋体"/>
      <w:kern w:val="2"/>
      <w:sz w:val="21"/>
      <w:lang w:val="en-US" w:eastAsia="zh-CN"/>
    </w:rPr>
  </w:style>
  <w:style w:type="character" w:customStyle="1" w:styleId="355">
    <w:name w:val="ht1"/>
    <w:qFormat/>
    <w:uiPriority w:val="0"/>
    <w:rPr>
      <w:rFonts w:ascii="黑体" w:hAnsi="Calibri" w:eastAsia="黑体" w:cs="Times New Roman"/>
      <w:b/>
      <w:bCs/>
    </w:rPr>
  </w:style>
  <w:style w:type="character" w:customStyle="1" w:styleId="356">
    <w:name w:val="尾注文本 Char1"/>
    <w:link w:val="38"/>
    <w:qFormat/>
    <w:uiPriority w:val="0"/>
    <w:rPr>
      <w:rFonts w:ascii="Arial" w:hAnsi="Arial"/>
      <w:szCs w:val="24"/>
      <w:lang w:eastAsia="en-US"/>
    </w:rPr>
  </w:style>
  <w:style w:type="character" w:customStyle="1" w:styleId="357">
    <w:name w:val="样式3 Char"/>
    <w:qFormat/>
    <w:uiPriority w:val="0"/>
    <w:rPr>
      <w:rFonts w:hint="eastAsia" w:ascii="宋体" w:hAnsi="宋体" w:eastAsia="仿宋_GB2312"/>
      <w:b/>
      <w:bCs/>
      <w:kern w:val="2"/>
      <w:sz w:val="24"/>
      <w:szCs w:val="32"/>
      <w:lang w:val="en-US" w:eastAsia="zh-CN" w:bidi="ar-SA"/>
    </w:rPr>
  </w:style>
  <w:style w:type="character" w:customStyle="1" w:styleId="358">
    <w:name w:val="日期 Char"/>
    <w:link w:val="36"/>
    <w:qFormat/>
    <w:uiPriority w:val="0"/>
    <w:rPr>
      <w:sz w:val="24"/>
    </w:rPr>
  </w:style>
  <w:style w:type="character" w:customStyle="1" w:styleId="359">
    <w:name w:val="页眉 Char"/>
    <w:link w:val="41"/>
    <w:qFormat/>
    <w:uiPriority w:val="0"/>
    <w:rPr>
      <w:sz w:val="18"/>
      <w:szCs w:val="18"/>
    </w:rPr>
  </w:style>
  <w:style w:type="character" w:customStyle="1" w:styleId="360">
    <w:name w:val="Char Char8"/>
    <w:qFormat/>
    <w:uiPriority w:val="0"/>
    <w:rPr>
      <w:rFonts w:ascii="仿宋_GB2312" w:eastAsia="仿宋_GB2312"/>
      <w:b/>
      <w:sz w:val="24"/>
    </w:rPr>
  </w:style>
  <w:style w:type="character" w:customStyle="1" w:styleId="361">
    <w:name w:val="招标正文 Char Char"/>
    <w:link w:val="208"/>
    <w:qFormat/>
    <w:uiPriority w:val="0"/>
    <w:rPr>
      <w:rFonts w:hAnsi="宋体"/>
      <w:color w:val="000000"/>
      <w:szCs w:val="21"/>
    </w:rPr>
  </w:style>
  <w:style w:type="character" w:customStyle="1" w:styleId="362">
    <w:name w:val="l1"/>
    <w:qFormat/>
    <w:uiPriority w:val="0"/>
    <w:rPr>
      <w:rFonts w:ascii="Calibri" w:hAnsi="Calibri" w:eastAsia="宋体" w:cs="Times New Roman"/>
    </w:rPr>
  </w:style>
  <w:style w:type="character" w:customStyle="1" w:styleId="363">
    <w:name w:val="Char Char"/>
    <w:qFormat/>
    <w:uiPriority w:val="0"/>
    <w:rPr>
      <w:rFonts w:ascii="宋体" w:hAnsi="宋体" w:eastAsia="宋体"/>
      <w:kern w:val="2"/>
      <w:sz w:val="24"/>
      <w:lang w:val="en-US" w:eastAsia="zh-CN" w:bidi="ar-SA"/>
    </w:rPr>
  </w:style>
  <w:style w:type="character" w:customStyle="1" w:styleId="364">
    <w:name w:val="icontext12"/>
    <w:basedOn w:val="66"/>
    <w:qFormat/>
    <w:uiPriority w:val="0"/>
  </w:style>
  <w:style w:type="character" w:customStyle="1" w:styleId="365">
    <w:name w:val="正文文本 3 Char1"/>
    <w:qFormat/>
    <w:uiPriority w:val="0"/>
    <w:rPr>
      <w:rFonts w:ascii="Times New Roman" w:hAnsi="Times New Roman" w:eastAsia="宋体" w:cs="Times New Roman"/>
      <w:sz w:val="16"/>
      <w:szCs w:val="16"/>
    </w:rPr>
  </w:style>
  <w:style w:type="character" w:customStyle="1" w:styleId="366">
    <w:name w:val="正文文本 Char1"/>
    <w:qFormat/>
    <w:uiPriority w:val="0"/>
    <w:rPr>
      <w:rFonts w:ascii="Times New Roman" w:hAnsi="Times New Roman" w:eastAsia="宋体" w:cs="Times New Roman"/>
      <w:szCs w:val="20"/>
    </w:rPr>
  </w:style>
  <w:style w:type="character" w:customStyle="1" w:styleId="367">
    <w:name w:val="批注文字 Char2"/>
    <w:qFormat/>
    <w:uiPriority w:val="99"/>
    <w:rPr>
      <w:kern w:val="2"/>
      <w:sz w:val="21"/>
      <w:szCs w:val="22"/>
    </w:rPr>
  </w:style>
  <w:style w:type="character" w:customStyle="1" w:styleId="368">
    <w:name w:val="标题 2 Char"/>
    <w:link w:val="4"/>
    <w:qFormat/>
    <w:uiPriority w:val="0"/>
    <w:rPr>
      <w:rFonts w:ascii="仿宋_GB2312" w:hAnsi="Times New Roman" w:eastAsia="仿宋_GB2312" w:cs="Times New Roman"/>
      <w:b/>
      <w:spacing w:val="1"/>
      <w:w w:val="99"/>
      <w:sz w:val="28"/>
      <w:szCs w:val="20"/>
    </w:rPr>
  </w:style>
  <w:style w:type="character" w:customStyle="1" w:styleId="369">
    <w:name w:val="正文文本缩进 3 Char1"/>
    <w:qFormat/>
    <w:uiPriority w:val="0"/>
    <w:rPr>
      <w:rFonts w:ascii="Times New Roman" w:hAnsi="Times New Roman" w:eastAsia="宋体" w:cs="Times New Roman"/>
      <w:sz w:val="16"/>
      <w:szCs w:val="16"/>
    </w:rPr>
  </w:style>
  <w:style w:type="character" w:customStyle="1" w:styleId="370">
    <w:name w:val="style31"/>
    <w:qFormat/>
    <w:uiPriority w:val="0"/>
    <w:rPr>
      <w:rFonts w:ascii="Calibri" w:hAnsi="Calibri" w:eastAsia="宋体" w:cs="Times New Roman"/>
      <w:sz w:val="10"/>
      <w:szCs w:val="10"/>
    </w:rPr>
  </w:style>
  <w:style w:type="character" w:customStyle="1" w:styleId="371">
    <w:name w:val="Char Char11"/>
    <w:qFormat/>
    <w:uiPriority w:val="0"/>
    <w:rPr>
      <w:rFonts w:eastAsia="黑体"/>
      <w:kern w:val="2"/>
      <w:sz w:val="44"/>
      <w:lang w:val="en-US" w:eastAsia="zh-CN"/>
    </w:rPr>
  </w:style>
  <w:style w:type="character" w:customStyle="1" w:styleId="372">
    <w:name w:val="hilite"/>
    <w:basedOn w:val="66"/>
    <w:qFormat/>
    <w:uiPriority w:val="0"/>
    <w:rPr>
      <w:color w:val="FFFFFF"/>
      <w:shd w:val="clear" w:color="auto" w:fill="666666"/>
    </w:rPr>
  </w:style>
  <w:style w:type="character" w:customStyle="1" w:styleId="373">
    <w:name w:val="纯文本 Char1"/>
    <w:qFormat/>
    <w:uiPriority w:val="0"/>
    <w:rPr>
      <w:rFonts w:ascii="宋体" w:hAnsi="Courier New" w:eastAsia="宋体" w:cs="Courier New"/>
      <w:szCs w:val="21"/>
    </w:rPr>
  </w:style>
  <w:style w:type="character" w:customStyle="1" w:styleId="374">
    <w:name w:val="明显引用 Char2"/>
    <w:qFormat/>
    <w:uiPriority w:val="99"/>
    <w:rPr>
      <w:rFonts w:ascii="Times New Roman" w:hAnsi="Times New Roman"/>
      <w:b/>
      <w:bCs/>
      <w:i/>
      <w:iCs/>
      <w:color w:val="4F81BD"/>
      <w:kern w:val="2"/>
      <w:sz w:val="21"/>
    </w:rPr>
  </w:style>
  <w:style w:type="character" w:customStyle="1" w:styleId="375">
    <w:name w:val="引用 Char1"/>
    <w:qFormat/>
    <w:uiPriority w:val="0"/>
    <w:rPr>
      <w:i/>
      <w:iCs/>
      <w:color w:val="000000"/>
      <w:kern w:val="2"/>
      <w:sz w:val="21"/>
      <w:szCs w:val="22"/>
    </w:rPr>
  </w:style>
  <w:style w:type="character" w:customStyle="1" w:styleId="376">
    <w:name w:val="_Style 374"/>
    <w:qFormat/>
    <w:uiPriority w:val="0"/>
    <w:rPr>
      <w:b/>
      <w:bCs/>
      <w:smallCaps/>
      <w:color w:val="C0504D"/>
      <w:spacing w:val="5"/>
      <w:u w:val="single"/>
    </w:rPr>
  </w:style>
  <w:style w:type="character" w:customStyle="1" w:styleId="377">
    <w:name w:val="font41"/>
    <w:qFormat/>
    <w:uiPriority w:val="0"/>
    <w:rPr>
      <w:rFonts w:hint="default" w:ascii="Times New Roman" w:hAnsi="Times New Roman" w:cs="Times New Roman"/>
      <w:color w:val="000000"/>
      <w:sz w:val="18"/>
      <w:szCs w:val="18"/>
      <w:u w:val="none"/>
    </w:rPr>
  </w:style>
  <w:style w:type="character" w:customStyle="1" w:styleId="378">
    <w:name w:val="Char Char29"/>
    <w:qFormat/>
    <w:uiPriority w:val="0"/>
    <w:rPr>
      <w:rFonts w:ascii="Calibri" w:hAnsi="Calibri" w:eastAsia="宋体" w:cs="Times New Roman"/>
      <w:b/>
      <w:bCs/>
      <w:kern w:val="44"/>
      <w:sz w:val="44"/>
      <w:szCs w:val="44"/>
    </w:rPr>
  </w:style>
  <w:style w:type="character" w:customStyle="1" w:styleId="379">
    <w:name w:val="正文文本缩进 3 Char2"/>
    <w:qFormat/>
    <w:uiPriority w:val="99"/>
    <w:rPr>
      <w:kern w:val="2"/>
      <w:sz w:val="16"/>
      <w:szCs w:val="16"/>
    </w:rPr>
  </w:style>
  <w:style w:type="character" w:customStyle="1" w:styleId="380">
    <w:name w:val="16"/>
    <w:qFormat/>
    <w:uiPriority w:val="0"/>
    <w:rPr>
      <w:rFonts w:hint="default" w:ascii="Tahoma" w:hAnsi="Tahoma" w:cs="Tahoma"/>
      <w:color w:val="0000FF"/>
      <w:sz w:val="24"/>
      <w:szCs w:val="24"/>
      <w:u w:val="single"/>
    </w:rPr>
  </w:style>
  <w:style w:type="character" w:customStyle="1" w:styleId="381">
    <w:name w:val="样式 宋体"/>
    <w:qFormat/>
    <w:uiPriority w:val="0"/>
    <w:rPr>
      <w:rFonts w:ascii="宋体" w:hAnsi="宋体" w:eastAsia="宋体"/>
      <w:sz w:val="28"/>
    </w:rPr>
  </w:style>
  <w:style w:type="character" w:customStyle="1" w:styleId="382">
    <w:name w:val="正文文本缩进 2 Char"/>
    <w:link w:val="37"/>
    <w:qFormat/>
    <w:uiPriority w:val="0"/>
    <w:rPr>
      <w:rFonts w:eastAsia="仿宋_GB2312"/>
      <w:sz w:val="32"/>
    </w:rPr>
  </w:style>
  <w:style w:type="character" w:customStyle="1" w:styleId="383">
    <w:name w:val="文字 Char"/>
    <w:link w:val="85"/>
    <w:qFormat/>
    <w:uiPriority w:val="0"/>
    <w:rPr>
      <w:rFonts w:ascii="宋体"/>
      <w:kern w:val="2"/>
      <w:sz w:val="28"/>
    </w:rPr>
  </w:style>
  <w:style w:type="character" w:customStyle="1" w:styleId="384">
    <w:name w:val="Char Char10"/>
    <w:qFormat/>
    <w:uiPriority w:val="0"/>
    <w:rPr>
      <w:rFonts w:ascii="仿宋_GB2312" w:eastAsia="仿宋_GB2312"/>
      <w:b/>
      <w:spacing w:val="1"/>
      <w:w w:val="99"/>
      <w:sz w:val="28"/>
    </w:rPr>
  </w:style>
  <w:style w:type="character" w:customStyle="1" w:styleId="385">
    <w:name w:val="正文文本 2 Char"/>
    <w:link w:val="53"/>
    <w:qFormat/>
    <w:uiPriority w:val="0"/>
    <w:rPr>
      <w:i/>
      <w:sz w:val="26"/>
    </w:rPr>
  </w:style>
  <w:style w:type="character" w:customStyle="1" w:styleId="386">
    <w:name w:val="ca-181"/>
    <w:qFormat/>
    <w:uiPriority w:val="0"/>
    <w:rPr>
      <w:rFonts w:hint="eastAsia" w:ascii="宋体" w:hAnsi="宋体" w:eastAsia="宋体"/>
      <w:sz w:val="21"/>
      <w:szCs w:val="21"/>
    </w:rPr>
  </w:style>
  <w:style w:type="character" w:customStyle="1" w:styleId="387">
    <w:name w:val="标题 5 Char"/>
    <w:link w:val="7"/>
    <w:qFormat/>
    <w:uiPriority w:val="0"/>
    <w:rPr>
      <w:rFonts w:ascii="Times New Roman" w:hAnsi="Times New Roman" w:eastAsia="宋体" w:cs="Times New Roman"/>
      <w:b/>
      <w:bCs/>
      <w:sz w:val="28"/>
      <w:szCs w:val="28"/>
    </w:rPr>
  </w:style>
  <w:style w:type="character" w:customStyle="1" w:styleId="388">
    <w:name w:val="estimate_gray1"/>
    <w:basedOn w:val="66"/>
    <w:qFormat/>
    <w:uiPriority w:val="0"/>
  </w:style>
  <w:style w:type="character" w:customStyle="1" w:styleId="389">
    <w:name w:val="ca-610"/>
    <w:qFormat/>
    <w:uiPriority w:val="0"/>
    <w:rPr>
      <w:rFonts w:hint="eastAsia" w:ascii="宋体" w:hAnsi="宋体" w:eastAsia="宋体"/>
      <w:sz w:val="21"/>
      <w:szCs w:val="21"/>
    </w:rPr>
  </w:style>
  <w:style w:type="character" w:customStyle="1" w:styleId="390">
    <w:name w:val="明显引用 Char1"/>
    <w:qFormat/>
    <w:uiPriority w:val="0"/>
    <w:rPr>
      <w:b/>
      <w:bCs/>
      <w:i/>
      <w:iCs/>
      <w:color w:val="4F81BD"/>
      <w:kern w:val="2"/>
      <w:sz w:val="21"/>
      <w:szCs w:val="22"/>
    </w:rPr>
  </w:style>
  <w:style w:type="character" w:customStyle="1" w:styleId="391">
    <w:name w:val="liked_gray"/>
    <w:basedOn w:val="66"/>
    <w:qFormat/>
    <w:uiPriority w:val="0"/>
    <w:rPr>
      <w:color w:val="FFFFFF"/>
    </w:rPr>
  </w:style>
  <w:style w:type="character" w:customStyle="1" w:styleId="392">
    <w:name w:val="引用 Char2"/>
    <w:qFormat/>
    <w:uiPriority w:val="99"/>
    <w:rPr>
      <w:rFonts w:ascii="Times New Roman" w:hAnsi="Times New Roman"/>
      <w:i/>
      <w:iCs/>
      <w:color w:val="000000"/>
      <w:kern w:val="2"/>
      <w:sz w:val="21"/>
    </w:rPr>
  </w:style>
  <w:style w:type="character" w:customStyle="1" w:styleId="393">
    <w:name w:val="标题 7 Char"/>
    <w:link w:val="9"/>
    <w:qFormat/>
    <w:uiPriority w:val="0"/>
    <w:rPr>
      <w:rFonts w:ascii="Times New Roman" w:hAnsi="Times New Roman" w:eastAsia="宋体" w:cs="Times New Roman"/>
      <w:b/>
      <w:bCs/>
      <w:sz w:val="24"/>
      <w:szCs w:val="24"/>
    </w:rPr>
  </w:style>
  <w:style w:type="character" w:customStyle="1" w:styleId="394">
    <w:name w:val="标题 3 Char"/>
    <w:link w:val="5"/>
    <w:qFormat/>
    <w:uiPriority w:val="0"/>
    <w:rPr>
      <w:rFonts w:ascii="仿宋_GB2312" w:hAnsi="Times New Roman" w:eastAsia="仿宋_GB2312" w:cs="Times New Roman"/>
      <w:b/>
      <w:sz w:val="24"/>
      <w:szCs w:val="20"/>
    </w:rPr>
  </w:style>
  <w:style w:type="character" w:customStyle="1" w:styleId="395">
    <w:name w:val="ico1659"/>
    <w:basedOn w:val="66"/>
    <w:qFormat/>
    <w:uiPriority w:val="0"/>
  </w:style>
  <w:style w:type="character" w:customStyle="1" w:styleId="396">
    <w:name w:val="H2 Char"/>
    <w:qFormat/>
    <w:uiPriority w:val="0"/>
    <w:rPr>
      <w:rFonts w:ascii="Arial" w:hAnsi="Arial" w:eastAsia="宋体"/>
      <w:kern w:val="2"/>
      <w:sz w:val="28"/>
      <w:lang w:val="en-US" w:eastAsia="zh-CN"/>
    </w:rPr>
  </w:style>
  <w:style w:type="character" w:customStyle="1" w:styleId="397">
    <w:name w:val="脚注文本 Char"/>
    <w:link w:val="46"/>
    <w:qFormat/>
    <w:uiPriority w:val="0"/>
    <w:rPr>
      <w:sz w:val="18"/>
    </w:rPr>
  </w:style>
  <w:style w:type="character" w:customStyle="1" w:styleId="398">
    <w:name w:val="批注文字 Char1"/>
    <w:link w:val="20"/>
    <w:qFormat/>
    <w:uiPriority w:val="99"/>
    <w:rPr>
      <w:rFonts w:ascii="Times New Roman" w:hAnsi="Times New Roman" w:eastAsia="宋体" w:cs="Times New Roman"/>
      <w:szCs w:val="20"/>
    </w:rPr>
  </w:style>
  <w:style w:type="character" w:customStyle="1" w:styleId="399">
    <w:name w:val="ico1660"/>
    <w:basedOn w:val="66"/>
    <w:qFormat/>
    <w:uiPriority w:val="0"/>
  </w:style>
  <w:style w:type="character" w:customStyle="1" w:styleId="400">
    <w:name w:val="style21"/>
    <w:qFormat/>
    <w:uiPriority w:val="0"/>
    <w:rPr>
      <w:rFonts w:ascii="Calibri" w:hAnsi="Calibri" w:eastAsia="宋体" w:cs="Times New Roman"/>
      <w:b/>
      <w:bCs/>
      <w:sz w:val="28"/>
      <w:szCs w:val="28"/>
    </w:rPr>
  </w:style>
  <w:style w:type="character" w:customStyle="1" w:styleId="401">
    <w:name w:val="title11"/>
    <w:qFormat/>
    <w:uiPriority w:val="0"/>
    <w:rPr>
      <w:rFonts w:ascii="Calibri" w:hAnsi="Calibri" w:eastAsia="宋体" w:cs="Times New Roman"/>
      <w:b/>
      <w:bCs/>
      <w:color w:val="FFFFFF"/>
      <w:sz w:val="11"/>
      <w:szCs w:val="11"/>
    </w:rPr>
  </w:style>
  <w:style w:type="character" w:customStyle="1" w:styleId="402">
    <w:name w:val="first-child"/>
    <w:basedOn w:val="66"/>
    <w:qFormat/>
    <w:uiPriority w:val="0"/>
  </w:style>
  <w:style w:type="character" w:customStyle="1" w:styleId="403">
    <w:name w:val="标题4 Char Char"/>
    <w:link w:val="201"/>
    <w:qFormat/>
    <w:uiPriority w:val="0"/>
    <w:rPr>
      <w:rFonts w:ascii="Arial" w:hAnsi="Arial"/>
      <w:b/>
      <w:bCs/>
      <w:sz w:val="24"/>
      <w:szCs w:val="32"/>
    </w:rPr>
  </w:style>
  <w:style w:type="character" w:customStyle="1" w:styleId="404">
    <w:name w:val="尾注文本 Char"/>
    <w:qFormat/>
    <w:uiPriority w:val="0"/>
    <w:rPr>
      <w:kern w:val="2"/>
      <w:sz w:val="21"/>
    </w:rPr>
  </w:style>
  <w:style w:type="character" w:customStyle="1" w:styleId="405">
    <w:name w:val="标题5 Char Char"/>
    <w:link w:val="103"/>
    <w:qFormat/>
    <w:uiPriority w:val="0"/>
    <w:rPr>
      <w:rFonts w:ascii="Arial" w:hAnsi="Arial"/>
      <w:b/>
      <w:bCs/>
      <w:sz w:val="24"/>
      <w:szCs w:val="32"/>
    </w:rPr>
  </w:style>
  <w:style w:type="character" w:customStyle="1" w:styleId="406">
    <w:name w:val="color_red1"/>
    <w:qFormat/>
    <w:uiPriority w:val="0"/>
    <w:rPr>
      <w:rFonts w:ascii="Calibri" w:hAnsi="Calibri" w:eastAsia="宋体" w:cs="Times New Roman"/>
      <w:color w:val="FA0004"/>
    </w:rPr>
  </w:style>
  <w:style w:type="character" w:customStyle="1" w:styleId="407">
    <w:name w:val="v151"/>
    <w:qFormat/>
    <w:uiPriority w:val="0"/>
    <w:rPr>
      <w:sz w:val="18"/>
    </w:rPr>
  </w:style>
  <w:style w:type="character" w:customStyle="1" w:styleId="408">
    <w:name w:val="drapbtn"/>
    <w:basedOn w:val="66"/>
    <w:qFormat/>
    <w:uiPriority w:val="0"/>
  </w:style>
  <w:style w:type="character" w:customStyle="1" w:styleId="409">
    <w:name w:val="批注主题 Char"/>
    <w:link w:val="61"/>
    <w:qFormat/>
    <w:uiPriority w:val="0"/>
    <w:rPr>
      <w:sz w:val="24"/>
    </w:rPr>
  </w:style>
  <w:style w:type="character" w:customStyle="1" w:styleId="410">
    <w:name w:val="font81"/>
    <w:qFormat/>
    <w:uiPriority w:val="0"/>
    <w:rPr>
      <w:rFonts w:ascii="Symbol" w:hAnsi="Symbol" w:cs="Symbol"/>
      <w:color w:val="000000"/>
      <w:sz w:val="18"/>
      <w:szCs w:val="18"/>
      <w:u w:val="none"/>
    </w:rPr>
  </w:style>
  <w:style w:type="character" w:customStyle="1" w:styleId="411">
    <w:name w:val="Char Char28"/>
    <w:qFormat/>
    <w:uiPriority w:val="0"/>
    <w:rPr>
      <w:rFonts w:ascii="Cambria" w:hAnsi="Cambria" w:eastAsia="宋体" w:cs="Times New Roman"/>
      <w:b/>
      <w:bCs/>
      <w:kern w:val="2"/>
      <w:sz w:val="32"/>
      <w:szCs w:val="32"/>
    </w:rPr>
  </w:style>
  <w:style w:type="character" w:customStyle="1" w:styleId="412">
    <w:name w:val="_Style 410"/>
    <w:qFormat/>
    <w:uiPriority w:val="0"/>
    <w:rPr>
      <w:i/>
      <w:iCs/>
      <w:color w:val="808080"/>
    </w:rPr>
  </w:style>
  <w:style w:type="character" w:customStyle="1" w:styleId="413">
    <w:name w:val="Table Heading Char Char"/>
    <w:qFormat/>
    <w:uiPriority w:val="0"/>
    <w:rPr>
      <w:rFonts w:ascii="Arial" w:hAnsi="Arial" w:eastAsia="黑体"/>
      <w:kern w:val="2"/>
      <w:sz w:val="18"/>
      <w:lang w:val="en-US" w:eastAsia="zh-CN"/>
    </w:rPr>
  </w:style>
  <w:style w:type="character" w:customStyle="1" w:styleId="414">
    <w:name w:val="iconline21"/>
    <w:basedOn w:val="66"/>
    <w:qFormat/>
    <w:uiPriority w:val="0"/>
  </w:style>
  <w:style w:type="character" w:customStyle="1" w:styleId="415">
    <w:name w:val="正文文本缩进 Char"/>
    <w:link w:val="24"/>
    <w:qFormat/>
    <w:uiPriority w:val="0"/>
    <w:rPr>
      <w:rFonts w:ascii="黑体" w:hAnsi="宋体" w:eastAsia="黑体"/>
      <w:color w:val="000000"/>
      <w:sz w:val="28"/>
    </w:rPr>
  </w:style>
  <w:style w:type="character" w:customStyle="1" w:styleId="416">
    <w:name w:val="正文首行缩进 2 Char"/>
    <w:link w:val="63"/>
    <w:qFormat/>
    <w:uiPriority w:val="0"/>
    <w:rPr>
      <w:rFonts w:ascii="黑体" w:hAnsi="宋体" w:eastAsia="黑体"/>
      <w:color w:val="000000"/>
      <w:szCs w:val="24"/>
    </w:rPr>
  </w:style>
  <w:style w:type="character" w:customStyle="1" w:styleId="417">
    <w:name w:val="choosename"/>
    <w:basedOn w:val="66"/>
    <w:qFormat/>
    <w:uiPriority w:val="0"/>
  </w:style>
  <w:style w:type="character" w:customStyle="1" w:styleId="418">
    <w:name w:val="Char Char21"/>
    <w:qFormat/>
    <w:uiPriority w:val="0"/>
    <w:rPr>
      <w:kern w:val="2"/>
      <w:sz w:val="26"/>
    </w:rPr>
  </w:style>
  <w:style w:type="character" w:customStyle="1" w:styleId="419">
    <w:name w:val="Char Char111"/>
    <w:qFormat/>
    <w:uiPriority w:val="0"/>
    <w:rPr>
      <w:rFonts w:eastAsia="黑体"/>
      <w:kern w:val="2"/>
      <w:sz w:val="44"/>
      <w:lang w:val="en-US" w:eastAsia="zh-CN"/>
    </w:rPr>
  </w:style>
  <w:style w:type="character" w:customStyle="1" w:styleId="420">
    <w:name w:val="style121"/>
    <w:qFormat/>
    <w:uiPriority w:val="0"/>
    <w:rPr>
      <w:rFonts w:hint="eastAsia" w:ascii="宋体" w:hAnsi="宋体" w:eastAsia="宋体" w:cs="Times New Roman"/>
      <w:sz w:val="18"/>
      <w:szCs w:val="18"/>
    </w:rPr>
  </w:style>
  <w:style w:type="character" w:customStyle="1" w:styleId="421">
    <w:name w:val="viewscale"/>
    <w:basedOn w:val="66"/>
    <w:qFormat/>
    <w:uiPriority w:val="0"/>
    <w:rPr>
      <w:color w:val="FFFFFF"/>
      <w:sz w:val="19"/>
      <w:szCs w:val="19"/>
    </w:rPr>
  </w:style>
  <w:style w:type="character" w:customStyle="1" w:styleId="422">
    <w:name w:val="标题 Char"/>
    <w:qFormat/>
    <w:uiPriority w:val="0"/>
    <w:rPr>
      <w:rFonts w:ascii="Cambria" w:hAnsi="Cambria" w:cs="Times New Roman"/>
      <w:b/>
      <w:bCs/>
      <w:kern w:val="2"/>
      <w:sz w:val="32"/>
      <w:szCs w:val="32"/>
    </w:rPr>
  </w:style>
  <w:style w:type="character" w:customStyle="1" w:styleId="423">
    <w:name w:val="批注文字 Char"/>
    <w:qFormat/>
    <w:uiPriority w:val="0"/>
    <w:rPr>
      <w:kern w:val="2"/>
      <w:sz w:val="21"/>
    </w:rPr>
  </w:style>
  <w:style w:type="character" w:customStyle="1" w:styleId="424">
    <w:name w:val="after"/>
    <w:basedOn w:val="66"/>
    <w:qFormat/>
    <w:uiPriority w:val="0"/>
    <w:rPr>
      <w:sz w:val="16"/>
      <w:szCs w:val="0"/>
    </w:rPr>
  </w:style>
  <w:style w:type="character" w:customStyle="1" w:styleId="425">
    <w:name w:val="Char Char34"/>
    <w:qFormat/>
    <w:uiPriority w:val="0"/>
    <w:rPr>
      <w:rFonts w:eastAsia="黑体"/>
      <w:kern w:val="2"/>
      <w:sz w:val="44"/>
      <w:lang w:val="en-US" w:eastAsia="zh-CN" w:bidi="ar-SA"/>
    </w:rPr>
  </w:style>
  <w:style w:type="character" w:customStyle="1" w:styleId="426">
    <w:name w:val="纯文本 Char"/>
    <w:link w:val="33"/>
    <w:qFormat/>
    <w:uiPriority w:val="0"/>
    <w:rPr>
      <w:rFonts w:ascii="宋体" w:hAnsi="Courier New" w:eastAsia="宋体"/>
      <w:sz w:val="28"/>
    </w:rPr>
  </w:style>
  <w:style w:type="character" w:customStyle="1" w:styleId="427">
    <w:name w:val="批注框文本 Char"/>
    <w:link w:val="39"/>
    <w:qFormat/>
    <w:uiPriority w:val="0"/>
    <w:rPr>
      <w:sz w:val="18"/>
    </w:rPr>
  </w:style>
  <w:style w:type="character" w:customStyle="1" w:styleId="428">
    <w:name w:val="font11"/>
    <w:qFormat/>
    <w:uiPriority w:val="0"/>
    <w:rPr>
      <w:rFonts w:hint="default" w:ascii="Times New Roman" w:hAnsi="Times New Roman" w:cs="Times New Roman"/>
      <w:b/>
      <w:color w:val="000000"/>
      <w:sz w:val="18"/>
      <w:szCs w:val="18"/>
      <w:u w:val="none"/>
    </w:rPr>
  </w:style>
  <w:style w:type="character" w:customStyle="1" w:styleId="429">
    <w:name w:val="font21"/>
    <w:qFormat/>
    <w:uiPriority w:val="0"/>
    <w:rPr>
      <w:rFonts w:hint="eastAsia" w:ascii="宋体" w:hAnsi="宋体" w:eastAsia="宋体" w:cs="宋体"/>
      <w:color w:val="000000"/>
      <w:sz w:val="18"/>
      <w:szCs w:val="18"/>
      <w:u w:val="none"/>
    </w:rPr>
  </w:style>
  <w:style w:type="character" w:customStyle="1" w:styleId="430">
    <w:name w:val="标题 5 Char1"/>
    <w:qFormat/>
    <w:uiPriority w:val="0"/>
    <w:rPr>
      <w:rFonts w:ascii="宋体" w:hAnsi="宋体" w:cs="宋体"/>
      <w:b/>
      <w:bCs/>
    </w:rPr>
  </w:style>
  <w:style w:type="character" w:customStyle="1" w:styleId="431">
    <w:name w:val="icontext1"/>
    <w:basedOn w:val="66"/>
    <w:qFormat/>
    <w:uiPriority w:val="0"/>
  </w:style>
  <w:style w:type="character" w:customStyle="1" w:styleId="432">
    <w:name w:val="尾注文本 Char2"/>
    <w:qFormat/>
    <w:uiPriority w:val="99"/>
    <w:rPr>
      <w:rFonts w:ascii="Times New Roman" w:hAnsi="Times New Roman" w:eastAsia="宋体" w:cs="Times New Roman"/>
      <w:szCs w:val="20"/>
    </w:rPr>
  </w:style>
  <w:style w:type="character" w:customStyle="1" w:styleId="433">
    <w:name w:val="标题 8 Char1"/>
    <w:qFormat/>
    <w:uiPriority w:val="0"/>
    <w:rPr>
      <w:rFonts w:ascii="Times New Roman" w:hAnsi="Arial" w:eastAsia="仿宋_GB2312"/>
      <w:sz w:val="30"/>
    </w:rPr>
  </w:style>
  <w:style w:type="character" w:customStyle="1" w:styleId="434">
    <w:name w:val="hilite6"/>
    <w:basedOn w:val="66"/>
    <w:qFormat/>
    <w:uiPriority w:val="0"/>
    <w:rPr>
      <w:color w:val="FFFFFF"/>
      <w:shd w:val="clear" w:color="auto" w:fill="666666"/>
    </w:rPr>
  </w:style>
  <w:style w:type="character" w:customStyle="1" w:styleId="435">
    <w:name w:val="14t1"/>
    <w:qFormat/>
    <w:uiPriority w:val="0"/>
    <w:rPr>
      <w:rFonts w:hint="eastAsia" w:ascii="宋体" w:hAnsi="宋体" w:eastAsia="宋体" w:cs="Times New Roman"/>
      <w:sz w:val="11"/>
      <w:szCs w:val="11"/>
    </w:rPr>
  </w:style>
  <w:style w:type="character" w:customStyle="1" w:styleId="436">
    <w:name w:val="标题 7 Char1"/>
    <w:qFormat/>
    <w:uiPriority w:val="0"/>
    <w:rPr>
      <w:rFonts w:ascii="Times New Roman" w:hAnsi="Times New Roman" w:eastAsia="仿宋_GB2312"/>
      <w:sz w:val="30"/>
    </w:rPr>
  </w:style>
  <w:style w:type="character" w:customStyle="1" w:styleId="437">
    <w:name w:val="cdropleft"/>
    <w:basedOn w:val="66"/>
    <w:qFormat/>
    <w:uiPriority w:val="0"/>
  </w:style>
  <w:style w:type="character" w:customStyle="1" w:styleId="438">
    <w:name w:val="Char Char31"/>
    <w:qFormat/>
    <w:uiPriority w:val="0"/>
    <w:rPr>
      <w:rFonts w:hint="eastAsia" w:ascii="宋体" w:hAnsi="宋体" w:eastAsia="宋体"/>
      <w:kern w:val="2"/>
      <w:sz w:val="18"/>
      <w:szCs w:val="18"/>
      <w:lang w:val="en-US" w:eastAsia="zh-CN" w:bidi="ar-SA"/>
    </w:rPr>
  </w:style>
  <w:style w:type="character" w:customStyle="1" w:styleId="439">
    <w:name w:val="0d1471"/>
    <w:qFormat/>
    <w:uiPriority w:val="0"/>
    <w:rPr>
      <w:rFonts w:ascii="Calibri" w:hAnsi="Calibri" w:eastAsia="宋体" w:cs="Times New Roman"/>
      <w:color w:val="000000"/>
      <w:sz w:val="11"/>
      <w:szCs w:val="11"/>
      <w:u w:val="none"/>
    </w:rPr>
  </w:style>
  <w:style w:type="character" w:customStyle="1" w:styleId="440">
    <w:name w:val="日期 Char1"/>
    <w:qFormat/>
    <w:uiPriority w:val="99"/>
    <w:rPr>
      <w:rFonts w:ascii="Times New Roman" w:hAnsi="Times New Roman" w:eastAsia="宋体" w:cs="Times New Roman"/>
      <w:szCs w:val="20"/>
    </w:rPr>
  </w:style>
  <w:style w:type="character" w:customStyle="1" w:styleId="441">
    <w:name w:val="正文文本 Char"/>
    <w:link w:val="23"/>
    <w:qFormat/>
    <w:uiPriority w:val="0"/>
    <w:rPr>
      <w:sz w:val="26"/>
    </w:rPr>
  </w:style>
  <w:style w:type="character" w:customStyle="1" w:styleId="442">
    <w:name w:val="标题 6 Char1"/>
    <w:qFormat/>
    <w:uiPriority w:val="0"/>
    <w:rPr>
      <w:rFonts w:ascii="Times New Roman" w:hAnsi="Arial" w:eastAsia="仿宋_GB2312"/>
      <w:sz w:val="30"/>
    </w:rPr>
  </w:style>
  <w:style w:type="character" w:customStyle="1" w:styleId="443">
    <w:name w:val="cy"/>
    <w:basedOn w:val="66"/>
    <w:qFormat/>
    <w:uiPriority w:val="0"/>
  </w:style>
  <w:style w:type="character" w:customStyle="1" w:styleId="444">
    <w:name w:val="副标题 Char"/>
    <w:link w:val="45"/>
    <w:qFormat/>
    <w:uiPriority w:val="0"/>
    <w:rPr>
      <w:rFonts w:eastAsia="宋体"/>
      <w:szCs w:val="24"/>
      <w:u w:val="single"/>
      <w:lang w:eastAsia="en-US"/>
    </w:rPr>
  </w:style>
  <w:style w:type="character" w:customStyle="1" w:styleId="445">
    <w:name w:val="页眉 Char1"/>
    <w:qFormat/>
    <w:uiPriority w:val="0"/>
    <w:rPr>
      <w:rFonts w:eastAsia="宋体"/>
      <w:kern w:val="2"/>
      <w:sz w:val="18"/>
      <w:szCs w:val="18"/>
      <w:lang w:val="en-US" w:eastAsia="zh-CN" w:bidi="ar-SA"/>
    </w:rPr>
  </w:style>
  <w:style w:type="character" w:customStyle="1" w:styleId="446">
    <w:name w:val="crowed11"/>
    <w:qFormat/>
    <w:uiPriority w:val="0"/>
    <w:rPr>
      <w:rFonts w:hint="default" w:ascii="_x000B__x000C_" w:hAnsi="_x000B__x000C_"/>
      <w:sz w:val="24"/>
    </w:rPr>
  </w:style>
  <w:style w:type="character" w:customStyle="1" w:styleId="447">
    <w:name w:val="批注文字 Char Char"/>
    <w:qFormat/>
    <w:uiPriority w:val="0"/>
    <w:rPr>
      <w:rFonts w:ascii="宋体" w:hAnsi="Times New Roman" w:eastAsia="宋体" w:cs="Times New Roman"/>
      <w:sz w:val="28"/>
      <w:szCs w:val="20"/>
    </w:rPr>
  </w:style>
  <w:style w:type="character" w:customStyle="1" w:styleId="448">
    <w:name w:val="Char Char5"/>
    <w:qFormat/>
    <w:uiPriority w:val="0"/>
    <w:rPr>
      <w:kern w:val="2"/>
      <w:sz w:val="18"/>
    </w:rPr>
  </w:style>
  <w:style w:type="character" w:customStyle="1" w:styleId="449">
    <w:name w:val="文档结构图 Char2"/>
    <w:qFormat/>
    <w:uiPriority w:val="0"/>
    <w:rPr>
      <w:kern w:val="2"/>
      <w:sz w:val="21"/>
      <w:szCs w:val="24"/>
      <w:shd w:val="clear" w:color="auto" w:fill="000080"/>
    </w:rPr>
  </w:style>
  <w:style w:type="character" w:customStyle="1" w:styleId="450">
    <w:name w:val="ca-51"/>
    <w:qFormat/>
    <w:uiPriority w:val="0"/>
    <w:rPr>
      <w:rFonts w:hint="eastAsia" w:ascii="宋体" w:hAnsi="宋体" w:eastAsia="宋体"/>
      <w:b/>
      <w:bCs/>
      <w:color w:val="000000"/>
      <w:spacing w:val="-20"/>
      <w:sz w:val="16"/>
      <w:szCs w:val="16"/>
    </w:rPr>
  </w:style>
  <w:style w:type="character" w:customStyle="1" w:styleId="451">
    <w:name w:val="正文文本 2 Char1"/>
    <w:qFormat/>
    <w:uiPriority w:val="99"/>
    <w:rPr>
      <w:rFonts w:ascii="Times New Roman" w:hAnsi="Times New Roman" w:eastAsia="宋体" w:cs="Times New Roman"/>
      <w:szCs w:val="20"/>
    </w:rPr>
  </w:style>
  <w:style w:type="character" w:customStyle="1" w:styleId="452">
    <w:name w:val="标题 9 Char1"/>
    <w:qFormat/>
    <w:uiPriority w:val="0"/>
    <w:rPr>
      <w:rFonts w:ascii="Times New Roman" w:hAnsi="Times New Roman" w:eastAsia="仿宋_GB2312"/>
      <w:sz w:val="30"/>
    </w:rPr>
  </w:style>
  <w:style w:type="character" w:customStyle="1" w:styleId="453">
    <w:name w:val="layui-layer-tabnow"/>
    <w:basedOn w:val="66"/>
    <w:qFormat/>
    <w:uiPriority w:val="0"/>
    <w:rPr>
      <w:bdr w:val="single" w:color="CCCCCC" w:sz="4" w:space="0"/>
      <w:shd w:val="clear" w:color="auto" w:fill="FFFFFF"/>
    </w:rPr>
  </w:style>
  <w:style w:type="character" w:customStyle="1" w:styleId="454">
    <w:name w:val="标题 2 Char1"/>
    <w:qFormat/>
    <w:uiPriority w:val="0"/>
    <w:rPr>
      <w:rFonts w:ascii="仿宋_GB2312" w:hAnsi="Times New Roman" w:eastAsia="仿宋_GB2312" w:cs="MingLiU"/>
      <w:b/>
      <w:spacing w:val="1"/>
      <w:w w:val="99"/>
      <w:kern w:val="2"/>
      <w:sz w:val="28"/>
      <w:szCs w:val="32"/>
    </w:rPr>
  </w:style>
  <w:style w:type="character" w:customStyle="1" w:styleId="455">
    <w:name w:val="font51"/>
    <w:qFormat/>
    <w:uiPriority w:val="0"/>
    <w:rPr>
      <w:rFonts w:hint="default" w:ascii="Times New Roman" w:hAnsi="Times New Roman" w:cs="Times New Roman"/>
      <w:color w:val="000000"/>
      <w:sz w:val="18"/>
      <w:szCs w:val="18"/>
      <w:u w:val="none"/>
    </w:rPr>
  </w:style>
  <w:style w:type="character" w:customStyle="1" w:styleId="456">
    <w:name w:val="hover48"/>
    <w:basedOn w:val="66"/>
    <w:qFormat/>
    <w:uiPriority w:val="0"/>
    <w:rPr>
      <w:color w:val="FFFFFF"/>
    </w:rPr>
  </w:style>
  <w:style w:type="character" w:customStyle="1" w:styleId="457">
    <w:name w:val="Char Char12"/>
    <w:qFormat/>
    <w:uiPriority w:val="0"/>
    <w:rPr>
      <w:rFonts w:hint="eastAsia" w:ascii="宋体" w:hAnsi="宋体" w:eastAsia="宋体"/>
      <w:kern w:val="2"/>
      <w:sz w:val="18"/>
      <w:szCs w:val="18"/>
      <w:lang w:val="en-US" w:eastAsia="zh-CN" w:bidi="ar-SA"/>
    </w:rPr>
  </w:style>
  <w:style w:type="character" w:customStyle="1" w:styleId="458">
    <w:name w:val="font1"/>
    <w:qFormat/>
    <w:uiPriority w:val="0"/>
    <w:rPr>
      <w:color w:val="000000"/>
      <w:sz w:val="18"/>
    </w:rPr>
  </w:style>
  <w:style w:type="character" w:customStyle="1" w:styleId="459">
    <w:name w:val="批注框文本 Char1"/>
    <w:qFormat/>
    <w:uiPriority w:val="0"/>
    <w:rPr>
      <w:rFonts w:ascii="Times New Roman" w:hAnsi="Times New Roman" w:eastAsia="宋体" w:cs="Times New Roman"/>
      <w:sz w:val="18"/>
      <w:szCs w:val="18"/>
    </w:rPr>
  </w:style>
  <w:style w:type="character" w:customStyle="1" w:styleId="460">
    <w:name w:val="页脚 Char"/>
    <w:link w:val="40"/>
    <w:qFormat/>
    <w:uiPriority w:val="0"/>
    <w:rPr>
      <w:sz w:val="18"/>
      <w:szCs w:val="18"/>
    </w:rPr>
  </w:style>
  <w:style w:type="character" w:customStyle="1" w:styleId="461">
    <w:name w:val="明显引用 Char"/>
    <w:link w:val="125"/>
    <w:qFormat/>
    <w:uiPriority w:val="0"/>
    <w:rPr>
      <w:b/>
      <w:bCs/>
      <w:i/>
      <w:iCs/>
      <w:color w:val="4F81BD"/>
      <w:kern w:val="2"/>
      <w:sz w:val="21"/>
      <w:szCs w:val="22"/>
    </w:rPr>
  </w:style>
  <w:style w:type="character" w:customStyle="1" w:styleId="462">
    <w:name w:val="正文文本 Char3"/>
    <w:qFormat/>
    <w:uiPriority w:val="99"/>
    <w:rPr>
      <w:kern w:val="2"/>
      <w:sz w:val="21"/>
      <w:szCs w:val="22"/>
    </w:rPr>
  </w:style>
  <w:style w:type="character" w:customStyle="1" w:styleId="463">
    <w:name w:val="textcontents"/>
    <w:qFormat/>
    <w:uiPriority w:val="0"/>
    <w:rPr>
      <w:rFonts w:cs="Times New Roman"/>
    </w:rPr>
  </w:style>
  <w:style w:type="character" w:customStyle="1" w:styleId="464">
    <w:name w:val="font01"/>
    <w:qFormat/>
    <w:uiPriority w:val="0"/>
    <w:rPr>
      <w:rFonts w:hint="eastAsia" w:ascii="宋体" w:hAnsi="宋体" w:eastAsia="宋体" w:cs="宋体"/>
      <w:color w:val="000000"/>
      <w:sz w:val="18"/>
      <w:szCs w:val="18"/>
      <w:u w:val="none"/>
    </w:rPr>
  </w:style>
  <w:style w:type="character" w:customStyle="1" w:styleId="465">
    <w:name w:val="HTML 预设格式 Char"/>
    <w:link w:val="56"/>
    <w:qFormat/>
    <w:uiPriority w:val="0"/>
    <w:rPr>
      <w:rFonts w:ascii="Arial" w:hAnsi="Arial" w:cs="Arial"/>
      <w:sz w:val="24"/>
      <w:szCs w:val="24"/>
    </w:rPr>
  </w:style>
  <w:style w:type="character" w:customStyle="1" w:styleId="466">
    <w:name w:val="moreaction32"/>
    <w:basedOn w:val="66"/>
    <w:qFormat/>
    <w:uiPriority w:val="0"/>
  </w:style>
  <w:style w:type="character" w:customStyle="1" w:styleId="467">
    <w:name w:val="批注框文本 Char3"/>
    <w:qFormat/>
    <w:uiPriority w:val="99"/>
    <w:rPr>
      <w:kern w:val="2"/>
      <w:sz w:val="18"/>
      <w:szCs w:val="18"/>
    </w:rPr>
  </w:style>
  <w:style w:type="character" w:customStyle="1" w:styleId="468">
    <w:name w:val="引用 Char"/>
    <w:link w:val="242"/>
    <w:qFormat/>
    <w:uiPriority w:val="0"/>
    <w:rPr>
      <w:i/>
      <w:iCs/>
      <w:color w:val="000000"/>
      <w:kern w:val="2"/>
      <w:sz w:val="21"/>
      <w:szCs w:val="22"/>
    </w:rPr>
  </w:style>
  <w:style w:type="character" w:customStyle="1" w:styleId="469">
    <w:name w:val="Char Char41"/>
    <w:qFormat/>
    <w:uiPriority w:val="0"/>
    <w:rPr>
      <w:rFonts w:ascii="宋体" w:hAnsi="Courier New"/>
      <w:kern w:val="2"/>
      <w:sz w:val="28"/>
    </w:rPr>
  </w:style>
  <w:style w:type="character" w:customStyle="1" w:styleId="470">
    <w:name w:val="cdropright"/>
    <w:basedOn w:val="66"/>
    <w:qFormat/>
    <w:uiPriority w:val="0"/>
  </w:style>
  <w:style w:type="character" w:customStyle="1" w:styleId="471">
    <w:name w:val="标题 1 Char"/>
    <w:link w:val="3"/>
    <w:qFormat/>
    <w:uiPriority w:val="0"/>
    <w:rPr>
      <w:rFonts w:eastAsia="黑体"/>
      <w:sz w:val="44"/>
    </w:rPr>
  </w:style>
  <w:style w:type="character" w:customStyle="1" w:styleId="472">
    <w:name w:val="_Style 470"/>
    <w:qFormat/>
    <w:uiPriority w:val="0"/>
    <w:rPr>
      <w:b/>
      <w:bCs/>
      <w:i/>
      <w:iCs/>
      <w:color w:val="4F81BD"/>
    </w:rPr>
  </w:style>
  <w:style w:type="character" w:customStyle="1" w:styleId="473">
    <w:name w:val="normaltext1"/>
    <w:qFormat/>
    <w:uiPriority w:val="0"/>
    <w:rPr>
      <w:rFonts w:hint="default" w:ascii="ˎ̥" w:hAnsi="ˎ̥" w:eastAsia="宋体" w:cs="Times New Roman"/>
      <w:sz w:val="9"/>
      <w:szCs w:val="9"/>
    </w:rPr>
  </w:style>
  <w:style w:type="character" w:customStyle="1" w:styleId="474">
    <w:name w:val="批注主题 Char2"/>
    <w:qFormat/>
    <w:uiPriority w:val="0"/>
    <w:rPr>
      <w:b/>
      <w:bCs/>
      <w:sz w:val="21"/>
    </w:rPr>
  </w:style>
  <w:style w:type="character" w:customStyle="1" w:styleId="475">
    <w:name w:val="ca-141"/>
    <w:qFormat/>
    <w:uiPriority w:val="0"/>
    <w:rPr>
      <w:rFonts w:hint="eastAsia" w:ascii="仿宋_GB2312" w:eastAsia="仿宋_GB2312"/>
      <w:sz w:val="21"/>
      <w:szCs w:val="21"/>
    </w:rPr>
  </w:style>
  <w:style w:type="character" w:customStyle="1" w:styleId="476">
    <w:name w:val="副标题 Char1"/>
    <w:qFormat/>
    <w:uiPriority w:val="0"/>
    <w:rPr>
      <w:rFonts w:ascii="Cambria" w:hAnsi="Cambria" w:eastAsia="宋体" w:cs="Times New Roman"/>
      <w:b/>
      <w:bCs/>
      <w:kern w:val="28"/>
      <w:sz w:val="32"/>
      <w:szCs w:val="32"/>
    </w:rPr>
  </w:style>
  <w:style w:type="character" w:customStyle="1" w:styleId="477">
    <w:name w:val="Char Char171"/>
    <w:qFormat/>
    <w:uiPriority w:val="0"/>
    <w:rPr>
      <w:rFonts w:ascii="Cambria" w:hAnsi="Cambria" w:eastAsia="宋体" w:cs="Times New Roman"/>
      <w:b/>
      <w:bCs/>
      <w:kern w:val="2"/>
      <w:sz w:val="32"/>
      <w:szCs w:val="32"/>
    </w:rPr>
  </w:style>
  <w:style w:type="character" w:customStyle="1" w:styleId="478">
    <w:name w:val="Char Char32"/>
    <w:qFormat/>
    <w:uiPriority w:val="0"/>
    <w:rPr>
      <w:kern w:val="2"/>
      <w:sz w:val="18"/>
    </w:rPr>
  </w:style>
  <w:style w:type="character" w:customStyle="1" w:styleId="479">
    <w:name w:val="书籍标题1"/>
    <w:qFormat/>
    <w:uiPriority w:val="0"/>
    <w:rPr>
      <w:b/>
      <w:bCs/>
      <w:smallCaps/>
      <w:spacing w:val="5"/>
    </w:rPr>
  </w:style>
  <w:style w:type="character" w:customStyle="1" w:styleId="480">
    <w:name w:val="Char Char112"/>
    <w:qFormat/>
    <w:uiPriority w:val="0"/>
    <w:rPr>
      <w:rFonts w:eastAsia="黑体"/>
      <w:kern w:val="2"/>
      <w:sz w:val="44"/>
      <w:lang w:val="en-US" w:eastAsia="zh-CN"/>
    </w:rPr>
  </w:style>
  <w:style w:type="character" w:customStyle="1" w:styleId="481">
    <w:name w:val="Char Char22"/>
    <w:qFormat/>
    <w:uiPriority w:val="0"/>
    <w:rPr>
      <w:kern w:val="2"/>
      <w:sz w:val="26"/>
    </w:rPr>
  </w:style>
  <w:style w:type="character" w:customStyle="1" w:styleId="482">
    <w:name w:val="明显强调1"/>
    <w:qFormat/>
    <w:uiPriority w:val="0"/>
    <w:rPr>
      <w:b/>
      <w:bCs/>
      <w:i/>
      <w:iCs/>
      <w:color w:val="4F81BD"/>
    </w:rPr>
  </w:style>
  <w:style w:type="character" w:customStyle="1" w:styleId="483">
    <w:name w:val="Char Char61"/>
    <w:qFormat/>
    <w:uiPriority w:val="0"/>
    <w:rPr>
      <w:sz w:val="24"/>
    </w:rPr>
  </w:style>
  <w:style w:type="character" w:customStyle="1" w:styleId="484">
    <w:name w:val="Char Char13"/>
    <w:qFormat/>
    <w:uiPriority w:val="0"/>
    <w:rPr>
      <w:i/>
      <w:kern w:val="2"/>
      <w:sz w:val="26"/>
    </w:rPr>
  </w:style>
  <w:style w:type="character" w:customStyle="1" w:styleId="485">
    <w:name w:val="Char Char101"/>
    <w:qFormat/>
    <w:uiPriority w:val="0"/>
    <w:rPr>
      <w:rFonts w:ascii="仿宋_GB2312" w:eastAsia="仿宋_GB2312"/>
      <w:b/>
      <w:spacing w:val="1"/>
      <w:w w:val="99"/>
      <w:sz w:val="28"/>
    </w:rPr>
  </w:style>
  <w:style w:type="character" w:customStyle="1" w:styleId="486">
    <w:name w:val="Char Char91"/>
    <w:qFormat/>
    <w:uiPriority w:val="0"/>
    <w:rPr>
      <w:rFonts w:ascii="仿宋_GB2312" w:eastAsia="仿宋_GB2312"/>
      <w:b/>
      <w:sz w:val="24"/>
    </w:rPr>
  </w:style>
  <w:style w:type="character" w:customStyle="1" w:styleId="487">
    <w:name w:val="Char Char341"/>
    <w:qFormat/>
    <w:uiPriority w:val="0"/>
    <w:rPr>
      <w:rFonts w:eastAsia="黑体"/>
      <w:kern w:val="2"/>
      <w:sz w:val="44"/>
      <w:lang w:val="en-US" w:eastAsia="zh-CN" w:bidi="ar-SA"/>
    </w:rPr>
  </w:style>
  <w:style w:type="character" w:customStyle="1" w:styleId="488">
    <w:name w:val="明显参考1"/>
    <w:qFormat/>
    <w:uiPriority w:val="0"/>
    <w:rPr>
      <w:b/>
      <w:bCs/>
      <w:smallCaps/>
      <w:color w:val="C0504D"/>
      <w:spacing w:val="5"/>
      <w:u w:val="single"/>
    </w:rPr>
  </w:style>
  <w:style w:type="character" w:customStyle="1" w:styleId="489">
    <w:name w:val="Char Char42"/>
    <w:qFormat/>
    <w:uiPriority w:val="0"/>
    <w:rPr>
      <w:rFonts w:ascii="宋体" w:hAnsi="Courier New"/>
      <w:kern w:val="2"/>
      <w:sz w:val="28"/>
    </w:rPr>
  </w:style>
  <w:style w:type="character" w:customStyle="1" w:styleId="490">
    <w:name w:val="不明显强调1"/>
    <w:qFormat/>
    <w:uiPriority w:val="0"/>
    <w:rPr>
      <w:i/>
      <w:iCs/>
      <w:color w:val="808080"/>
    </w:rPr>
  </w:style>
  <w:style w:type="character" w:customStyle="1" w:styleId="491">
    <w:name w:val="Char Char14"/>
    <w:qFormat/>
    <w:uiPriority w:val="0"/>
    <w:rPr>
      <w:rFonts w:ascii="宋体" w:hAnsi="宋体" w:eastAsia="宋体"/>
      <w:kern w:val="2"/>
      <w:sz w:val="24"/>
      <w:lang w:val="en-US" w:eastAsia="zh-CN" w:bidi="ar-SA"/>
    </w:rPr>
  </w:style>
  <w:style w:type="character" w:customStyle="1" w:styleId="492">
    <w:name w:val="不明显参考1"/>
    <w:qFormat/>
    <w:uiPriority w:val="0"/>
    <w:rPr>
      <w:smallCaps/>
      <w:color w:val="C0504D"/>
      <w:u w:val="single"/>
    </w:rPr>
  </w:style>
  <w:style w:type="character" w:customStyle="1" w:styleId="493">
    <w:name w:val="Char Char51"/>
    <w:qFormat/>
    <w:uiPriority w:val="0"/>
    <w:rPr>
      <w:kern w:val="2"/>
      <w:sz w:val="18"/>
    </w:rPr>
  </w:style>
  <w:style w:type="character" w:customStyle="1" w:styleId="494">
    <w:name w:val="Char Char Char2"/>
    <w:qFormat/>
    <w:uiPriority w:val="0"/>
    <w:rPr>
      <w:kern w:val="2"/>
      <w:sz w:val="18"/>
    </w:rPr>
  </w:style>
  <w:style w:type="character" w:customStyle="1" w:styleId="495">
    <w:name w:val="Char Char71"/>
    <w:qFormat/>
    <w:uiPriority w:val="0"/>
    <w:rPr>
      <w:kern w:val="2"/>
      <w:sz w:val="18"/>
    </w:rPr>
  </w:style>
  <w:style w:type="character" w:customStyle="1" w:styleId="496">
    <w:name w:val="Char Char81"/>
    <w:qFormat/>
    <w:uiPriority w:val="0"/>
    <w:rPr>
      <w:rFonts w:ascii="仿宋_GB2312" w:eastAsia="仿宋_GB2312"/>
      <w:b/>
      <w:sz w:val="24"/>
    </w:rPr>
  </w:style>
  <w:style w:type="paragraph" w:customStyle="1" w:styleId="497">
    <w:name w:val="Char13"/>
    <w:basedOn w:val="1"/>
    <w:qFormat/>
    <w:uiPriority w:val="0"/>
  </w:style>
  <w:style w:type="paragraph" w:customStyle="1" w:styleId="498">
    <w:name w:val="Char Char Char Char Char Char Char2"/>
    <w:basedOn w:val="1"/>
    <w:qFormat/>
    <w:uiPriority w:val="0"/>
    <w:rPr>
      <w:szCs w:val="24"/>
    </w:rPr>
  </w:style>
  <w:style w:type="paragraph" w:customStyle="1" w:styleId="499">
    <w:name w:val="Char71"/>
    <w:basedOn w:val="1"/>
    <w:qFormat/>
    <w:uiPriority w:val="0"/>
    <w:pPr>
      <w:widowControl/>
      <w:spacing w:after="160" w:line="240" w:lineRule="exact"/>
      <w:jc w:val="left"/>
    </w:pPr>
  </w:style>
  <w:style w:type="paragraph" w:customStyle="1" w:styleId="500">
    <w:name w:val="正文文本缩进 22"/>
    <w:basedOn w:val="1"/>
    <w:qFormat/>
    <w:uiPriority w:val="0"/>
    <w:pPr>
      <w:adjustRightInd w:val="0"/>
      <w:spacing w:before="120"/>
      <w:ind w:firstLine="420"/>
      <w:textAlignment w:val="baseline"/>
    </w:pPr>
    <w:rPr>
      <w:sz w:val="24"/>
    </w:rPr>
  </w:style>
  <w:style w:type="paragraph" w:customStyle="1" w:styleId="501">
    <w:name w:val="Char Char30 Char Char Char Char1"/>
    <w:basedOn w:val="1"/>
    <w:qFormat/>
    <w:uiPriority w:val="0"/>
    <w:rPr>
      <w:szCs w:val="24"/>
    </w:rPr>
  </w:style>
  <w:style w:type="paragraph" w:customStyle="1" w:styleId="502">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503">
    <w:name w:val="Char Char1 Char1"/>
    <w:basedOn w:val="1"/>
    <w:qFormat/>
    <w:uiPriority w:val="0"/>
    <w:rPr>
      <w:rFonts w:ascii="Tahoma" w:hAnsi="Tahoma"/>
      <w:sz w:val="24"/>
      <w:szCs w:val="24"/>
    </w:rPr>
  </w:style>
  <w:style w:type="paragraph" w:customStyle="1" w:styleId="504">
    <w:name w:val="TOC 标题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color w:val="365F91"/>
      <w:sz w:val="28"/>
    </w:rPr>
  </w:style>
  <w:style w:type="paragraph" w:customStyle="1" w:styleId="505">
    <w:name w:val="Char Char30 Char Char1"/>
    <w:basedOn w:val="1"/>
    <w:qFormat/>
    <w:uiPriority w:val="0"/>
    <w:rPr>
      <w:szCs w:val="24"/>
    </w:rPr>
  </w:style>
  <w:style w:type="paragraph" w:customStyle="1" w:styleId="506">
    <w:name w:val="修订1"/>
    <w:qFormat/>
    <w:uiPriority w:val="0"/>
    <w:rPr>
      <w:rFonts w:ascii="Times New Roman" w:hAnsi="Times New Roman" w:eastAsia="宋体" w:cs="Times New Roman"/>
      <w:kern w:val="2"/>
      <w:sz w:val="21"/>
      <w:lang w:val="en-US" w:eastAsia="zh-CN" w:bidi="ar-SA"/>
    </w:rPr>
  </w:style>
  <w:style w:type="paragraph" w:customStyle="1" w:styleId="507">
    <w:name w:val="Char91"/>
    <w:basedOn w:val="18"/>
    <w:qFormat/>
    <w:uiPriority w:val="0"/>
    <w:pPr>
      <w:spacing w:line="360" w:lineRule="auto"/>
      <w:ind w:firstLine="200" w:firstLineChars="200"/>
    </w:pPr>
  </w:style>
  <w:style w:type="paragraph" w:customStyle="1" w:styleId="508">
    <w:name w:val="Char Char 字元 字元 字元 Char Char Char Char1"/>
    <w:basedOn w:val="1"/>
    <w:qFormat/>
    <w:uiPriority w:val="0"/>
    <w:pPr>
      <w:adjustRightInd w:val="0"/>
      <w:spacing w:line="360" w:lineRule="auto"/>
    </w:pPr>
    <w:rPr>
      <w:kern w:val="0"/>
      <w:sz w:val="24"/>
    </w:rPr>
  </w:style>
  <w:style w:type="paragraph" w:customStyle="1" w:styleId="509">
    <w:name w:val="Char Char16 Char Char Char Char1"/>
    <w:basedOn w:val="1"/>
    <w:qFormat/>
    <w:uiPriority w:val="0"/>
    <w:rPr>
      <w:szCs w:val="24"/>
    </w:rPr>
  </w:style>
  <w:style w:type="paragraph" w:customStyle="1" w:styleId="510">
    <w:name w:val="Char Char Char Char2"/>
    <w:basedOn w:val="18"/>
    <w:qFormat/>
    <w:uiPriority w:val="0"/>
    <w:pPr>
      <w:spacing w:line="360" w:lineRule="auto"/>
      <w:ind w:firstLine="200" w:firstLineChars="200"/>
    </w:pPr>
  </w:style>
  <w:style w:type="paragraph" w:customStyle="1" w:styleId="511">
    <w:name w:val="Char1 Char Char Char2"/>
    <w:basedOn w:val="1"/>
    <w:qFormat/>
    <w:uiPriority w:val="0"/>
    <w:rPr>
      <w:rFonts w:ascii="Tahoma" w:hAnsi="Tahoma"/>
      <w:sz w:val="24"/>
    </w:rPr>
  </w:style>
  <w:style w:type="paragraph" w:customStyle="1" w:styleId="512">
    <w:name w:val="Char Char Char Char Char1"/>
    <w:basedOn w:val="1"/>
    <w:qFormat/>
    <w:uiPriority w:val="0"/>
    <w:pPr>
      <w:tabs>
        <w:tab w:val="left" w:pos="425"/>
        <w:tab w:val="left" w:pos="1620"/>
      </w:tabs>
      <w:ind w:left="1620" w:hanging="360"/>
    </w:pPr>
    <w:rPr>
      <w:rFonts w:ascii="Tahoma" w:hAnsi="Tahoma"/>
      <w:sz w:val="24"/>
    </w:rPr>
  </w:style>
  <w:style w:type="paragraph" w:customStyle="1" w:styleId="513">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514">
    <w:name w:val="Char2"/>
    <w:basedOn w:val="18"/>
    <w:qFormat/>
    <w:uiPriority w:val="0"/>
    <w:pPr>
      <w:spacing w:line="360" w:lineRule="auto"/>
      <w:ind w:firstLine="200" w:firstLineChars="200"/>
    </w:pPr>
    <w:rPr>
      <w:sz w:val="18"/>
    </w:rPr>
  </w:style>
  <w:style w:type="paragraph" w:customStyle="1" w:styleId="515">
    <w:name w:val="Char2 Char Char Char Char Char Char1"/>
    <w:basedOn w:val="1"/>
    <w:qFormat/>
    <w:uiPriority w:val="0"/>
    <w:rPr>
      <w:rFonts w:ascii="仿宋_GB2312"/>
      <w:b/>
      <w:sz w:val="30"/>
    </w:rPr>
  </w:style>
  <w:style w:type="paragraph" w:customStyle="1" w:styleId="516">
    <w:name w:val="正文文本 22"/>
    <w:basedOn w:val="1"/>
    <w:qFormat/>
    <w:uiPriority w:val="0"/>
    <w:pPr>
      <w:adjustRightInd w:val="0"/>
      <w:spacing w:before="120" w:line="360" w:lineRule="auto"/>
      <w:ind w:firstLine="480"/>
      <w:textAlignment w:val="baseline"/>
    </w:pPr>
    <w:rPr>
      <w:sz w:val="24"/>
    </w:rPr>
  </w:style>
  <w:style w:type="paragraph" w:customStyle="1" w:styleId="517">
    <w:name w:val="Char Char14 Char Char1"/>
    <w:basedOn w:val="1"/>
    <w:qFormat/>
    <w:uiPriority w:val="0"/>
    <w:rPr>
      <w:szCs w:val="24"/>
    </w:rPr>
  </w:style>
  <w:style w:type="paragraph" w:customStyle="1" w:styleId="518">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9">
    <w:name w:val="Char Char Char Char Char Char Char Char Char Char Char Char Char Char Char Char2"/>
    <w:basedOn w:val="1"/>
    <w:qFormat/>
    <w:uiPriority w:val="0"/>
    <w:pPr>
      <w:tabs>
        <w:tab w:val="left" w:pos="360"/>
      </w:tabs>
    </w:pPr>
    <w:rPr>
      <w:sz w:val="24"/>
    </w:rPr>
  </w:style>
  <w:style w:type="paragraph" w:customStyle="1" w:styleId="52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character" w:customStyle="1" w:styleId="521">
    <w:name w:val="NormalCharacter"/>
    <w:qFormat/>
    <w:uiPriority w:val="0"/>
    <w:rPr>
      <w:rFonts w:ascii="Times New Roman" w:hAnsi="Times New Roman" w:eastAsia="宋体"/>
    </w:rPr>
  </w:style>
  <w:style w:type="paragraph" w:customStyle="1" w:styleId="522">
    <w:name w:val="列出段落2"/>
    <w:basedOn w:val="1"/>
    <w:unhideWhenUsed/>
    <w:qFormat/>
    <w:uiPriority w:val="99"/>
    <w:pPr>
      <w:ind w:firstLine="420" w:firstLineChars="200"/>
    </w:pPr>
  </w:style>
  <w:style w:type="paragraph" w:customStyle="1" w:styleId="523">
    <w:name w:val="列出段落11"/>
    <w:basedOn w:val="1"/>
    <w:qFormat/>
    <w:uiPriority w:val="0"/>
    <w:pPr>
      <w:ind w:firstLine="420" w:firstLineChars="200"/>
    </w:pPr>
    <w:rPr>
      <w:sz w:val="28"/>
      <w:szCs w:val="28"/>
    </w:rPr>
  </w:style>
  <w:style w:type="paragraph" w:customStyle="1" w:styleId="524">
    <w:name w:val="正文-表格内文字"/>
    <w:basedOn w:val="1"/>
    <w:qFormat/>
    <w:uiPriority w:val="0"/>
    <w:pPr>
      <w:spacing w:line="264" w:lineRule="auto"/>
    </w:pPr>
    <w:rPr>
      <w:rFonts w:ascii="Calibri" w:hAnsi="Calibri"/>
    </w:rPr>
  </w:style>
  <w:style w:type="paragraph" w:customStyle="1" w:styleId="525">
    <w:name w:val="Table Paragraph"/>
    <w:basedOn w:val="1"/>
    <w:qFormat/>
    <w:uiPriority w:val="1"/>
    <w:rPr>
      <w:rFonts w:ascii="宋体" w:hAnsi="宋体" w:cs="宋体"/>
    </w:rPr>
  </w:style>
  <w:style w:type="paragraph" w:customStyle="1" w:styleId="526">
    <w:name w:val="正  文"/>
    <w:basedOn w:val="1"/>
    <w:qFormat/>
    <w:uiPriority w:val="0"/>
    <w:pPr>
      <w:spacing w:line="360" w:lineRule="auto"/>
      <w:ind w:firstLine="200" w:firstLineChars="200"/>
    </w:pPr>
    <w:rPr>
      <w:rFonts w:ascii="宋体" w:hAnsi="Calibri"/>
      <w:sz w:val="24"/>
    </w:rPr>
  </w:style>
  <w:style w:type="table" w:customStyle="1" w:styleId="5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152</Pages>
  <Words>75918</Words>
  <Characters>80291</Characters>
  <Lines>241</Lines>
  <Paragraphs>67</Paragraphs>
  <TotalTime>4</TotalTime>
  <ScaleCrop>false</ScaleCrop>
  <LinksUpToDate>false</LinksUpToDate>
  <CharactersWithSpaces>87024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2023-01-07T10:30:00Z</dcterms:created>
  <dc:creator>Administrator</dc:creator>
  <cp:lastModifiedBy>administrator</cp:lastModifiedBy>
  <cp:lastPrinted>2024-08-21T14:56:00Z</cp:lastPrinted>
  <dcterms:modified xsi:type="dcterms:W3CDTF">2024-09-30T10:23:57Z</dcterms:modified>
  <dc:title>上浩社区前进村片区背街小巷环境综合整治工程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725443917_btnclosed</vt:lpwstr>
  </property>
  <property fmtid="{D5CDD505-2E9C-101B-9397-08002B2CF9AE}" pid="4" name="ICV">
    <vt:lpwstr>E6576703C50846379F85D554DBD6DCC1_13</vt:lpwstr>
  </property>
  <property fmtid="{D5CDD505-2E9C-101B-9397-08002B2CF9AE}" pid="5" name="commondata">
    <vt:lpwstr>eyJoZGlkIjoiMmEzMzI4NTcxNjIzM2E2NDU4Mjc1ZWFiYTc5ZjE2MjkifQ==</vt:lpwstr>
  </property>
</Properties>
</file>