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B0D0">
      <w:pPr>
        <w:widowControl/>
        <w:shd w:val="clear" w:color="auto" w:fill="FFFFFF"/>
        <w:spacing w:line="594" w:lineRule="exact"/>
        <w:ind w:left="1600" w:hanging="1600" w:hangingChars="500"/>
        <w:jc w:val="left"/>
        <w:rPr>
          <w:rFonts w:ascii="方正黑体_GBK" w:eastAsia="方正黑体_GBK"/>
          <w:sz w:val="32"/>
          <w:szCs w:val="32"/>
          <w:u w:val="none"/>
        </w:rPr>
      </w:pPr>
      <w:bookmarkStart w:id="0" w:name="_Toc98501381"/>
      <w:bookmarkStart w:id="1" w:name="_Toc185843168"/>
      <w:bookmarkStart w:id="2" w:name="_Toc97088507"/>
      <w:bookmarkStart w:id="3" w:name="_Toc97089698"/>
      <w:bookmarkStart w:id="4" w:name="_Toc97089759"/>
      <w:bookmarkStart w:id="5" w:name="_Toc98059045"/>
      <w:bookmarkStart w:id="6" w:name="_Toc144695216"/>
      <w:bookmarkStart w:id="7" w:name="_Toc97089005"/>
      <w:bookmarkStart w:id="8" w:name="_Toc93911978"/>
      <w:bookmarkStart w:id="9" w:name="_Toc100110876"/>
      <w:r>
        <w:rPr>
          <w:rFonts w:hint="eastAsia" w:ascii="方正黑体_GBK" w:eastAsia="方正黑体_GBK"/>
          <w:sz w:val="32"/>
          <w:szCs w:val="32"/>
        </w:rPr>
        <w:t>工程名称：</w:t>
      </w:r>
      <w:r>
        <w:rPr>
          <w:rFonts w:hint="eastAsia" w:ascii="方正黑体_GBK" w:eastAsia="方正黑体_GBK"/>
          <w:sz w:val="32"/>
          <w:szCs w:val="32"/>
          <w:u w:val="none"/>
          <w:lang w:val="en-US" w:eastAsia="zh-CN"/>
        </w:rPr>
        <w:t>新裕路路灯整改</w:t>
      </w:r>
      <w:r>
        <w:rPr>
          <w:rFonts w:hint="eastAsia" w:ascii="方正黑体_GBK" w:eastAsia="方正黑体_GBK"/>
          <w:sz w:val="32"/>
          <w:szCs w:val="32"/>
          <w:u w:val="none"/>
        </w:rPr>
        <w:t>工程</w:t>
      </w:r>
    </w:p>
    <w:p w14:paraId="389ECAB5">
      <w:pPr>
        <w:tabs>
          <w:tab w:val="left" w:pos="7035"/>
        </w:tabs>
        <w:spacing w:line="594" w:lineRule="exact"/>
        <w:rPr>
          <w:rFonts w:ascii="黑体" w:hAnsi="黑体" w:eastAsia="黑体" w:cs="宋体"/>
          <w:sz w:val="32"/>
          <w:szCs w:val="32"/>
        </w:rPr>
      </w:pPr>
      <w:r>
        <w:rPr>
          <w:rFonts w:hint="eastAsia" w:ascii="黑体" w:hAnsi="黑体" w:eastAsia="黑体"/>
          <w:sz w:val="32"/>
          <w:szCs w:val="32"/>
        </w:rPr>
        <w:t>合同编号：</w:t>
      </w:r>
      <w:r>
        <w:rPr>
          <w:rFonts w:hint="eastAsia" w:ascii="黑体" w:hAnsi="黑体" w:eastAsia="黑体"/>
          <w:sz w:val="32"/>
          <w:szCs w:val="32"/>
          <w:lang w:val="en-US" w:eastAsia="zh-CN"/>
        </w:rPr>
        <w:t>GXQCX-2025-001</w:t>
      </w:r>
      <w:r>
        <w:rPr>
          <w:rFonts w:hint="eastAsia" w:ascii="黑体" w:hAnsi="黑体" w:eastAsia="黑体"/>
          <w:sz w:val="32"/>
          <w:szCs w:val="32"/>
        </w:rPr>
        <w:t xml:space="preserve"> </w:t>
      </w:r>
      <w:r>
        <w:rPr>
          <w:rFonts w:ascii="黑体" w:hAnsi="黑体" w:eastAsia="黑体"/>
          <w:sz w:val="32"/>
          <w:szCs w:val="32"/>
        </w:rPr>
        <w:tab/>
      </w:r>
    </w:p>
    <w:p w14:paraId="23937D64">
      <w:pPr>
        <w:rPr>
          <w:rFonts w:ascii="黑体" w:hAnsi="黑体" w:eastAsia="黑体"/>
          <w:b/>
          <w:sz w:val="28"/>
          <w:szCs w:val="28"/>
        </w:rPr>
      </w:pPr>
    </w:p>
    <w:p w14:paraId="3C2E21AC">
      <w:pPr>
        <w:rPr>
          <w:rFonts w:ascii="黑体" w:hAnsi="宋体" w:eastAsia="黑体" w:cs="Arial Unicode MS"/>
          <w:bCs/>
          <w:color w:val="000000"/>
          <w:sz w:val="32"/>
          <w:szCs w:val="32"/>
          <w:u w:color="000000"/>
        </w:rPr>
      </w:pPr>
    </w:p>
    <w:p w14:paraId="3701E3F6">
      <w:pPr>
        <w:jc w:val="center"/>
        <w:rPr>
          <w:rFonts w:ascii="黑体" w:hAnsi="宋体" w:eastAsia="方正黑体_GBK"/>
          <w:sz w:val="72"/>
          <w:szCs w:val="72"/>
        </w:rPr>
      </w:pPr>
      <w:r>
        <w:rPr>
          <w:rFonts w:hint="eastAsia" w:ascii="黑体" w:hAnsi="宋体" w:eastAsia="方正黑体_GBK"/>
          <w:sz w:val="72"/>
          <w:szCs w:val="72"/>
        </w:rPr>
        <w:t>施</w:t>
      </w:r>
    </w:p>
    <w:p w14:paraId="2D801049">
      <w:pPr>
        <w:jc w:val="center"/>
        <w:rPr>
          <w:rFonts w:ascii="黑体" w:hAnsi="宋体" w:eastAsia="方正黑体_GBK"/>
          <w:sz w:val="72"/>
          <w:szCs w:val="72"/>
        </w:rPr>
      </w:pPr>
    </w:p>
    <w:p w14:paraId="099F204C">
      <w:pPr>
        <w:jc w:val="center"/>
        <w:rPr>
          <w:rFonts w:ascii="黑体" w:hAnsi="宋体" w:eastAsia="方正黑体_GBK"/>
          <w:sz w:val="72"/>
          <w:szCs w:val="72"/>
        </w:rPr>
      </w:pPr>
      <w:r>
        <w:rPr>
          <w:rFonts w:hint="eastAsia" w:ascii="黑体" w:hAnsi="宋体" w:eastAsia="方正黑体_GBK"/>
          <w:sz w:val="72"/>
          <w:szCs w:val="72"/>
        </w:rPr>
        <w:t>工</w:t>
      </w:r>
    </w:p>
    <w:p w14:paraId="1FADB2A9">
      <w:pPr>
        <w:jc w:val="center"/>
        <w:rPr>
          <w:rFonts w:ascii="黑体" w:hAnsi="宋体" w:eastAsia="方正黑体_GBK"/>
          <w:sz w:val="72"/>
          <w:szCs w:val="72"/>
        </w:rPr>
      </w:pPr>
    </w:p>
    <w:p w14:paraId="3FA3E388">
      <w:pPr>
        <w:jc w:val="center"/>
        <w:rPr>
          <w:rFonts w:ascii="黑体" w:hAnsi="宋体" w:eastAsia="方正黑体_GBK"/>
          <w:sz w:val="72"/>
          <w:szCs w:val="72"/>
        </w:rPr>
      </w:pPr>
      <w:r>
        <w:rPr>
          <w:rFonts w:hint="eastAsia" w:ascii="黑体" w:hAnsi="宋体" w:eastAsia="方正黑体_GBK"/>
          <w:sz w:val="72"/>
          <w:szCs w:val="72"/>
        </w:rPr>
        <w:t>合</w:t>
      </w:r>
    </w:p>
    <w:p w14:paraId="68BC0B30">
      <w:pPr>
        <w:jc w:val="center"/>
        <w:rPr>
          <w:rFonts w:ascii="黑体" w:hAnsi="宋体" w:eastAsia="方正黑体_GBK"/>
          <w:sz w:val="72"/>
          <w:szCs w:val="72"/>
        </w:rPr>
      </w:pPr>
    </w:p>
    <w:p w14:paraId="027A9AEE">
      <w:pPr>
        <w:jc w:val="center"/>
        <w:rPr>
          <w:rFonts w:ascii="黑体" w:hAnsi="宋体" w:eastAsia="黑体"/>
          <w:b/>
          <w:sz w:val="72"/>
          <w:szCs w:val="72"/>
        </w:rPr>
      </w:pPr>
      <w:r>
        <w:rPr>
          <w:rFonts w:hint="eastAsia" w:ascii="黑体" w:hAnsi="宋体" w:eastAsia="方正黑体_GBK"/>
          <w:sz w:val="72"/>
          <w:szCs w:val="72"/>
        </w:rPr>
        <w:t>同</w:t>
      </w:r>
    </w:p>
    <w:p w14:paraId="64C68ABE">
      <w:pPr>
        <w:jc w:val="center"/>
        <w:rPr>
          <w:rFonts w:ascii="仿宋_GB2312" w:hAnsi="宋体" w:eastAsia="仿宋_GB2312"/>
          <w:b/>
          <w:sz w:val="32"/>
          <w:szCs w:val="32"/>
        </w:rPr>
      </w:pPr>
    </w:p>
    <w:p w14:paraId="72996D20">
      <w:pPr>
        <w:rPr>
          <w:rFonts w:ascii="仿宋_GB2312" w:hAnsi="宋体" w:eastAsia="仿宋_GB2312"/>
          <w:b/>
          <w:sz w:val="32"/>
          <w:szCs w:val="32"/>
        </w:rPr>
      </w:pPr>
    </w:p>
    <w:p w14:paraId="6EC0CDAA">
      <w:pPr>
        <w:rPr>
          <w:rFonts w:ascii="黑体" w:hAnsi="黑体" w:eastAsia="黑体"/>
          <w:b/>
          <w:sz w:val="28"/>
          <w:szCs w:val="28"/>
        </w:rPr>
      </w:pPr>
    </w:p>
    <w:p w14:paraId="728A9EE5">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14:paraId="37E8AB3C">
      <w:pPr>
        <w:spacing w:line="594" w:lineRule="exact"/>
        <w:rPr>
          <w:rFonts w:ascii="宋体" w:hAnsi="宋体" w:eastAsia="方正黑体_GBK"/>
          <w:sz w:val="32"/>
          <w:szCs w:val="32"/>
        </w:rPr>
      </w:pPr>
      <w:r>
        <w:rPr>
          <w:rFonts w:hint="eastAsia" w:ascii="宋体" w:hAnsi="宋体" w:eastAsia="方正黑体_GBK"/>
          <w:sz w:val="32"/>
          <w:szCs w:val="32"/>
        </w:rPr>
        <w:t>施工单位：</w:t>
      </w:r>
    </w:p>
    <w:p w14:paraId="235CC980">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rPr>
        <w:t>二○二</w:t>
      </w:r>
      <w:r>
        <w:rPr>
          <w:rFonts w:hint="eastAsia" w:ascii="黑体" w:hAnsi="黑体" w:eastAsia="方正黑体_GBK"/>
          <w:sz w:val="28"/>
          <w:szCs w:val="28"/>
          <w:lang w:val="en-US" w:eastAsia="zh-CN"/>
        </w:rPr>
        <w:t>五</w:t>
      </w:r>
      <w:r>
        <w:rPr>
          <w:rFonts w:hint="eastAsia" w:ascii="黑体" w:hAnsi="黑体" w:eastAsia="方正黑体_GBK"/>
          <w:sz w:val="28"/>
          <w:szCs w:val="28"/>
        </w:rPr>
        <w:t>年</w:t>
      </w:r>
      <w:r>
        <w:rPr>
          <w:rFonts w:hint="eastAsia" w:ascii="黑体" w:hAnsi="黑体" w:eastAsia="方正黑体_GBK"/>
          <w:sz w:val="28"/>
          <w:szCs w:val="28"/>
          <w:lang w:val="en-US" w:eastAsia="zh-CN"/>
        </w:rPr>
        <w:t>四</w:t>
      </w:r>
      <w:r>
        <w:rPr>
          <w:rFonts w:hint="eastAsia" w:ascii="黑体" w:hAnsi="黑体" w:eastAsia="方正黑体_GBK"/>
          <w:sz w:val="28"/>
          <w:szCs w:val="28"/>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6E44B621">
      <w:pPr>
        <w:widowControl/>
        <w:shd w:val="clear" w:color="auto" w:fill="FFFFFF"/>
        <w:spacing w:line="594" w:lineRule="exact"/>
        <w:ind w:left="1600" w:hanging="1600" w:hangingChars="500"/>
        <w:jc w:val="center"/>
        <w:rPr>
          <w:rFonts w:ascii="黑体" w:hAnsi="黑体" w:eastAsia="黑体"/>
          <w:sz w:val="32"/>
          <w:szCs w:val="32"/>
        </w:rPr>
      </w:pPr>
      <w:r>
        <w:rPr>
          <w:rFonts w:hint="eastAsia" w:ascii="方正黑体_GBK" w:eastAsia="方正黑体_GBK"/>
          <w:sz w:val="32"/>
          <w:szCs w:val="32"/>
          <w:u w:val="none"/>
          <w:lang w:val="en-US" w:eastAsia="zh-CN"/>
        </w:rPr>
        <w:t>新裕路路灯整改</w:t>
      </w:r>
      <w:r>
        <w:rPr>
          <w:rFonts w:hint="eastAsia" w:ascii="方正黑体_GBK" w:eastAsia="方正黑体_GBK"/>
          <w:sz w:val="32"/>
          <w:szCs w:val="32"/>
          <w:u w:val="none"/>
        </w:rPr>
        <w:t>工程</w:t>
      </w:r>
    </w:p>
    <w:p w14:paraId="16879C0E">
      <w:pPr>
        <w:spacing w:line="594" w:lineRule="exact"/>
        <w:jc w:val="center"/>
        <w:rPr>
          <w:rFonts w:ascii="黑体" w:hAnsi="黑体" w:eastAsia="黑体"/>
          <w:sz w:val="32"/>
          <w:szCs w:val="32"/>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u w:val="single"/>
        </w:rPr>
        <w:t xml:space="preserve">   </w:t>
      </w:r>
      <w:r>
        <w:rPr>
          <w:rFonts w:hint="eastAsia" w:ascii="宋体" w:hAnsi="宋体" w:eastAsia="方正仿宋_GBK" w:cs="方正仿宋_GBK"/>
          <w:color w:val="000000"/>
          <w:sz w:val="30"/>
          <w:szCs w:val="30"/>
          <w:u w:val="single"/>
          <w:lang w:val="en-US" w:eastAsia="zh-CN"/>
        </w:rPr>
        <w:t xml:space="preserve">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u w:val="single"/>
          <w:lang w:eastAsia="zh-CN"/>
        </w:rPr>
        <w:t>（</w:t>
      </w:r>
      <w:r>
        <w:rPr>
          <w:rFonts w:hint="eastAsia" w:ascii="宋体" w:hAnsi="宋体" w:eastAsia="方正仿宋_GBK" w:cs="方正仿宋_GBK"/>
          <w:color w:val="000000"/>
          <w:sz w:val="30"/>
          <w:szCs w:val="30"/>
        </w:rPr>
        <w:t>以下简称承包人</w:t>
      </w:r>
      <w:r>
        <w:rPr>
          <w:rFonts w:hint="eastAsia" w:ascii="宋体" w:hAnsi="宋体" w:eastAsia="方正仿宋_GBK" w:cs="方正仿宋_GBK"/>
          <w:color w:val="000000"/>
          <w:sz w:val="30"/>
          <w:szCs w:val="30"/>
          <w:lang w:eastAsia="zh-CN"/>
        </w:rPr>
        <w:t>）</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2B913D4">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firstLine="602" w:firstLineChars="200"/>
        <w:jc w:val="left"/>
        <w:textAlignment w:val="auto"/>
        <w:rPr>
          <w:rFonts w:hint="eastAsia" w:ascii="方正仿宋_GBK" w:hAnsi="方正仿宋_GBK" w:eastAsia="方正仿宋_GBK" w:cs="方正仿宋_GBK"/>
          <w:sz w:val="32"/>
          <w:szCs w:val="32"/>
          <w:u w:val="none"/>
        </w:rPr>
      </w:pPr>
      <w:r>
        <w:rPr>
          <w:rFonts w:hint="eastAsia" w:ascii="宋体" w:hAnsi="宋体" w:eastAsia="方正仿宋_GBK" w:cs="方正仿宋_GBK"/>
          <w:b/>
          <w:kern w:val="0"/>
          <w:sz w:val="30"/>
          <w:szCs w:val="30"/>
        </w:rPr>
        <w:t>一、工程名称：</w:t>
      </w:r>
      <w:r>
        <w:rPr>
          <w:rFonts w:hint="eastAsia" w:ascii="方正仿宋_GBK" w:hAnsi="方正仿宋_GBK" w:eastAsia="方正仿宋_GBK" w:cs="方正仿宋_GBK"/>
          <w:sz w:val="32"/>
          <w:szCs w:val="32"/>
          <w:u w:val="none"/>
          <w:lang w:val="en-US" w:eastAsia="zh-CN"/>
        </w:rPr>
        <w:t>新裕路路灯整改</w:t>
      </w:r>
      <w:r>
        <w:rPr>
          <w:rFonts w:hint="eastAsia" w:ascii="方正仿宋_GBK" w:hAnsi="方正仿宋_GBK" w:eastAsia="方正仿宋_GBK" w:cs="方正仿宋_GBK"/>
          <w:sz w:val="32"/>
          <w:szCs w:val="32"/>
          <w:u w:val="none"/>
        </w:rPr>
        <w:t>工程</w:t>
      </w:r>
    </w:p>
    <w:p w14:paraId="25CC2407">
      <w:pPr>
        <w:spacing w:line="594" w:lineRule="exact"/>
        <w:ind w:firstLine="602" w:firstLineChars="200"/>
        <w:rPr>
          <w:rFonts w:ascii="宋体" w:hAnsi="宋体" w:eastAsia="方正仿宋_GBK" w:cs="宋体"/>
          <w:sz w:val="30"/>
          <w:szCs w:val="30"/>
        </w:rPr>
      </w:pPr>
      <w:r>
        <w:rPr>
          <w:rFonts w:hint="eastAsia" w:eastAsia="方正仿宋_GBK"/>
          <w:b/>
          <w:sz w:val="30"/>
          <w:szCs w:val="30"/>
        </w:rPr>
        <w:t>二、工程建设地点</w:t>
      </w:r>
      <w:r>
        <w:rPr>
          <w:rFonts w:hint="eastAsia" w:eastAsia="方正仿宋_GBK"/>
          <w:sz w:val="30"/>
          <w:szCs w:val="30"/>
        </w:rPr>
        <w:t>：</w:t>
      </w:r>
      <w:r>
        <w:rPr>
          <w:rFonts w:ascii="宋体" w:hAnsi="宋体" w:eastAsia="方正仿宋_GBK" w:cs="宋体"/>
          <w:sz w:val="30"/>
          <w:szCs w:val="30"/>
        </w:rPr>
        <w:t xml:space="preserve"> </w:t>
      </w:r>
    </w:p>
    <w:p w14:paraId="50A176B9">
      <w:pPr>
        <w:spacing w:line="594" w:lineRule="exact"/>
        <w:ind w:firstLine="602" w:firstLineChars="200"/>
        <w:rPr>
          <w:rFonts w:hint="default" w:ascii="Times New Roman" w:hAnsi="Times New Roman" w:eastAsia="方正仿宋_GBK" w:cs="Times New Roman"/>
          <w:color w:val="000000"/>
          <w:sz w:val="30"/>
          <w:szCs w:val="30"/>
        </w:rPr>
      </w:pPr>
      <w:r>
        <w:rPr>
          <w:rFonts w:hint="eastAsia" w:ascii="宋体" w:hAnsi="宋体" w:eastAsia="方正仿宋_GBK"/>
          <w:b/>
          <w:sz w:val="30"/>
          <w:szCs w:val="30"/>
          <w:lang w:val="zh-TW"/>
        </w:rPr>
        <w:t>三、工程内容：</w:t>
      </w:r>
      <w:r>
        <w:rPr>
          <w:rFonts w:hint="eastAsia" w:ascii="Times New Roman" w:hAnsi="Times New Roman" w:eastAsia="方正仿宋_GBK" w:cs="Times New Roman"/>
          <w:color w:val="auto"/>
          <w:kern w:val="0"/>
          <w:sz w:val="32"/>
          <w:szCs w:val="32"/>
          <w:lang w:val="en-US" w:eastAsia="zh-CN"/>
        </w:rPr>
        <w:t>新裕路为璧山高新区站前片区重要主干道，道路长为</w:t>
      </w:r>
      <w:r>
        <w:rPr>
          <w:rFonts w:hint="eastAsia" w:ascii="Times New Roman" w:hAnsi="Times New Roman" w:eastAsia="方正仿宋_GBK" w:cs="Times New Roman"/>
          <w:color w:val="auto"/>
          <w:kern w:val="0"/>
          <w:sz w:val="32"/>
          <w:szCs w:val="32"/>
          <w:highlight w:val="none"/>
          <w:lang w:val="en-US" w:eastAsia="zh-CN"/>
        </w:rPr>
        <w:t>3.5</w:t>
      </w:r>
      <w:r>
        <w:rPr>
          <w:rFonts w:hint="eastAsia" w:ascii="Times New Roman" w:hAnsi="Times New Roman" w:eastAsia="方正仿宋_GBK" w:cs="Times New Roman"/>
          <w:color w:val="auto"/>
          <w:kern w:val="0"/>
          <w:sz w:val="32"/>
          <w:szCs w:val="32"/>
          <w:lang w:val="en-US" w:eastAsia="zh-CN"/>
        </w:rPr>
        <w:t>km，双向四车道，路幅宽26m</w:t>
      </w:r>
      <w:r>
        <w:rPr>
          <w:rFonts w:hint="default" w:ascii="Times New Roman" w:hAnsi="Times New Roman" w:eastAsia="方正仿宋_GBK" w:cs="Times New Roman"/>
          <w:color w:val="auto"/>
          <w:kern w:val="0"/>
          <w:sz w:val="32"/>
          <w:szCs w:val="32"/>
          <w:lang w:val="en-US" w:eastAsia="zh-CN"/>
        </w:rPr>
        <w:t>。主要内容为穿线YJV-5×16电缆</w:t>
      </w:r>
      <w:r>
        <w:rPr>
          <w:rFonts w:hint="default" w:ascii="Times New Roman" w:hAnsi="Times New Roman" w:eastAsia="方正仿宋_GBK" w:cs="Times New Roman"/>
          <w:sz w:val="32"/>
          <w:szCs w:val="32"/>
        </w:rPr>
        <w:t>等。</w:t>
      </w:r>
    </w:p>
    <w:p w14:paraId="1A037835">
      <w:pPr>
        <w:spacing w:line="594" w:lineRule="exact"/>
        <w:ind w:firstLine="602" w:firstLineChars="200"/>
        <w:rPr>
          <w:rFonts w:ascii="宋体" w:hAnsi="宋体" w:eastAsia="方正仿宋_GBK"/>
          <w:sz w:val="30"/>
          <w:szCs w:val="30"/>
        </w:rPr>
      </w:pPr>
      <w:r>
        <w:rPr>
          <w:rFonts w:hint="eastAsia" w:ascii="宋体" w:hAnsi="宋体" w:eastAsia="方正仿宋_GBK"/>
          <w:b/>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1913DCF8">
      <w:pPr>
        <w:spacing w:line="594" w:lineRule="exact"/>
        <w:ind w:firstLine="640" w:firstLineChars="200"/>
        <w:rPr>
          <w:rFonts w:hint="default" w:ascii="Times New Roman" w:hAnsi="Times New Roman" w:eastAsia="方正仿宋_GBK" w:cs="Times New Roman"/>
          <w:color w:val="000000"/>
          <w:sz w:val="30"/>
          <w:szCs w:val="30"/>
          <w:lang w:eastAsia="zh-CN"/>
        </w:rPr>
      </w:pPr>
      <w:r>
        <w:rPr>
          <w:rFonts w:hint="eastAsia" w:ascii="Times New Roman" w:hAnsi="Times New Roman" w:eastAsia="方正仿宋_GBK" w:cs="Times New Roman"/>
          <w:color w:val="auto"/>
          <w:kern w:val="0"/>
          <w:sz w:val="32"/>
          <w:szCs w:val="32"/>
          <w:lang w:val="en-US" w:eastAsia="zh-CN"/>
        </w:rPr>
        <w:t>新裕路为璧山高新区站前片区重要主干道，道路长为</w:t>
      </w:r>
      <w:r>
        <w:rPr>
          <w:rFonts w:hint="eastAsia" w:ascii="Times New Roman" w:hAnsi="Times New Roman" w:eastAsia="方正仿宋_GBK" w:cs="Times New Roman"/>
          <w:color w:val="auto"/>
          <w:kern w:val="0"/>
          <w:sz w:val="32"/>
          <w:szCs w:val="32"/>
          <w:highlight w:val="none"/>
          <w:lang w:val="en-US" w:eastAsia="zh-CN"/>
        </w:rPr>
        <w:t>3.5</w:t>
      </w:r>
      <w:r>
        <w:rPr>
          <w:rFonts w:hint="eastAsia" w:ascii="Times New Roman" w:hAnsi="Times New Roman" w:eastAsia="方正仿宋_GBK" w:cs="Times New Roman"/>
          <w:color w:val="auto"/>
          <w:kern w:val="0"/>
          <w:sz w:val="32"/>
          <w:szCs w:val="32"/>
          <w:lang w:val="en-US" w:eastAsia="zh-CN"/>
        </w:rPr>
        <w:t>km，双向四车道，路幅宽26m。</w:t>
      </w:r>
      <w:r>
        <w:rPr>
          <w:rFonts w:hint="default" w:ascii="Times New Roman" w:hAnsi="Times New Roman" w:eastAsia="方正仿宋_GBK" w:cs="Times New Roman"/>
          <w:color w:val="auto"/>
          <w:kern w:val="0"/>
          <w:sz w:val="32"/>
          <w:szCs w:val="32"/>
          <w:lang w:val="en-US" w:eastAsia="zh-CN"/>
        </w:rPr>
        <w:t>主要内容为穿线YJV-5×16电缆</w:t>
      </w:r>
      <w:r>
        <w:rPr>
          <w:rFonts w:hint="default" w:ascii="Times New Roman" w:hAnsi="Times New Roman" w:eastAsia="方正仿宋_GBK" w:cs="Times New Roman"/>
          <w:sz w:val="32"/>
          <w:szCs w:val="32"/>
        </w:rPr>
        <w:t>等。</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u w:val="single"/>
          <w:shd w:val="clear" w:color="auto" w:fill="FFFFFF"/>
          <w:lang w:val="en-US" w:eastAsia="zh-CN"/>
        </w:rPr>
        <w:t>60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2" w:firstLineChars="200"/>
        <w:rPr>
          <w:rFonts w:eastAsia="方正仿宋_GBK" w:cs="方正仿宋_GBK"/>
          <w:sz w:val="30"/>
          <w:szCs w:val="30"/>
        </w:rPr>
      </w:pPr>
      <w:r>
        <w:rPr>
          <w:rFonts w:hint="eastAsia" w:eastAsia="方正仿宋_GBK" w:cs="方正仿宋_GBK"/>
          <w:b/>
          <w:color w:val="000000"/>
          <w:sz w:val="30"/>
          <w:szCs w:val="30"/>
        </w:rPr>
        <w:t>五、</w:t>
      </w:r>
      <w:r>
        <w:rPr>
          <w:rFonts w:hint="eastAsia" w:eastAsia="方正仿宋_GBK" w:cs="方正仿宋_GBK"/>
          <w:b/>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1" w:firstLineChars="50"/>
        <w:rPr>
          <w:rFonts w:ascii="宋体" w:hAnsi="宋体" w:eastAsia="方正仿宋_GBK" w:cs="方正仿宋_GBK"/>
          <w:b/>
          <w:color w:val="000000"/>
          <w:sz w:val="30"/>
          <w:szCs w:val="30"/>
        </w:rPr>
      </w:pPr>
      <w:r>
        <w:rPr>
          <w:rFonts w:hint="eastAsia" w:ascii="宋体" w:hAnsi="宋体" w:eastAsia="方正仿宋_GBK" w:cs="方正仿宋_GBK"/>
          <w:b/>
          <w:bCs/>
          <w:sz w:val="30"/>
          <w:szCs w:val="30"/>
        </w:rPr>
        <w:t>六、</w:t>
      </w:r>
      <w:r>
        <w:rPr>
          <w:rFonts w:hint="eastAsia" w:ascii="宋体" w:hAnsi="宋体" w:eastAsia="方正仿宋_GBK" w:cs="方正仿宋_GBK"/>
          <w:b/>
          <w:color w:val="000000"/>
          <w:sz w:val="30"/>
          <w:szCs w:val="30"/>
        </w:rPr>
        <w:t>合同价款及工程结算</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lang w:val="en-US" w:eastAsia="zh-CN"/>
        </w:rPr>
        <w:t>4</w:t>
      </w:r>
      <w:r>
        <w:rPr>
          <w:rFonts w:hint="eastAsia" w:eastAsia="方正仿宋_GBK" w:cs="Times New Roman"/>
          <w:color w:val="000000"/>
          <w:kern w:val="0"/>
          <w:sz w:val="32"/>
          <w:szCs w:val="32"/>
          <w:u w:val="single"/>
          <w:shd w:val="clear" w:color="auto" w:fill="FFFFFF"/>
          <w:lang w:val="en-US" w:eastAsia="zh-CN"/>
        </w:rPr>
        <w:t>8</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shd w:val="clear" w:color="auto" w:fill="FFFFFF"/>
        </w:rPr>
        <w:t>。</w:t>
      </w:r>
      <w:r>
        <w:rPr>
          <w:rFonts w:hint="default" w:ascii="Times New Roman" w:hAnsi="Times New Roman" w:eastAsia="方正仿宋_GBK" w:cs="Times New Roman"/>
          <w:sz w:val="30"/>
          <w:szCs w:val="30"/>
        </w:rPr>
        <w:t>该工程</w:t>
      </w:r>
      <w:r>
        <w:rPr>
          <w:rFonts w:hint="default" w:ascii="Times New Roman" w:hAnsi="Times New Roman" w:eastAsia="方正仿宋_GBK" w:cs="Times New Roman"/>
          <w:sz w:val="30"/>
          <w:szCs w:val="30"/>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、《重庆市市政工程计价定额》(2018年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、《重庆市通用安装工程计价定额》(2018年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《重庆市房屋建筑与装饰工程计价定额》(2018年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城市管线迁改工程计价定额》（2018年）、《重庆市房屋修缮工程计价定额》（2018年）、《重庆市园林绿化工程计价定额》（2018年）、重庆市住房城乡建委《关于适用增值税新税率调整建设工程计价依据的通知》</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渝建发〔2019〕143号</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材料及人工价格：增减工程材料价格按照施工当月《重庆工程造价信息》发布的璧山地区材料价价格执行，材料价格缺项的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default" w:ascii="Times New Roman" w:hAnsi="Times New Roman" w:eastAsia="方正仿宋_GBK" w:cs="Times New Roman"/>
          <w:color w:val="000000"/>
          <w:kern w:val="0"/>
          <w:sz w:val="32"/>
          <w:szCs w:val="32"/>
          <w:highlight w:val="none"/>
          <w:shd w:val="clear" w:color="auto" w:fill="FFFFFF"/>
        </w:rPr>
        <w:t>4</w:t>
      </w:r>
      <w:r>
        <w:rPr>
          <w:rFonts w:hint="eastAsia" w:eastAsia="方正仿宋_GBK" w:cs="Times New Roman"/>
          <w:color w:val="000000"/>
          <w:kern w:val="0"/>
          <w:sz w:val="32"/>
          <w:szCs w:val="32"/>
          <w:highlight w:val="none"/>
          <w:shd w:val="clear" w:color="auto" w:fill="FFFFFF"/>
          <w:lang w:val="en-US" w:eastAsia="zh-CN"/>
        </w:rPr>
        <w:t>8</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w:t>
      </w:r>
      <w:r>
        <w:rPr>
          <w:rFonts w:hint="eastAsia" w:ascii="宋体" w:hAnsi="宋体" w:eastAsia="方正仿宋_GBK"/>
          <w:snapToGrid w:val="0"/>
          <w:sz w:val="30"/>
          <w:szCs w:val="30"/>
          <w:lang w:eastAsia="zh-CN"/>
        </w:rPr>
        <w:t>（</w:t>
      </w:r>
      <w:r>
        <w:rPr>
          <w:rFonts w:ascii="宋体" w:hAnsi="宋体" w:eastAsia="方正仿宋_GBK"/>
          <w:snapToGrid w:val="0"/>
          <w:sz w:val="30"/>
          <w:szCs w:val="30"/>
        </w:rPr>
        <w:t>核）结果为准。</w:t>
      </w:r>
    </w:p>
    <w:p w14:paraId="7DF9B9C2">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七、付款方式</w:t>
      </w:r>
    </w:p>
    <w:p w14:paraId="664C6E12">
      <w:pPr>
        <w:pStyle w:val="8"/>
        <w:spacing w:line="594"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1、发包人收取、退还履约保证金。工程竣工</w:t>
      </w:r>
      <w:r>
        <w:rPr>
          <w:rFonts w:hint="default" w:ascii="Times New Roman" w:hAnsi="Times New Roman" w:eastAsia="方正仿宋_GBK" w:cs="Times New Roman"/>
          <w:snapToGrid w:val="0"/>
          <w:sz w:val="30"/>
          <w:szCs w:val="30"/>
        </w:rPr>
        <w:t>经相关部门</w:t>
      </w:r>
      <w:r>
        <w:rPr>
          <w:rFonts w:hint="default" w:ascii="Times New Roman" w:hAnsi="Times New Roman" w:eastAsia="方正仿宋_GBK" w:cs="Times New Roman"/>
          <w:sz w:val="30"/>
          <w:szCs w:val="30"/>
        </w:rPr>
        <w:t>验收合格后，一次性退还工程履约保证金（不计利息）。</w:t>
      </w:r>
    </w:p>
    <w:p w14:paraId="266A38B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napToGrid w:val="0"/>
          <w:sz w:val="30"/>
          <w:szCs w:val="30"/>
        </w:rPr>
        <w:t>3</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spacing w:line="594" w:lineRule="exact"/>
        <w:ind w:firstLine="602" w:firstLineChars="200"/>
        <w:rPr>
          <w:rFonts w:ascii="宋体" w:hAnsi="宋体" w:eastAsia="方正仿宋_GBK"/>
          <w:b/>
          <w:sz w:val="30"/>
          <w:szCs w:val="30"/>
        </w:rPr>
      </w:pPr>
      <w:r>
        <w:rPr>
          <w:rFonts w:hint="eastAsia" w:ascii="宋体" w:hAnsi="宋体" w:eastAsia="方正仿宋_GBK"/>
          <w:b/>
          <w:sz w:val="30"/>
          <w:szCs w:val="30"/>
        </w:rPr>
        <w:t>八、违约责任</w:t>
      </w:r>
    </w:p>
    <w:p w14:paraId="026A2A74">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（1）承包人未按国家、行业和重庆市有关施工质量验收规范、技术规范、技术标准和规程、《工程建设标准强制性条文》及施工图纸</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含设计变更和工程洽商或技术核定单</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（9）承包人应在工程竣工验收合格后30天内向发包人提交工程结算资料。</w:t>
      </w:r>
    </w:p>
    <w:p w14:paraId="3E7E8D6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spacing w:line="594" w:lineRule="exact"/>
        <w:rPr>
          <w:rFonts w:ascii="宋体" w:hAnsi="宋体" w:eastAsia="方正仿宋_GBK"/>
          <w:snapToGrid w:val="0"/>
          <w:sz w:val="30"/>
          <w:szCs w:val="30"/>
        </w:rPr>
      </w:pPr>
      <w:r>
        <w:rPr>
          <w:rFonts w:hint="eastAsia" w:ascii="宋体" w:hAnsi="宋体" w:eastAsia="方正仿宋_GBK"/>
          <w:snapToGrid w:val="0"/>
          <w:sz w:val="30"/>
          <w:szCs w:val="30"/>
        </w:rPr>
        <w:t xml:space="preserve">  　（11）承包人未按要求办理其装备及人员保险，由此产生的经济、法律责任和费用由承包人承担；</w:t>
      </w:r>
    </w:p>
    <w:p w14:paraId="1AC7CD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九、其它</w:t>
      </w:r>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十二、</w:t>
      </w:r>
      <w:r>
        <w:rPr>
          <w:rFonts w:hint="eastAsia" w:ascii="宋体" w:hAnsi="宋体" w:eastAsia="方正仿宋_GBK" w:cs="方正仿宋_GBK"/>
          <w:sz w:val="30"/>
          <w:szCs w:val="30"/>
        </w:rPr>
        <w:t>未尽事宜，经双方协商后解决。</w:t>
      </w:r>
    </w:p>
    <w:p w14:paraId="248B46B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十三</w:t>
      </w:r>
      <w:r>
        <w:rPr>
          <w:rFonts w:hint="eastAsia" w:ascii="宋体" w:hAnsi="宋体" w:eastAsia="方正仿宋_GBK" w:cs="方正仿宋_GBK"/>
          <w:sz w:val="30"/>
          <w:szCs w:val="30"/>
        </w:rPr>
        <w:t>、承包人交纳工程履约保证金后，双方法定代表人（或授权代理人）</w:t>
      </w:r>
      <w:r>
        <w:rPr>
          <w:rFonts w:hint="eastAsia" w:ascii="宋体" w:hAnsi="宋体" w:eastAsia="方正仿宋_GBK" w:cs="方正仿宋_GBK"/>
          <w:sz w:val="30"/>
          <w:szCs w:val="30"/>
          <w:lang w:eastAsia="zh-CN"/>
        </w:rPr>
        <w:t>签订合同</w:t>
      </w:r>
      <w:r>
        <w:rPr>
          <w:rFonts w:hint="eastAsia" w:ascii="宋体" w:hAnsi="宋体" w:eastAsia="方正仿宋_GBK" w:cs="方正仿宋_GBK"/>
          <w:sz w:val="30"/>
          <w:szCs w:val="30"/>
        </w:rPr>
        <w:t>。本合同</w:t>
      </w:r>
      <w:bookmarkStart w:id="10" w:name="_GoBack"/>
      <w:r>
        <w:rPr>
          <w:rFonts w:hint="eastAsia" w:ascii="宋体" w:hAnsi="宋体" w:eastAsia="方正仿宋_GBK" w:cs="方正仿宋_GBK"/>
          <w:sz w:val="30"/>
          <w:szCs w:val="30"/>
        </w:rPr>
        <w:t>一式伍份</w:t>
      </w:r>
      <w:bookmarkEnd w:id="10"/>
      <w:r>
        <w:rPr>
          <w:rFonts w:hint="eastAsia" w:ascii="宋体" w:hAnsi="宋体" w:eastAsia="方正仿宋_GBK" w:cs="方正仿宋_GBK"/>
          <w:sz w:val="30"/>
          <w:szCs w:val="30"/>
        </w:rPr>
        <w:t>，自双方法定代表人（或授权代理人）签字之日起生效。</w:t>
      </w:r>
    </w:p>
    <w:p w14:paraId="72C27A8A">
      <w:pPr>
        <w:rPr>
          <w:rFonts w:ascii="宋体" w:hAnsi="宋体" w:eastAsia="方正仿宋_GBK" w:cs="方正仿宋_GBK"/>
          <w:sz w:val="30"/>
          <w:szCs w:val="30"/>
        </w:rPr>
      </w:pPr>
    </w:p>
    <w:p w14:paraId="04224DFF">
      <w:pPr>
        <w:rPr>
          <w:rFonts w:ascii="宋体" w:hAnsi="宋体" w:eastAsia="方正仿宋_GBK" w:cs="方正仿宋_GBK"/>
          <w:sz w:val="30"/>
          <w:szCs w:val="30"/>
        </w:rPr>
      </w:pPr>
    </w:p>
    <w:p w14:paraId="3EDD0BB1">
      <w:pPr>
        <w:rPr>
          <w:rFonts w:ascii="宋体" w:hAnsi="宋体" w:eastAsia="方正仿宋_GBK" w:cs="方正仿宋_GBK"/>
          <w:sz w:val="30"/>
          <w:szCs w:val="30"/>
        </w:rPr>
      </w:pPr>
    </w:p>
    <w:p w14:paraId="3BEE5603">
      <w:pPr>
        <w:rPr>
          <w:rFonts w:ascii="宋体" w:hAnsi="宋体" w:eastAsia="方正仿宋_GBK" w:cs="方正仿宋_GBK"/>
          <w:sz w:val="30"/>
          <w:szCs w:val="30"/>
        </w:rPr>
      </w:pPr>
    </w:p>
    <w:p w14:paraId="79ABB77B">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 xml:space="preserve">委托代理人（签字）：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4</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87F7345"/>
    <w:rsid w:val="164426B4"/>
    <w:rsid w:val="19393580"/>
    <w:rsid w:val="23B274E4"/>
    <w:rsid w:val="30264EB1"/>
    <w:rsid w:val="31C33D33"/>
    <w:rsid w:val="32400948"/>
    <w:rsid w:val="3780449C"/>
    <w:rsid w:val="3A5730AB"/>
    <w:rsid w:val="3C1C362D"/>
    <w:rsid w:val="3E2E60DA"/>
    <w:rsid w:val="3E8679A8"/>
    <w:rsid w:val="433A0866"/>
    <w:rsid w:val="472B1D83"/>
    <w:rsid w:val="4B552AA6"/>
    <w:rsid w:val="4E832C5D"/>
    <w:rsid w:val="6516066E"/>
    <w:rsid w:val="6BC70246"/>
    <w:rsid w:val="70ED62AF"/>
    <w:rsid w:val="7447481A"/>
    <w:rsid w:val="74A279FF"/>
    <w:rsid w:val="78054D74"/>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3517</Words>
  <Characters>3686</Characters>
  <Lines>24</Lines>
  <Paragraphs>6</Paragraphs>
  <TotalTime>1</TotalTime>
  <ScaleCrop>false</ScaleCrop>
  <LinksUpToDate>false</LinksUpToDate>
  <CharactersWithSpaces>3783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2022-04-13T01:03:00Z</cp:lastPrinted>
  <dcterms:modified xsi:type="dcterms:W3CDTF">2025-04-11T00:26:02Z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