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C2DDC5">
      <w:pPr>
        <w:ind w:firstLine="643"/>
        <w:jc w:val="center"/>
        <w:rPr>
          <w:rStyle w:val="45"/>
          <w:rFonts w:hint="eastAsia" w:ascii="宋体" w:hAnsi="宋体" w:eastAsia="宋体" w:cs="宋体"/>
          <w:b/>
          <w:color w:val="auto"/>
          <w:kern w:val="0"/>
          <w:sz w:val="32"/>
          <w:szCs w:val="32"/>
          <w:u w:val="none"/>
        </w:rPr>
      </w:pPr>
      <w:r>
        <w:rPr>
          <w:rStyle w:val="45"/>
          <w:rFonts w:hint="eastAsia" w:ascii="宋体" w:hAnsi="宋体" w:eastAsia="宋体" w:cs="宋体"/>
          <w:b/>
          <w:color w:val="auto"/>
          <w:kern w:val="0"/>
          <w:sz w:val="32"/>
          <w:szCs w:val="32"/>
          <w:u w:val="none"/>
          <w:lang w:val="en-US" w:eastAsia="zh-CN"/>
        </w:rPr>
        <w:t>重庆市璧山区排水管网整治工程三期—污水连通工程</w:t>
      </w:r>
    </w:p>
    <w:p w14:paraId="1FC8D25A">
      <w:pPr>
        <w:ind w:firstLine="643"/>
        <w:jc w:val="center"/>
        <w:rPr>
          <w:rStyle w:val="45"/>
          <w:rFonts w:hint="eastAsia" w:ascii="宋体" w:hAnsi="宋体" w:eastAsia="宋体" w:cs="宋体"/>
          <w:b/>
          <w:color w:val="auto"/>
          <w:kern w:val="0"/>
          <w:sz w:val="32"/>
          <w:szCs w:val="32"/>
          <w:u w:val="none"/>
        </w:rPr>
        <w:sectPr>
          <w:headerReference r:id="rId7" w:type="first"/>
          <w:footerReference r:id="rId10" w:type="first"/>
          <w:headerReference r:id="rId5" w:type="default"/>
          <w:footerReference r:id="rId8" w:type="default"/>
          <w:headerReference r:id="rId6" w:type="even"/>
          <w:footerReference r:id="rId9" w:type="even"/>
          <w:pgSz w:w="23814" w:h="16839" w:orient="landscape"/>
          <w:pgMar w:top="1701" w:right="1701" w:bottom="1701" w:left="1701" w:header="851" w:footer="992" w:gutter="0"/>
          <w:pgNumType w:start="1"/>
          <w:cols w:space="425" w:num="1"/>
          <w:docGrid w:type="linesAndChars" w:linePitch="381" w:charSpace="0"/>
        </w:sectPr>
      </w:pPr>
      <w:r>
        <w:rPr>
          <w:rStyle w:val="45"/>
          <w:rFonts w:hint="eastAsia" w:ascii="宋体" w:hAnsi="宋体" w:eastAsia="宋体" w:cs="宋体"/>
          <w:b/>
          <w:color w:val="auto"/>
          <w:kern w:val="0"/>
          <w:sz w:val="32"/>
          <w:szCs w:val="32"/>
          <w:u w:val="none"/>
        </w:rPr>
        <w:t>管网工程施工图设计说明</w:t>
      </w:r>
    </w:p>
    <w:p w14:paraId="5C88ECFA">
      <w:pPr>
        <w:pStyle w:val="2"/>
        <w:rPr>
          <w:rFonts w:hint="eastAsia" w:ascii="宋体" w:hAnsi="宋体" w:eastAsia="宋体" w:cs="宋体"/>
        </w:rPr>
      </w:pPr>
      <w:r>
        <w:rPr>
          <w:rStyle w:val="45"/>
          <w:rFonts w:hint="eastAsia" w:ascii="宋体" w:hAnsi="宋体" w:eastAsia="宋体" w:cs="宋体"/>
          <w:color w:val="auto"/>
        </w:rPr>
        <w:fldChar w:fldCharType="begin"/>
      </w:r>
      <w:r>
        <w:rPr>
          <w:rStyle w:val="45"/>
          <w:rFonts w:hint="eastAsia" w:ascii="宋体" w:hAnsi="宋体" w:eastAsia="宋体" w:cs="宋体"/>
          <w:color w:val="auto"/>
        </w:rPr>
        <w:instrText xml:space="preserve"> TOC \o "1-2" \h \z \u </w:instrText>
      </w:r>
      <w:r>
        <w:rPr>
          <w:rStyle w:val="45"/>
          <w:rFonts w:hint="eastAsia" w:ascii="宋体" w:hAnsi="宋体" w:eastAsia="宋体" w:cs="宋体"/>
          <w:color w:val="auto"/>
        </w:rPr>
        <w:fldChar w:fldCharType="end"/>
      </w:r>
      <w:r>
        <w:rPr>
          <w:rFonts w:hint="eastAsia" w:ascii="宋体" w:hAnsi="宋体" w:eastAsia="宋体" w:cs="宋体"/>
        </w:rPr>
        <w:t>项目概况</w:t>
      </w:r>
    </w:p>
    <w:p w14:paraId="0BF82A56">
      <w:pPr>
        <w:pStyle w:val="3"/>
        <w:rPr>
          <w:rFonts w:hint="eastAsia" w:ascii="宋体" w:hAnsi="宋体" w:eastAsia="宋体" w:cs="宋体"/>
        </w:rPr>
      </w:pPr>
      <w:r>
        <w:rPr>
          <w:rFonts w:hint="eastAsia" w:ascii="宋体" w:hAnsi="宋体" w:eastAsia="宋体" w:cs="宋体"/>
        </w:rPr>
        <w:t>项目名称</w:t>
      </w:r>
    </w:p>
    <w:p w14:paraId="0BC9AAFE">
      <w:pPr>
        <w:widowControl/>
        <w:rPr>
          <w:rFonts w:hint="eastAsia" w:ascii="宋体" w:hAnsi="宋体" w:eastAsia="宋体" w:cs="宋体"/>
          <w:highlight w:val="none"/>
        </w:rPr>
      </w:pPr>
      <w:r>
        <w:rPr>
          <w:rFonts w:hint="eastAsia" w:ascii="宋体" w:hAnsi="宋体" w:eastAsia="宋体" w:cs="宋体"/>
          <w:highlight w:val="none"/>
          <w:lang w:val="en-US" w:eastAsia="zh-CN"/>
        </w:rPr>
        <w:t>重庆（璧山）绿色低碳材料产业园至河边镇污水管网工程</w:t>
      </w:r>
    </w:p>
    <w:p w14:paraId="30F20F45">
      <w:pPr>
        <w:pStyle w:val="3"/>
        <w:rPr>
          <w:rFonts w:hint="eastAsia" w:ascii="宋体" w:hAnsi="宋体" w:eastAsia="宋体" w:cs="宋体"/>
        </w:rPr>
      </w:pPr>
      <w:r>
        <w:rPr>
          <w:rFonts w:hint="eastAsia" w:ascii="宋体" w:hAnsi="宋体" w:eastAsia="宋体" w:cs="宋体"/>
        </w:rPr>
        <w:t>工程地点</w:t>
      </w:r>
    </w:p>
    <w:p w14:paraId="51409332">
      <w:pPr>
        <w:widowControl/>
        <w:rPr>
          <w:rFonts w:hint="eastAsia" w:ascii="宋体" w:hAnsi="宋体" w:eastAsia="宋体" w:cs="宋体"/>
          <w:highlight w:val="none"/>
        </w:rPr>
      </w:pPr>
      <w:r>
        <w:rPr>
          <w:rFonts w:hint="eastAsia" w:ascii="宋体" w:hAnsi="宋体" w:eastAsia="宋体" w:cs="宋体"/>
          <w:highlight w:val="none"/>
        </w:rPr>
        <w:t>本项目建设地点位于</w:t>
      </w:r>
      <w:r>
        <w:rPr>
          <w:rFonts w:hint="eastAsia" w:ascii="宋体" w:hAnsi="宋体" w:eastAsia="宋体" w:cs="宋体"/>
          <w:highlight w:val="none"/>
          <w:lang w:val="en-US" w:eastAsia="zh-CN"/>
        </w:rPr>
        <w:t>重庆市璧山区</w:t>
      </w:r>
      <w:r>
        <w:rPr>
          <w:rFonts w:hint="eastAsia" w:ascii="宋体" w:hAnsi="宋体" w:eastAsia="宋体" w:cs="宋体"/>
          <w:highlight w:val="none"/>
        </w:rPr>
        <w:t>。</w:t>
      </w:r>
    </w:p>
    <w:p w14:paraId="355BC9CB">
      <w:pPr>
        <w:widowControl/>
        <w:ind w:firstLine="0" w:firstLineChars="0"/>
        <w:jc w:val="center"/>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930265" cy="4192270"/>
            <wp:effectExtent l="0" t="0" r="13335" b="17780"/>
            <wp:docPr id="6" name="图片 6" descr="S-02 区位图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02 区位图 Model (1)"/>
                    <pic:cNvPicPr>
                      <a:picLocks noChangeAspect="1"/>
                    </pic:cNvPicPr>
                  </pic:nvPicPr>
                  <pic:blipFill>
                    <a:blip r:embed="rId13"/>
                    <a:stretch>
                      <a:fillRect/>
                    </a:stretch>
                  </pic:blipFill>
                  <pic:spPr>
                    <a:xfrm>
                      <a:off x="0" y="0"/>
                      <a:ext cx="5930265" cy="4192270"/>
                    </a:xfrm>
                    <a:prstGeom prst="rect">
                      <a:avLst/>
                    </a:prstGeom>
                  </pic:spPr>
                </pic:pic>
              </a:graphicData>
            </a:graphic>
          </wp:inline>
        </w:drawing>
      </w:r>
    </w:p>
    <w:p w14:paraId="1D59486A">
      <w:pPr>
        <w:widowControl/>
        <w:jc w:val="center"/>
        <w:rPr>
          <w:rFonts w:hint="eastAsia" w:ascii="宋体" w:hAnsi="宋体" w:eastAsia="宋体" w:cs="宋体"/>
        </w:rPr>
      </w:pPr>
      <w:r>
        <w:rPr>
          <w:rFonts w:hint="eastAsia" w:ascii="宋体" w:hAnsi="宋体" w:eastAsia="宋体" w:cs="宋体"/>
        </w:rPr>
        <w:t>项目区位图</w:t>
      </w:r>
    </w:p>
    <w:p w14:paraId="053BD1EB">
      <w:pPr>
        <w:pStyle w:val="3"/>
        <w:rPr>
          <w:rFonts w:hint="eastAsia" w:ascii="宋体" w:hAnsi="宋体" w:eastAsia="宋体" w:cs="宋体"/>
        </w:rPr>
      </w:pPr>
      <w:r>
        <w:rPr>
          <w:rFonts w:hint="eastAsia" w:ascii="宋体" w:hAnsi="宋体" w:eastAsia="宋体" w:cs="宋体"/>
        </w:rPr>
        <w:t>项目背景</w:t>
      </w:r>
    </w:p>
    <w:p w14:paraId="62F0DBD1">
      <w:pPr>
        <w:widowControl/>
        <w:rPr>
          <w:rFonts w:hint="eastAsia" w:ascii="宋体" w:hAnsi="宋体" w:eastAsia="宋体" w:cs="宋体"/>
        </w:rPr>
      </w:pPr>
      <w:r>
        <w:rPr>
          <w:rFonts w:hint="eastAsia" w:ascii="宋体" w:hAnsi="宋体" w:eastAsia="宋体" w:cs="宋体"/>
        </w:rPr>
        <w:t>生态环境保护是关系党的使命宗旨的重大政治问题，也是关系民生的重大社会问题，是党中央高度关注和强调的“国之大者”。近日，中共中央办公厅、国务院办公厅印发了《中央生态环境保护督察整改工作办法》（简称《办法》），对中央生态环境保护督察反馈问题整改工作作出更严格、更规范、更精细的要求，市委、市政府及时召开中央生态环境保护督察整改推进会议暨全市生态环境保护工作会议，对扎实抓好中央生态环境保护督察整改，加快推动山清水秀美丽之地建设作出部署安排，充分体现了党中央、国务院和市委、市政府推进生态文明建设和生态环境保护的坚定意志和坚强决心。</w:t>
      </w:r>
    </w:p>
    <w:p w14:paraId="302A9596">
      <w:pPr>
        <w:pStyle w:val="3"/>
        <w:rPr>
          <w:rFonts w:hint="eastAsia" w:ascii="宋体" w:hAnsi="宋体" w:eastAsia="宋体" w:cs="宋体"/>
        </w:rPr>
      </w:pPr>
      <w:r>
        <w:rPr>
          <w:rFonts w:hint="eastAsia" w:ascii="宋体" w:hAnsi="宋体" w:eastAsia="宋体" w:cs="宋体"/>
        </w:rPr>
        <w:t>主要设计内容</w:t>
      </w:r>
    </w:p>
    <w:p w14:paraId="2B60A40D">
      <w:pPr>
        <w:widowControl/>
        <w:rPr>
          <w:rFonts w:hint="eastAsia" w:ascii="宋体" w:hAnsi="宋体" w:eastAsia="宋体" w:cs="宋体"/>
          <w:highlight w:val="none"/>
          <w:lang w:val="en-US" w:eastAsia="zh-CN"/>
        </w:rPr>
      </w:pPr>
      <w:r>
        <w:rPr>
          <w:rFonts w:hint="eastAsia" w:ascii="宋体" w:hAnsi="宋体" w:eastAsia="宋体" w:cs="宋体"/>
          <w:highlight w:val="none"/>
          <w:lang w:val="en-US" w:eastAsia="zh-CN"/>
        </w:rPr>
        <w:t>本次排水系统设计范围为1、绿色低碳材料产业园至河边镇现状污水井。</w:t>
      </w:r>
    </w:p>
    <w:p w14:paraId="2083DED0">
      <w:pPr>
        <w:widowControl/>
        <w:rPr>
          <w:rFonts w:hint="eastAsia" w:ascii="宋体" w:hAnsi="宋体" w:eastAsia="宋体" w:cs="宋体"/>
          <w:highlight w:val="none"/>
          <w:lang w:val="en-US" w:eastAsia="zh-CN"/>
        </w:rPr>
      </w:pPr>
      <w:r>
        <w:rPr>
          <w:rFonts w:hint="eastAsia" w:ascii="宋体" w:hAnsi="宋体" w:eastAsia="宋体" w:cs="宋体"/>
          <w:highlight w:val="none"/>
        </w:rPr>
        <w:t>本工程设计内容为</w:t>
      </w:r>
      <w:r>
        <w:rPr>
          <w:rFonts w:hint="eastAsia" w:ascii="宋体" w:hAnsi="宋体" w:eastAsia="宋体" w:cs="宋体"/>
          <w:highlight w:val="none"/>
          <w:lang w:eastAsia="zh-CN"/>
        </w:rPr>
        <w:t>：</w:t>
      </w:r>
      <w:r>
        <w:rPr>
          <w:rFonts w:hint="eastAsia" w:ascii="宋体" w:hAnsi="宋体" w:eastAsia="宋体" w:cs="宋体"/>
          <w:highlight w:val="none"/>
          <w:lang w:val="en-US" w:eastAsia="zh-CN"/>
        </w:rPr>
        <w:t>1、绿色低碳材料产业园污水，</w:t>
      </w:r>
      <w:r>
        <w:rPr>
          <w:rFonts w:hint="eastAsia" w:ascii="宋体" w:hAnsi="宋体" w:eastAsia="宋体" w:cs="宋体"/>
          <w:highlight w:val="none"/>
        </w:rPr>
        <w:t>拟通过工程措施，</w:t>
      </w:r>
      <w:r>
        <w:rPr>
          <w:rFonts w:hint="eastAsia" w:ascii="宋体" w:hAnsi="宋体" w:eastAsia="宋体" w:cs="宋体"/>
          <w:highlight w:val="none"/>
          <w:lang w:val="en-US" w:eastAsia="zh-CN"/>
        </w:rPr>
        <w:t>将污水</w:t>
      </w:r>
      <w:r>
        <w:rPr>
          <w:rFonts w:hint="default" w:ascii="宋体" w:hAnsi="宋体" w:eastAsia="宋体" w:cs="宋体"/>
          <w:highlight w:val="none"/>
          <w:lang w:val="en-US" w:eastAsia="zh-CN"/>
        </w:rPr>
        <w:t>转输至</w:t>
      </w:r>
      <w:r>
        <w:rPr>
          <w:rFonts w:hint="eastAsia" w:ascii="宋体" w:hAnsi="宋体" w:eastAsia="宋体" w:cs="宋体"/>
          <w:highlight w:val="none"/>
          <w:lang w:val="en-US" w:eastAsia="zh-CN"/>
        </w:rPr>
        <w:t>河边镇现状污水井。共计新建Dn110管道1252m，130m³/d一体化泵站1座，沉泥井1座，消能井1座。</w:t>
      </w:r>
    </w:p>
    <w:p w14:paraId="7E079E83">
      <w:pPr>
        <w:pStyle w:val="2"/>
        <w:rPr>
          <w:rFonts w:hint="eastAsia" w:ascii="宋体" w:hAnsi="宋体" w:eastAsia="宋体" w:cs="宋体"/>
        </w:rPr>
      </w:pPr>
      <w:bookmarkStart w:id="0" w:name="_Toc500408212"/>
      <w:r>
        <w:rPr>
          <w:rFonts w:hint="eastAsia" w:ascii="宋体" w:hAnsi="宋体" w:eastAsia="宋体" w:cs="宋体"/>
        </w:rPr>
        <w:t>设计依据</w:t>
      </w:r>
      <w:bookmarkEnd w:id="0"/>
    </w:p>
    <w:p w14:paraId="0558F656">
      <w:pPr>
        <w:pStyle w:val="3"/>
        <w:rPr>
          <w:rFonts w:hint="eastAsia" w:ascii="宋体" w:hAnsi="宋体" w:eastAsia="宋体" w:cs="宋体"/>
        </w:rPr>
      </w:pPr>
      <w:r>
        <w:rPr>
          <w:rFonts w:hint="eastAsia" w:ascii="宋体" w:hAnsi="宋体" w:eastAsia="宋体" w:cs="宋体"/>
        </w:rPr>
        <w:t>合同依据</w:t>
      </w:r>
    </w:p>
    <w:p w14:paraId="40EF06B3">
      <w:pPr>
        <w:widowControl/>
        <w:rPr>
          <w:rFonts w:hint="eastAsia" w:ascii="宋体" w:hAnsi="宋体" w:eastAsia="宋体" w:cs="宋体"/>
        </w:rPr>
      </w:pPr>
      <w:r>
        <w:rPr>
          <w:rFonts w:ascii="宋体" w:hAnsi="宋体" w:eastAsia="宋体" w:cs="宋体"/>
        </w:rPr>
        <w:t>（1）与建设方签订的设计合同；</w:t>
      </w:r>
    </w:p>
    <w:p w14:paraId="2CE0E97B">
      <w:pPr>
        <w:widowControl/>
        <w:rPr>
          <w:rFonts w:hint="eastAsia" w:ascii="宋体" w:hAnsi="宋体" w:eastAsia="宋体" w:cs="宋体"/>
        </w:rPr>
      </w:pPr>
      <w:r>
        <w:rPr>
          <w:rFonts w:ascii="宋体" w:hAnsi="宋体" w:eastAsia="宋体" w:cs="宋体"/>
        </w:rPr>
        <w:t>（2）建设方提供的工程范围内的1:500地形图；</w:t>
      </w:r>
    </w:p>
    <w:p w14:paraId="4B69CF1A">
      <w:pPr>
        <w:widowControl/>
        <w:rPr>
          <w:rFonts w:hint="eastAsia" w:ascii="宋体" w:hAnsi="宋体" w:eastAsia="宋体" w:cs="宋体"/>
        </w:rPr>
      </w:pPr>
      <w:r>
        <w:rPr>
          <w:rFonts w:ascii="宋体" w:hAnsi="宋体" w:eastAsia="宋体" w:cs="宋体"/>
        </w:rPr>
        <w:t>（3）建设方提供的工程范围内的地下管网现状图及现状管网高程数据；</w:t>
      </w:r>
    </w:p>
    <w:p w14:paraId="353AF3DC">
      <w:pPr>
        <w:widowControl/>
        <w:rPr>
          <w:rFonts w:hint="eastAsia" w:ascii="宋体" w:hAnsi="宋体" w:eastAsia="宋体" w:cs="宋体"/>
        </w:rPr>
      </w:pPr>
      <w:r>
        <w:rPr>
          <w:rFonts w:ascii="宋体" w:hAnsi="宋体" w:eastAsia="宋体" w:cs="宋体"/>
        </w:rPr>
        <w:t>（4）建设方提供的工程范围内的地勘资料。</w:t>
      </w:r>
    </w:p>
    <w:p w14:paraId="31AA097A">
      <w:pPr>
        <w:pStyle w:val="3"/>
        <w:rPr>
          <w:rFonts w:hint="eastAsia" w:ascii="宋体" w:hAnsi="宋体" w:eastAsia="宋体" w:cs="宋体"/>
        </w:rPr>
      </w:pPr>
      <w:bookmarkStart w:id="1" w:name="_Toc500408215"/>
      <w:r>
        <w:rPr>
          <w:rFonts w:hint="eastAsia" w:ascii="宋体" w:hAnsi="宋体" w:eastAsia="宋体" w:cs="宋体"/>
        </w:rPr>
        <w:t>采用的主要设计标准、规范</w:t>
      </w:r>
      <w:bookmarkEnd w:id="1"/>
    </w:p>
    <w:p w14:paraId="633A5CE4">
      <w:pPr>
        <w:widowControl/>
        <w:rPr>
          <w:rFonts w:hint="eastAsia" w:ascii="宋体" w:hAnsi="宋体" w:eastAsia="宋体" w:cs="宋体"/>
        </w:rPr>
      </w:pPr>
      <w:r>
        <w:rPr>
          <w:rFonts w:hint="eastAsia" w:ascii="宋体" w:hAnsi="宋体" w:eastAsia="宋体" w:cs="宋体"/>
        </w:rPr>
        <w:t>《城市工程管线综合规划规范》（GB50289-2016）</w:t>
      </w:r>
    </w:p>
    <w:p w14:paraId="510A9349">
      <w:pPr>
        <w:widowControl/>
        <w:rPr>
          <w:rFonts w:hint="eastAsia" w:ascii="宋体" w:hAnsi="宋体" w:eastAsia="宋体" w:cs="宋体"/>
        </w:rPr>
      </w:pPr>
      <w:r>
        <w:rPr>
          <w:rFonts w:hint="eastAsia" w:ascii="宋体" w:hAnsi="宋体" w:eastAsia="宋体" w:cs="宋体"/>
        </w:rPr>
        <w:t>《城市给水工程规划规范》（GB50282-2016）</w:t>
      </w:r>
    </w:p>
    <w:p w14:paraId="1DC1260C">
      <w:pPr>
        <w:widowControl/>
        <w:rPr>
          <w:rFonts w:hint="eastAsia" w:ascii="宋体" w:hAnsi="宋体" w:eastAsia="宋体" w:cs="宋体"/>
        </w:rPr>
      </w:pPr>
      <w:r>
        <w:rPr>
          <w:rFonts w:hint="eastAsia" w:ascii="宋体" w:hAnsi="宋体" w:eastAsia="宋体" w:cs="宋体"/>
        </w:rPr>
        <w:t>《城市给水工程项目规范》（GB55026-2022）</w:t>
      </w:r>
    </w:p>
    <w:p w14:paraId="15DD5BA0">
      <w:pPr>
        <w:widowControl/>
        <w:rPr>
          <w:rFonts w:hint="eastAsia" w:ascii="宋体" w:hAnsi="宋体" w:eastAsia="宋体" w:cs="宋体"/>
        </w:rPr>
      </w:pPr>
      <w:r>
        <w:rPr>
          <w:rFonts w:hint="eastAsia" w:ascii="宋体" w:hAnsi="宋体" w:eastAsia="宋体" w:cs="宋体"/>
        </w:rPr>
        <w:t>《城乡排水工程项目规范》（GB55027-2022）</w:t>
      </w:r>
    </w:p>
    <w:p w14:paraId="6810C49E">
      <w:pPr>
        <w:widowControl/>
        <w:rPr>
          <w:rFonts w:hint="eastAsia" w:ascii="宋体" w:hAnsi="宋体" w:eastAsia="宋体" w:cs="宋体"/>
        </w:rPr>
      </w:pPr>
      <w:r>
        <w:rPr>
          <w:rFonts w:hint="eastAsia" w:ascii="宋体" w:hAnsi="宋体" w:eastAsia="宋体" w:cs="宋体"/>
        </w:rPr>
        <w:t>《室外给水设计标准》（GB50013-2018）</w:t>
      </w:r>
    </w:p>
    <w:p w14:paraId="6653C3C7">
      <w:pPr>
        <w:widowControl/>
        <w:rPr>
          <w:rFonts w:hint="eastAsia" w:ascii="宋体" w:hAnsi="宋体" w:eastAsia="宋体" w:cs="宋体"/>
        </w:rPr>
      </w:pPr>
      <w:r>
        <w:rPr>
          <w:rFonts w:hint="eastAsia" w:ascii="宋体" w:hAnsi="宋体" w:eastAsia="宋体" w:cs="宋体"/>
        </w:rPr>
        <w:t>《室外排水设计标准》（GB50014-2021）</w:t>
      </w:r>
    </w:p>
    <w:p w14:paraId="368A9617">
      <w:pPr>
        <w:widowControl/>
        <w:rPr>
          <w:rFonts w:hint="eastAsia" w:ascii="宋体" w:hAnsi="宋体" w:eastAsia="宋体" w:cs="宋体"/>
        </w:rPr>
      </w:pPr>
      <w:r>
        <w:rPr>
          <w:rFonts w:hint="eastAsia" w:ascii="宋体" w:hAnsi="宋体" w:eastAsia="宋体" w:cs="宋体"/>
        </w:rPr>
        <w:t>《建筑给水排水设计标准》（GB50015-2019）</w:t>
      </w:r>
    </w:p>
    <w:p w14:paraId="7DACC04D">
      <w:pPr>
        <w:widowControl/>
        <w:rPr>
          <w:rFonts w:hint="eastAsia" w:ascii="宋体" w:hAnsi="宋体" w:eastAsia="宋体" w:cs="宋体"/>
        </w:rPr>
      </w:pPr>
      <w:r>
        <w:rPr>
          <w:rFonts w:hint="eastAsia" w:ascii="宋体" w:hAnsi="宋体" w:eastAsia="宋体" w:cs="宋体"/>
        </w:rPr>
        <w:t>《山地城市室外</w:t>
      </w:r>
      <w:r>
        <w:rPr>
          <w:rFonts w:hint="eastAsia" w:ascii="宋体" w:hAnsi="宋体" w:eastAsia="宋体" w:cs="宋体"/>
          <w:lang w:eastAsia="zh-CN"/>
        </w:rPr>
        <w:t>压力管</w:t>
      </w:r>
      <w:r>
        <w:rPr>
          <w:rFonts w:hint="eastAsia" w:ascii="宋体" w:hAnsi="宋体" w:eastAsia="宋体" w:cs="宋体"/>
        </w:rPr>
        <w:t>渠设计标准》（DBJ50/T-296-2018）</w:t>
      </w:r>
    </w:p>
    <w:p w14:paraId="675A42E8">
      <w:pPr>
        <w:widowControl/>
        <w:rPr>
          <w:rFonts w:hint="eastAsia" w:ascii="宋体" w:hAnsi="宋体" w:eastAsia="宋体" w:cs="宋体"/>
        </w:rPr>
      </w:pPr>
      <w:r>
        <w:rPr>
          <w:rFonts w:hint="eastAsia" w:ascii="宋体" w:hAnsi="宋体" w:eastAsia="宋体" w:cs="宋体"/>
        </w:rPr>
        <w:t>《山地城市室外污水管网建设技术标准》（DBJ50/T-374-2020）</w:t>
      </w:r>
    </w:p>
    <w:p w14:paraId="6CA9FE0C">
      <w:pPr>
        <w:widowControl/>
        <w:rPr>
          <w:rFonts w:hint="eastAsia" w:ascii="宋体" w:hAnsi="宋体" w:eastAsia="宋体" w:cs="宋体"/>
        </w:rPr>
      </w:pPr>
      <w:r>
        <w:rPr>
          <w:rFonts w:hint="eastAsia" w:ascii="宋体" w:hAnsi="宋体" w:eastAsia="宋体" w:cs="宋体"/>
        </w:rPr>
        <w:t>《给水排水工程管道结构设计规范》（GB50332-2002）</w:t>
      </w:r>
    </w:p>
    <w:p w14:paraId="5084017A">
      <w:pPr>
        <w:widowControl/>
        <w:rPr>
          <w:rFonts w:hint="eastAsia" w:ascii="宋体" w:hAnsi="宋体" w:eastAsia="宋体" w:cs="宋体"/>
        </w:rPr>
      </w:pPr>
      <w:r>
        <w:rPr>
          <w:rFonts w:hint="eastAsia" w:ascii="宋体" w:hAnsi="宋体" w:eastAsia="宋体" w:cs="宋体"/>
        </w:rPr>
        <w:t>《给水排水工程构筑物结构设计规范》（GB50069-2002）</w:t>
      </w:r>
    </w:p>
    <w:p w14:paraId="73398D8B">
      <w:pPr>
        <w:widowControl/>
        <w:rPr>
          <w:rFonts w:hint="eastAsia" w:ascii="宋体" w:hAnsi="宋体" w:eastAsia="宋体" w:cs="宋体"/>
        </w:rPr>
      </w:pPr>
      <w:r>
        <w:rPr>
          <w:rFonts w:hint="eastAsia" w:ascii="宋体" w:hAnsi="宋体" w:eastAsia="宋体" w:cs="宋体"/>
        </w:rPr>
        <w:t>《给水</w:t>
      </w:r>
      <w:r>
        <w:rPr>
          <w:rFonts w:hint="eastAsia" w:ascii="宋体" w:hAnsi="宋体" w:eastAsia="宋体" w:cs="宋体"/>
          <w:lang w:eastAsia="zh-CN"/>
        </w:rPr>
        <w:t>压力管</w:t>
      </w:r>
      <w:r>
        <w:rPr>
          <w:rFonts w:hint="eastAsia" w:ascii="宋体" w:hAnsi="宋体" w:eastAsia="宋体" w:cs="宋体"/>
        </w:rPr>
        <w:t>道工程施工及验收规范》（GB50268-2008）</w:t>
      </w:r>
    </w:p>
    <w:p w14:paraId="01F800BD">
      <w:pPr>
        <w:widowControl/>
        <w:rPr>
          <w:rFonts w:hint="eastAsia" w:ascii="宋体" w:hAnsi="宋体" w:eastAsia="宋体" w:cs="宋体"/>
        </w:rPr>
      </w:pPr>
      <w:r>
        <w:rPr>
          <w:rFonts w:hint="eastAsia" w:ascii="宋体" w:hAnsi="宋体" w:eastAsia="宋体" w:cs="宋体"/>
        </w:rPr>
        <w:t>《城镇给水</w:t>
      </w:r>
      <w:r>
        <w:rPr>
          <w:rFonts w:hint="eastAsia" w:ascii="宋体" w:hAnsi="宋体" w:eastAsia="宋体" w:cs="宋体"/>
          <w:lang w:eastAsia="zh-CN"/>
        </w:rPr>
        <w:t>压力管</w:t>
      </w:r>
      <w:r>
        <w:rPr>
          <w:rFonts w:hint="eastAsia" w:ascii="宋体" w:hAnsi="宋体" w:eastAsia="宋体" w:cs="宋体"/>
        </w:rPr>
        <w:t>道工程施工质量验收标准》（DBJ50/T 431-2021）</w:t>
      </w:r>
    </w:p>
    <w:p w14:paraId="4A654F10">
      <w:pPr>
        <w:widowControl/>
        <w:rPr>
          <w:rFonts w:hint="eastAsia" w:ascii="宋体" w:hAnsi="宋体" w:eastAsia="宋体" w:cs="宋体"/>
        </w:rPr>
      </w:pPr>
      <w:r>
        <w:rPr>
          <w:rFonts w:hint="eastAsia" w:ascii="宋体" w:hAnsi="宋体" w:eastAsia="宋体" w:cs="宋体"/>
        </w:rPr>
        <w:t>《建筑设计抗震设计规范》（GB50011-2010（2016年版））</w:t>
      </w:r>
    </w:p>
    <w:p w14:paraId="2B970250">
      <w:pPr>
        <w:widowControl/>
        <w:rPr>
          <w:rFonts w:hint="eastAsia" w:ascii="宋体" w:hAnsi="宋体" w:eastAsia="宋体" w:cs="宋体"/>
        </w:rPr>
      </w:pPr>
      <w:r>
        <w:rPr>
          <w:rFonts w:hint="eastAsia" w:ascii="宋体" w:hAnsi="宋体" w:eastAsia="宋体" w:cs="宋体"/>
        </w:rPr>
        <w:t>《建筑与市政工程抗震通用规范》（GB 55002-2021）</w:t>
      </w:r>
    </w:p>
    <w:p w14:paraId="5B40874F">
      <w:pPr>
        <w:widowControl/>
        <w:rPr>
          <w:rFonts w:hint="eastAsia" w:ascii="宋体" w:hAnsi="宋体" w:eastAsia="宋体" w:cs="宋体"/>
        </w:rPr>
      </w:pPr>
      <w:r>
        <w:rPr>
          <w:rFonts w:hint="eastAsia" w:ascii="宋体" w:hAnsi="宋体" w:eastAsia="宋体" w:cs="宋体"/>
        </w:rPr>
        <w:t>《建筑与市政工程防水通用规范》GB55030-2022</w:t>
      </w:r>
    </w:p>
    <w:p w14:paraId="5593D024">
      <w:pPr>
        <w:widowControl/>
        <w:rPr>
          <w:rFonts w:hint="eastAsia" w:ascii="宋体" w:hAnsi="宋体" w:eastAsia="宋体" w:cs="宋体"/>
        </w:rPr>
      </w:pPr>
      <w:r>
        <w:rPr>
          <w:rFonts w:hint="eastAsia" w:ascii="宋体" w:hAnsi="宋体" w:eastAsia="宋体" w:cs="宋体"/>
        </w:rPr>
        <w:t>《室外给水排水和燃气热力工程抗震设计规范》（GB50032-2003）</w:t>
      </w:r>
    </w:p>
    <w:p w14:paraId="523AC3AD">
      <w:pPr>
        <w:widowControl/>
        <w:rPr>
          <w:rFonts w:hint="eastAsia" w:ascii="宋体" w:hAnsi="宋体" w:eastAsia="宋体" w:cs="宋体"/>
        </w:rPr>
      </w:pPr>
      <w:r>
        <w:rPr>
          <w:rFonts w:hint="eastAsia" w:ascii="宋体" w:hAnsi="宋体" w:eastAsia="宋体" w:cs="宋体"/>
        </w:rPr>
        <w:t>《建筑给水聚乙烯类管道工程技术规程》CJJ/T98-2003</w:t>
      </w:r>
    </w:p>
    <w:p w14:paraId="22A4EB3E">
      <w:pPr>
        <w:widowControl/>
        <w:rPr>
          <w:rFonts w:hint="eastAsia" w:ascii="宋体" w:hAnsi="宋体" w:eastAsia="宋体" w:cs="宋体"/>
        </w:rPr>
      </w:pPr>
      <w:r>
        <w:rPr>
          <w:rFonts w:hint="eastAsia" w:ascii="宋体" w:hAnsi="宋体" w:eastAsia="宋体" w:cs="宋体"/>
        </w:rPr>
        <w:t>《重庆市市政工程施工图设计文件编制技术规定》（2018年版）</w:t>
      </w:r>
    </w:p>
    <w:p w14:paraId="2BE16E29">
      <w:pPr>
        <w:widowControl/>
        <w:rPr>
          <w:rFonts w:hint="eastAsia" w:ascii="宋体" w:hAnsi="宋体" w:eastAsia="宋体" w:cs="宋体"/>
        </w:rPr>
      </w:pPr>
      <w:r>
        <w:rPr>
          <w:rFonts w:hint="eastAsia" w:ascii="宋体" w:hAnsi="宋体" w:eastAsia="宋体" w:cs="宋体"/>
        </w:rPr>
        <w:t>《重庆市市政工程施工图设计文件技术审查要点》（2019年版）</w:t>
      </w:r>
    </w:p>
    <w:p w14:paraId="024BDD0F">
      <w:pPr>
        <w:widowControl/>
        <w:rPr>
          <w:rFonts w:hint="eastAsia" w:ascii="宋体" w:hAnsi="宋体" w:eastAsia="宋体" w:cs="宋体"/>
        </w:rPr>
      </w:pPr>
      <w:r>
        <w:rPr>
          <w:rFonts w:hint="eastAsia" w:ascii="宋体" w:hAnsi="宋体" w:eastAsia="宋体" w:cs="宋体"/>
        </w:rPr>
        <w:t>《危险性较大的分部分项工程安全管理规定》（住建部令第37号）</w:t>
      </w:r>
    </w:p>
    <w:p w14:paraId="336C4AD6">
      <w:pPr>
        <w:widowControl/>
        <w:rPr>
          <w:rFonts w:hint="eastAsia" w:ascii="宋体" w:hAnsi="宋体" w:eastAsia="宋体" w:cs="宋体"/>
        </w:rPr>
      </w:pPr>
      <w:r>
        <w:rPr>
          <w:rFonts w:hint="eastAsia" w:ascii="宋体" w:hAnsi="宋体" w:eastAsia="宋体" w:cs="宋体"/>
        </w:rPr>
        <w:t>《关于实施&lt;危险性较大的分部分项工程安全管理规定&gt;有关问题的通知》（建办质〔2018〕31号）</w:t>
      </w:r>
    </w:p>
    <w:p w14:paraId="5C7FCB09">
      <w:pPr>
        <w:widowControl/>
        <w:rPr>
          <w:rFonts w:hint="eastAsia" w:ascii="宋体" w:hAnsi="宋体" w:eastAsia="宋体" w:cs="宋体"/>
        </w:rPr>
      </w:pPr>
      <w:r>
        <w:rPr>
          <w:rFonts w:hint="eastAsia" w:ascii="宋体" w:hAnsi="宋体" w:eastAsia="宋体" w:cs="宋体"/>
        </w:rPr>
        <w:t>《重庆市城市排水设施管理办法》（重庆市人民政府2000.04）</w:t>
      </w:r>
    </w:p>
    <w:p w14:paraId="2D9CFA34">
      <w:pPr>
        <w:widowControl/>
        <w:rPr>
          <w:rFonts w:hint="eastAsia" w:ascii="宋体" w:hAnsi="宋体" w:eastAsia="宋体" w:cs="宋体"/>
        </w:rPr>
      </w:pPr>
      <w:r>
        <w:rPr>
          <w:rFonts w:hint="eastAsia" w:ascii="宋体" w:hAnsi="宋体" w:eastAsia="宋体" w:cs="宋体"/>
        </w:rPr>
        <w:t>《重庆市建设领域禁止、限制使用落后技术通告（20</w:t>
      </w:r>
      <w:r>
        <w:rPr>
          <w:rFonts w:hint="eastAsia" w:ascii="宋体" w:hAnsi="宋体" w:eastAsia="宋体" w:cs="宋体"/>
          <w:lang w:val="en-US" w:eastAsia="zh-CN"/>
        </w:rPr>
        <w:t>24</w:t>
      </w:r>
      <w:r>
        <w:rPr>
          <w:rFonts w:hint="eastAsia" w:ascii="宋体" w:hAnsi="宋体" w:eastAsia="宋体" w:cs="宋体"/>
        </w:rPr>
        <w:t xml:space="preserve">年版）》（重庆市住房和城乡建设委员会 </w:t>
      </w:r>
      <w:r>
        <w:rPr>
          <w:rFonts w:hint="eastAsia" w:ascii="宋体" w:hAnsi="宋体" w:eastAsia="宋体" w:cs="宋体"/>
          <w:lang w:val="en-US" w:eastAsia="zh-CN"/>
        </w:rPr>
        <w:t>2024</w:t>
      </w:r>
      <w:r>
        <w:rPr>
          <w:rFonts w:hint="eastAsia" w:ascii="宋体" w:hAnsi="宋体" w:eastAsia="宋体" w:cs="宋体"/>
        </w:rPr>
        <w:t>.</w:t>
      </w:r>
      <w:r>
        <w:rPr>
          <w:rFonts w:hint="eastAsia" w:ascii="宋体" w:hAnsi="宋体" w:eastAsia="宋体" w:cs="宋体"/>
          <w:lang w:val="en-US" w:eastAsia="zh-CN"/>
        </w:rPr>
        <w:t>12</w:t>
      </w:r>
      <w:r>
        <w:rPr>
          <w:rFonts w:hint="eastAsia" w:ascii="宋体" w:hAnsi="宋体" w:eastAsia="宋体" w:cs="宋体"/>
        </w:rPr>
        <w:t>.</w:t>
      </w:r>
      <w:r>
        <w:rPr>
          <w:rFonts w:hint="eastAsia" w:ascii="宋体" w:hAnsi="宋体" w:eastAsia="宋体" w:cs="宋体"/>
          <w:lang w:val="en-US" w:eastAsia="zh-CN"/>
        </w:rPr>
        <w:t>30</w:t>
      </w:r>
      <w:r>
        <w:rPr>
          <w:rFonts w:hint="eastAsia" w:ascii="宋体" w:hAnsi="宋体" w:eastAsia="宋体" w:cs="宋体"/>
        </w:rPr>
        <w:t>）</w:t>
      </w:r>
    </w:p>
    <w:p w14:paraId="7A375FE0">
      <w:pPr>
        <w:widowControl/>
        <w:rPr>
          <w:rFonts w:hint="eastAsia" w:ascii="宋体" w:hAnsi="宋体" w:eastAsia="宋体" w:cs="宋体"/>
        </w:rPr>
      </w:pPr>
      <w:r>
        <w:rPr>
          <w:rFonts w:hint="eastAsia" w:ascii="宋体" w:hAnsi="宋体" w:eastAsia="宋体" w:cs="宋体"/>
        </w:rPr>
        <w:t>《重庆市住房和城乡建设委员会关于进一步加强城市</w:t>
      </w:r>
      <w:r>
        <w:rPr>
          <w:rFonts w:hint="eastAsia" w:ascii="宋体" w:hAnsi="宋体" w:eastAsia="宋体" w:cs="宋体"/>
          <w:lang w:eastAsia="zh-CN"/>
        </w:rPr>
        <w:t>压力管</w:t>
      </w:r>
      <w:r>
        <w:rPr>
          <w:rFonts w:hint="eastAsia" w:ascii="宋体" w:hAnsi="宋体" w:eastAsia="宋体" w:cs="宋体"/>
        </w:rPr>
        <w:t>网工程建设质量管理工作的通知》（渝建发〔2019〕10号2019年4月3日）</w:t>
      </w:r>
    </w:p>
    <w:p w14:paraId="3965FD0D">
      <w:pPr>
        <w:widowControl/>
        <w:rPr>
          <w:rFonts w:hint="eastAsia" w:ascii="宋体" w:hAnsi="宋体" w:eastAsia="宋体" w:cs="宋体"/>
        </w:rPr>
      </w:pPr>
      <w:r>
        <w:rPr>
          <w:rFonts w:hint="eastAsia" w:ascii="宋体" w:hAnsi="宋体" w:eastAsia="宋体" w:cs="宋体"/>
        </w:rPr>
        <w:t>《重庆市房屋建筑和市政基础设施工程勘察设计变更管理办法（试行）》</w:t>
      </w:r>
    </w:p>
    <w:p w14:paraId="18A9AC20">
      <w:pPr>
        <w:pStyle w:val="3"/>
        <w:rPr>
          <w:rFonts w:hint="eastAsia" w:ascii="宋体" w:hAnsi="宋体" w:eastAsia="宋体" w:cs="宋体"/>
        </w:rPr>
      </w:pPr>
      <w:r>
        <w:rPr>
          <w:rFonts w:hint="eastAsia" w:ascii="宋体" w:hAnsi="宋体" w:eastAsia="宋体" w:cs="宋体"/>
        </w:rPr>
        <w:t>上阶段意见及执行情况</w:t>
      </w:r>
    </w:p>
    <w:p w14:paraId="085EC88F">
      <w:pPr>
        <w:rPr>
          <w:rFonts w:hint="eastAsia" w:eastAsia="宋体"/>
          <w:lang w:val="en-US" w:eastAsia="zh-CN"/>
        </w:rPr>
      </w:pPr>
      <w:r>
        <w:rPr>
          <w:rFonts w:hint="eastAsia" w:ascii="宋体" w:hAnsi="宋体" w:eastAsia="宋体" w:cs="宋体"/>
          <w:lang w:val="en-US" w:eastAsia="zh-CN"/>
        </w:rPr>
        <w:t>无</w:t>
      </w:r>
    </w:p>
    <w:p w14:paraId="7A3F728E">
      <w:pPr>
        <w:pStyle w:val="2"/>
        <w:rPr>
          <w:rFonts w:hint="eastAsia" w:ascii="宋体" w:hAnsi="宋体" w:eastAsia="宋体" w:cs="宋体"/>
        </w:rPr>
      </w:pPr>
      <w:r>
        <w:rPr>
          <w:rFonts w:hint="eastAsia" w:ascii="宋体" w:hAnsi="宋体" w:eastAsia="宋体" w:cs="宋体"/>
        </w:rPr>
        <w:t>建设条件分析</w:t>
      </w:r>
    </w:p>
    <w:p w14:paraId="6368B15C">
      <w:pPr>
        <w:widowControl/>
        <w:rPr>
          <w:rFonts w:ascii="宋体" w:hAnsi="宋体" w:eastAsia="宋体" w:cs="宋体"/>
        </w:rPr>
      </w:pPr>
      <w:r>
        <w:rPr>
          <w:rFonts w:ascii="宋体" w:hAnsi="宋体" w:eastAsia="宋体" w:cs="宋体"/>
          <w:highlight w:val="none"/>
        </w:rPr>
        <w:t>本工程</w:t>
      </w:r>
      <w:r>
        <w:rPr>
          <w:rFonts w:ascii="宋体" w:hAnsi="宋体" w:eastAsia="宋体" w:cs="宋体"/>
        </w:rPr>
        <w:t>属长江上游亚热带湿润季风气候区，四季分明，气候温和，降雨量充足，冬暖春早，初夏多雨，盛夏炎热，常伏旱，秋多连绵阴雨，无霜期长，雨量充足，风小湿度大，云雾多，日照少等特点，全区多年平均气温为17.8℃，极端最高温度为42.2℃，极端最低温度为-3℃，全区多年平均年降雨量为1065毫米，最大年降雨量1516.4毫米，最小年降雨量642.8毫米，全区多年平均年蒸发量为1127.8毫米，全区多年平均日照1250小时，多年平均无霜期315d，多年平均风速1.6米/s，多年平均最大风速8.73米/秒。</w:t>
      </w:r>
    </w:p>
    <w:p w14:paraId="16745E5A">
      <w:pPr>
        <w:widowControl/>
        <w:rPr>
          <w:rFonts w:hint="eastAsia" w:ascii="宋体" w:hAnsi="宋体" w:eastAsia="宋体" w:cs="宋体"/>
        </w:rPr>
      </w:pPr>
      <w:r>
        <w:rPr>
          <w:rFonts w:hint="eastAsia" w:ascii="宋体" w:hAnsi="宋体" w:eastAsia="宋体" w:cs="宋体"/>
        </w:rPr>
        <w:t>其中</w:t>
      </w:r>
      <w:r>
        <w:rPr>
          <w:rFonts w:ascii="宋体" w:hAnsi="宋体" w:eastAsia="宋体" w:cs="宋体"/>
        </w:rPr>
        <w:t>现状管网具体情况如下</w:t>
      </w:r>
      <w:r>
        <w:rPr>
          <w:rFonts w:hint="eastAsia" w:ascii="宋体" w:hAnsi="宋体" w:eastAsia="宋体" w:cs="宋体"/>
        </w:rPr>
        <w:t>：</w:t>
      </w:r>
    </w:p>
    <w:p w14:paraId="0CA808D2">
      <w:pPr>
        <w:rPr>
          <w:rFonts w:hint="eastAsia" w:ascii="宋体" w:hAnsi="宋体" w:eastAsia="宋体" w:cs="宋体"/>
          <w:lang w:val="en-US" w:eastAsia="zh-CN"/>
        </w:rPr>
      </w:pPr>
      <w:r>
        <w:rPr>
          <w:rFonts w:hint="eastAsia" w:ascii="宋体" w:hAnsi="宋体" w:eastAsia="宋体" w:cs="宋体"/>
          <w:lang w:val="en-US" w:eastAsia="zh-CN"/>
        </w:rPr>
        <w:t>319国道道路侧覆盖燃气、光缆等管网。</w:t>
      </w:r>
    </w:p>
    <w:p w14:paraId="25672A8C">
      <w:pPr>
        <w:pStyle w:val="2"/>
        <w:rPr>
          <w:rFonts w:hint="eastAsia" w:ascii="宋体" w:hAnsi="宋体" w:eastAsia="宋体" w:cs="宋体"/>
        </w:rPr>
      </w:pPr>
      <w:r>
        <w:rPr>
          <w:rFonts w:hint="eastAsia" w:ascii="宋体" w:hAnsi="宋体" w:eastAsia="宋体" w:cs="宋体"/>
        </w:rPr>
        <w:t>工程设计</w:t>
      </w:r>
    </w:p>
    <w:p w14:paraId="01D7F090">
      <w:pPr>
        <w:pStyle w:val="3"/>
        <w:rPr>
          <w:rFonts w:hint="eastAsia" w:ascii="宋体" w:hAnsi="宋体" w:eastAsia="宋体" w:cs="宋体"/>
        </w:rPr>
      </w:pPr>
      <w:r>
        <w:rPr>
          <w:rFonts w:hint="eastAsia" w:ascii="宋体" w:hAnsi="宋体" w:eastAsia="宋体" w:cs="宋体"/>
        </w:rPr>
        <w:t>设计原则</w:t>
      </w:r>
    </w:p>
    <w:p w14:paraId="54348486">
      <w:pPr>
        <w:widowControl/>
        <w:rPr>
          <w:rFonts w:hint="eastAsia" w:ascii="宋体" w:hAnsi="宋体" w:eastAsia="宋体" w:cs="宋体"/>
        </w:rPr>
      </w:pPr>
      <w:r>
        <w:rPr>
          <w:rFonts w:ascii="宋体" w:hAnsi="宋体" w:eastAsia="宋体" w:cs="宋体"/>
        </w:rPr>
        <w:t>（1）执行国家关于环境的保护政策，符合国家的有关法规、规范及标准；</w:t>
      </w:r>
    </w:p>
    <w:p w14:paraId="742CA323">
      <w:pPr>
        <w:widowControl/>
        <w:rPr>
          <w:rFonts w:hint="eastAsia" w:ascii="宋体" w:hAnsi="宋体" w:eastAsia="宋体" w:cs="宋体"/>
        </w:rPr>
      </w:pPr>
      <w:r>
        <w:rPr>
          <w:rFonts w:ascii="宋体" w:hAnsi="宋体" w:eastAsia="宋体" w:cs="宋体"/>
        </w:rPr>
        <w:t>（</w:t>
      </w:r>
      <w:r>
        <w:rPr>
          <w:rFonts w:hint="eastAsia" w:ascii="宋体" w:hAnsi="宋体" w:eastAsia="宋体" w:cs="宋体"/>
          <w:lang w:val="en-US" w:eastAsia="zh-CN"/>
        </w:rPr>
        <w:t>2</w:t>
      </w:r>
      <w:r>
        <w:rPr>
          <w:rFonts w:ascii="宋体" w:hAnsi="宋体" w:eastAsia="宋体" w:cs="宋体"/>
        </w:rPr>
        <w:t>）管线布置采用先人行道后车行道；检查检修频繁的管道优先布置于人行道上；重力管道优先布置。</w:t>
      </w:r>
    </w:p>
    <w:p w14:paraId="6F7B5BFD">
      <w:pPr>
        <w:widowControl/>
        <w:rPr>
          <w:rFonts w:hint="eastAsia" w:ascii="宋体" w:hAnsi="宋体" w:eastAsia="宋体" w:cs="宋体"/>
        </w:rPr>
      </w:pPr>
      <w:r>
        <w:rPr>
          <w:rFonts w:ascii="宋体" w:hAnsi="宋体" w:eastAsia="宋体" w:cs="宋体"/>
        </w:rPr>
        <w:t>（</w:t>
      </w:r>
      <w:r>
        <w:rPr>
          <w:rFonts w:hint="eastAsia" w:ascii="宋体" w:hAnsi="宋体" w:eastAsia="宋体" w:cs="宋体"/>
          <w:lang w:val="en-US" w:eastAsia="zh-CN"/>
        </w:rPr>
        <w:t>3</w:t>
      </w:r>
      <w:r>
        <w:rPr>
          <w:rFonts w:ascii="宋体" w:hAnsi="宋体" w:eastAsia="宋体" w:cs="宋体"/>
        </w:rPr>
        <w:t>）设计范围内，所有管线均下地埋设。</w:t>
      </w:r>
    </w:p>
    <w:p w14:paraId="6A84F6DD">
      <w:pPr>
        <w:widowControl/>
        <w:rPr>
          <w:rFonts w:hint="eastAsia" w:ascii="宋体" w:hAnsi="宋体" w:eastAsia="宋体" w:cs="宋体"/>
        </w:rPr>
      </w:pPr>
      <w:r>
        <w:rPr>
          <w:rFonts w:ascii="宋体" w:hAnsi="宋体" w:eastAsia="宋体" w:cs="宋体"/>
        </w:rPr>
        <w:t>（</w:t>
      </w:r>
      <w:r>
        <w:rPr>
          <w:rFonts w:hint="eastAsia" w:ascii="宋体" w:hAnsi="宋体" w:eastAsia="宋体" w:cs="宋体"/>
          <w:lang w:val="en-US" w:eastAsia="zh-CN"/>
        </w:rPr>
        <w:t>4</w:t>
      </w:r>
      <w:r>
        <w:rPr>
          <w:rFonts w:ascii="宋体" w:hAnsi="宋体" w:eastAsia="宋体" w:cs="宋体"/>
        </w:rPr>
        <w:t>）所有管线符合各管线设置的规范及埋深要求，相互间在平面及竖向不发生冲突，与道路构筑物不发生矛盾。</w:t>
      </w:r>
    </w:p>
    <w:p w14:paraId="09FF632A">
      <w:pPr>
        <w:widowControl/>
        <w:rPr>
          <w:rFonts w:hint="eastAsia" w:ascii="宋体" w:hAnsi="宋体" w:eastAsia="宋体" w:cs="宋体"/>
        </w:rPr>
      </w:pPr>
      <w:r>
        <w:rPr>
          <w:rFonts w:ascii="宋体" w:hAnsi="宋体" w:eastAsia="宋体" w:cs="宋体"/>
        </w:rPr>
        <w:t>（</w:t>
      </w:r>
      <w:r>
        <w:rPr>
          <w:rFonts w:hint="eastAsia" w:ascii="宋体" w:hAnsi="宋体" w:eastAsia="宋体" w:cs="宋体"/>
          <w:lang w:val="en-US" w:eastAsia="zh-CN"/>
        </w:rPr>
        <w:t>5</w:t>
      </w:r>
      <w:r>
        <w:rPr>
          <w:rFonts w:ascii="宋体" w:hAnsi="宋体" w:eastAsia="宋体" w:cs="宋体"/>
        </w:rPr>
        <w:t>）结合城市道路设计，在不妨碍工程管线正常运行、检修和合理占有土地的情况下，使路线简捷。</w:t>
      </w:r>
    </w:p>
    <w:p w14:paraId="258C04CC">
      <w:pPr>
        <w:widowControl/>
        <w:rPr>
          <w:rFonts w:hint="eastAsia" w:ascii="宋体" w:hAnsi="宋体" w:eastAsia="宋体" w:cs="宋体"/>
        </w:rPr>
      </w:pPr>
      <w:r>
        <w:rPr>
          <w:rFonts w:ascii="宋体" w:hAnsi="宋体" w:eastAsia="宋体" w:cs="宋体"/>
        </w:rPr>
        <w:t>（</w:t>
      </w:r>
      <w:r>
        <w:rPr>
          <w:rFonts w:hint="eastAsia" w:ascii="宋体" w:hAnsi="宋体" w:eastAsia="宋体" w:cs="宋体"/>
          <w:lang w:val="en-US" w:eastAsia="zh-CN"/>
        </w:rPr>
        <w:t>6</w:t>
      </w:r>
      <w:r>
        <w:rPr>
          <w:rFonts w:ascii="宋体" w:hAnsi="宋体" w:eastAsia="宋体" w:cs="宋体"/>
        </w:rPr>
        <w:t>）尽量减少管线在道路交叉口处交叉。当工程管线竖向位置发生矛盾时，宜按下列规定处理：</w:t>
      </w:r>
    </w:p>
    <w:p w14:paraId="07A0C4FA">
      <w:pPr>
        <w:widowControl/>
        <w:rPr>
          <w:rFonts w:hint="eastAsia" w:ascii="宋体" w:hAnsi="宋体" w:eastAsia="宋体" w:cs="宋体"/>
        </w:rPr>
      </w:pPr>
      <w:r>
        <w:rPr>
          <w:rFonts w:ascii="宋体" w:hAnsi="宋体" w:eastAsia="宋体" w:cs="宋体"/>
        </w:rPr>
        <w:t>①有压管让无压管，可弯曲管让不可弯曲管。</w:t>
      </w:r>
    </w:p>
    <w:p w14:paraId="3DB16D82">
      <w:pPr>
        <w:widowControl/>
        <w:rPr>
          <w:rFonts w:hint="eastAsia" w:ascii="宋体" w:hAnsi="宋体" w:eastAsia="宋体" w:cs="宋体"/>
        </w:rPr>
      </w:pPr>
      <w:r>
        <w:rPr>
          <w:rFonts w:ascii="宋体" w:hAnsi="宋体" w:eastAsia="宋体" w:cs="宋体"/>
        </w:rPr>
        <w:t>②支管线避让主管线；小管径管线让大管径管线。</w:t>
      </w:r>
    </w:p>
    <w:p w14:paraId="5AC2E107">
      <w:pPr>
        <w:widowControl/>
        <w:rPr>
          <w:rFonts w:hint="eastAsia" w:ascii="宋体" w:hAnsi="宋体" w:eastAsia="宋体" w:cs="宋体"/>
        </w:rPr>
      </w:pPr>
      <w:r>
        <w:rPr>
          <w:rFonts w:ascii="宋体" w:hAnsi="宋体" w:eastAsia="宋体" w:cs="宋体"/>
        </w:rPr>
        <w:t>③柔性结构管线让刚性结构管线。</w:t>
      </w:r>
    </w:p>
    <w:p w14:paraId="013FAA5B">
      <w:pPr>
        <w:widowControl/>
        <w:rPr>
          <w:rFonts w:hint="eastAsia" w:ascii="宋体" w:hAnsi="宋体" w:eastAsia="宋体" w:cs="宋体"/>
        </w:rPr>
      </w:pPr>
      <w:r>
        <w:rPr>
          <w:rFonts w:ascii="宋体" w:hAnsi="宋体" w:eastAsia="宋体" w:cs="宋体"/>
        </w:rPr>
        <w:t>④污水管与生活给水管相交时，污水管敷设在生活给水管下面。</w:t>
      </w:r>
    </w:p>
    <w:p w14:paraId="2DB9C93D">
      <w:pPr>
        <w:pStyle w:val="3"/>
        <w:rPr>
          <w:rFonts w:hint="eastAsia" w:ascii="宋体" w:hAnsi="宋体" w:eastAsia="宋体" w:cs="宋体"/>
        </w:rPr>
      </w:pPr>
      <w:r>
        <w:rPr>
          <w:rFonts w:hint="eastAsia" w:ascii="宋体" w:hAnsi="宋体" w:eastAsia="宋体" w:cs="宋体"/>
        </w:rPr>
        <w:t>防水设计要求</w:t>
      </w:r>
    </w:p>
    <w:p w14:paraId="4B6A07DF">
      <w:pPr>
        <w:widowControl/>
        <w:rPr>
          <w:rFonts w:hint="eastAsia" w:ascii="宋体" w:hAnsi="宋体" w:eastAsia="宋体" w:cs="宋体"/>
        </w:rPr>
      </w:pPr>
      <w:r>
        <w:rPr>
          <w:rFonts w:hint="eastAsia" w:ascii="宋体" w:hAnsi="宋体" w:eastAsia="宋体" w:cs="宋体"/>
        </w:rPr>
        <w:t>①防水设计原则：</w:t>
      </w:r>
    </w:p>
    <w:p w14:paraId="3DBCC044">
      <w:pPr>
        <w:widowControl/>
        <w:rPr>
          <w:rFonts w:hint="eastAsia" w:ascii="宋体" w:hAnsi="宋体" w:eastAsia="宋体" w:cs="宋体"/>
        </w:rPr>
      </w:pPr>
      <w:r>
        <w:rPr>
          <w:rFonts w:hint="eastAsia" w:ascii="宋体" w:hAnsi="宋体" w:eastAsia="宋体" w:cs="宋体"/>
        </w:rPr>
        <w:t>功能性：防水设计应满足构筑物的使用功能，确保在各种环境下都能保持防水性能。</w:t>
      </w:r>
    </w:p>
    <w:p w14:paraId="0D28CAC5">
      <w:pPr>
        <w:widowControl/>
        <w:rPr>
          <w:rFonts w:hint="eastAsia" w:ascii="宋体" w:hAnsi="宋体" w:eastAsia="宋体" w:cs="宋体"/>
        </w:rPr>
      </w:pPr>
      <w:r>
        <w:rPr>
          <w:rFonts w:hint="eastAsia" w:ascii="宋体" w:hAnsi="宋体" w:eastAsia="宋体" w:cs="宋体"/>
        </w:rPr>
        <w:t>耐久性：选用的防水材料应具有良好的耐久性和抗老化性能，能够适应长期的使用和环境的变化。</w:t>
      </w:r>
    </w:p>
    <w:p w14:paraId="70F7A7C7">
      <w:pPr>
        <w:widowControl/>
        <w:rPr>
          <w:rFonts w:hint="eastAsia" w:ascii="宋体" w:hAnsi="宋体" w:eastAsia="宋体" w:cs="宋体"/>
        </w:rPr>
      </w:pPr>
      <w:r>
        <w:rPr>
          <w:rFonts w:hint="eastAsia" w:ascii="宋体" w:hAnsi="宋体" w:eastAsia="宋体" w:cs="宋体"/>
        </w:rPr>
        <w:t>经济性：在保证防水质量的前提下，尽量降低材料成本和施工费用，提高经济效益。</w:t>
      </w:r>
    </w:p>
    <w:p w14:paraId="67EC70AE">
      <w:pPr>
        <w:widowControl/>
        <w:rPr>
          <w:rFonts w:hint="eastAsia" w:ascii="宋体" w:hAnsi="宋体" w:eastAsia="宋体" w:cs="宋体"/>
        </w:rPr>
      </w:pPr>
      <w:r>
        <w:rPr>
          <w:rFonts w:hint="eastAsia" w:ascii="宋体" w:hAnsi="宋体" w:eastAsia="宋体" w:cs="宋体"/>
        </w:rPr>
        <w:t>②防水材料选择：</w:t>
      </w:r>
    </w:p>
    <w:p w14:paraId="74ABB8EC">
      <w:pPr>
        <w:widowControl/>
        <w:rPr>
          <w:rFonts w:hint="eastAsia" w:ascii="宋体" w:hAnsi="宋体" w:eastAsia="宋体" w:cs="宋体"/>
        </w:rPr>
      </w:pPr>
      <w:r>
        <w:rPr>
          <w:rFonts w:ascii="宋体" w:hAnsi="宋体" w:eastAsia="宋体" w:cs="宋体"/>
        </w:rPr>
        <w:t>防水卷材：如自粘聚合物改性沥青防水卷材、MAC沥青基高分子橡胶复合防水卷材等，具有优异的防水性能和粘结性能。</w:t>
      </w:r>
    </w:p>
    <w:p w14:paraId="7AE21D48">
      <w:pPr>
        <w:widowControl/>
        <w:rPr>
          <w:rFonts w:hint="eastAsia" w:ascii="宋体" w:hAnsi="宋体" w:eastAsia="宋体" w:cs="宋体"/>
        </w:rPr>
      </w:pPr>
      <w:r>
        <w:rPr>
          <w:rFonts w:ascii="宋体" w:hAnsi="宋体" w:eastAsia="宋体" w:cs="宋体"/>
        </w:rPr>
        <w:t>防水涂料：如柔韧型防水浆料等，具有良好的柔韧性和延伸性能，能够适应构筑物的变形。</w:t>
      </w:r>
    </w:p>
    <w:p w14:paraId="4F8A548F">
      <w:pPr>
        <w:widowControl/>
        <w:rPr>
          <w:rFonts w:hint="eastAsia" w:ascii="宋体" w:hAnsi="宋体" w:eastAsia="宋体" w:cs="宋体"/>
        </w:rPr>
      </w:pPr>
      <w:r>
        <w:rPr>
          <w:rFonts w:ascii="宋体" w:hAnsi="宋体" w:eastAsia="宋体" w:cs="宋体"/>
        </w:rPr>
        <w:t>止水材料：如橡胶止水带、钢边橡胶止水带等，用于变形缝、施工缝等部位的防水处理。</w:t>
      </w:r>
    </w:p>
    <w:p w14:paraId="08DAC01A">
      <w:pPr>
        <w:widowControl/>
        <w:rPr>
          <w:rFonts w:hint="eastAsia" w:ascii="宋体" w:hAnsi="宋体" w:eastAsia="宋体" w:cs="宋体"/>
        </w:rPr>
      </w:pPr>
      <w:r>
        <w:rPr>
          <w:rFonts w:hint="eastAsia" w:ascii="宋体" w:hAnsi="宋体" w:eastAsia="宋体" w:cs="宋体"/>
        </w:rPr>
        <w:t>③防水构造措施：</w:t>
      </w:r>
    </w:p>
    <w:p w14:paraId="4B086A3B">
      <w:pPr>
        <w:widowControl/>
        <w:rPr>
          <w:rFonts w:hint="eastAsia" w:ascii="宋体" w:hAnsi="宋体" w:eastAsia="宋体" w:cs="宋体"/>
        </w:rPr>
      </w:pPr>
      <w:r>
        <w:rPr>
          <w:rFonts w:ascii="宋体" w:hAnsi="宋体" w:eastAsia="宋体" w:cs="宋体"/>
        </w:rPr>
        <w:t>底板防水：在底板表面铺设防水卷材或涂刷防水涂料，形成连续的防水层。对于重要构筑物，可采用双层防水构造。</w:t>
      </w:r>
    </w:p>
    <w:p w14:paraId="1CE02989">
      <w:pPr>
        <w:widowControl/>
        <w:rPr>
          <w:rFonts w:hint="eastAsia" w:ascii="宋体" w:hAnsi="宋体" w:eastAsia="宋体" w:cs="宋体"/>
        </w:rPr>
      </w:pPr>
      <w:r>
        <w:rPr>
          <w:rFonts w:ascii="宋体" w:hAnsi="宋体" w:eastAsia="宋体" w:cs="宋体"/>
        </w:rPr>
        <w:t>侧墙防水：侧墙防水层应与底板防水层连续相接，确保无渗漏。侧墙可采用防水卷材或防水涂料进行防水处理，也可采用防水混凝土进行浇筑。</w:t>
      </w:r>
    </w:p>
    <w:p w14:paraId="5EA626EA">
      <w:pPr>
        <w:widowControl/>
        <w:rPr>
          <w:rFonts w:hint="eastAsia" w:ascii="宋体" w:hAnsi="宋体" w:eastAsia="宋体" w:cs="宋体"/>
        </w:rPr>
      </w:pPr>
      <w:r>
        <w:rPr>
          <w:rFonts w:ascii="宋体" w:hAnsi="宋体" w:eastAsia="宋体" w:cs="宋体"/>
        </w:rPr>
        <w:t>变形缝防水：变形缝处应设置复合防水构造，如采用钢边橡胶止水带、背贴式止水带等，并结合外贴防水层进行防水处理。同时，变形缝两侧应设置排水设施，确保积水能够及时排出。</w:t>
      </w:r>
    </w:p>
    <w:p w14:paraId="272FB70D">
      <w:pPr>
        <w:widowControl/>
        <w:rPr>
          <w:rFonts w:hint="eastAsia" w:ascii="宋体" w:hAnsi="宋体" w:eastAsia="宋体" w:cs="宋体"/>
        </w:rPr>
      </w:pPr>
      <w:r>
        <w:rPr>
          <w:rFonts w:ascii="宋体" w:hAnsi="宋体" w:eastAsia="宋体" w:cs="宋体"/>
        </w:rPr>
        <w:t>施工缝防水：施工缝处应设置止水带或止水条，并采用密封材料进行封堵。在浇筑混凝土前，应清除施工缝表面的浮浆和杂物，确保混凝土与防水层的粘结性能。</w:t>
      </w:r>
    </w:p>
    <w:p w14:paraId="6C8E319B">
      <w:pPr>
        <w:widowControl/>
        <w:rPr>
          <w:rFonts w:hint="eastAsia" w:ascii="宋体" w:hAnsi="宋体" w:eastAsia="宋体" w:cs="宋体"/>
        </w:rPr>
      </w:pPr>
      <w:r>
        <w:rPr>
          <w:rFonts w:hint="eastAsia" w:ascii="宋体" w:hAnsi="宋体" w:eastAsia="宋体" w:cs="宋体"/>
        </w:rPr>
        <w:t>④防水施工注意事项：</w:t>
      </w:r>
    </w:p>
    <w:p w14:paraId="2611F6E1">
      <w:pPr>
        <w:widowControl/>
        <w:rPr>
          <w:rFonts w:hint="eastAsia" w:ascii="宋体" w:hAnsi="宋体" w:eastAsia="宋体" w:cs="宋体"/>
        </w:rPr>
      </w:pPr>
      <w:r>
        <w:rPr>
          <w:rFonts w:hint="eastAsia" w:ascii="宋体" w:hAnsi="宋体" w:eastAsia="宋体" w:cs="宋体"/>
        </w:rPr>
        <w:t>材料保护：在运输和储存防水材料时，应采取保护措施，避免油污、阳光直射等不利因素对材料的影响。</w:t>
      </w:r>
    </w:p>
    <w:p w14:paraId="1A38DB0D">
      <w:pPr>
        <w:widowControl/>
        <w:rPr>
          <w:rFonts w:hint="eastAsia" w:ascii="宋体" w:hAnsi="宋体" w:eastAsia="宋体" w:cs="宋体"/>
        </w:rPr>
      </w:pPr>
      <w:r>
        <w:rPr>
          <w:rFonts w:hint="eastAsia" w:ascii="宋体" w:hAnsi="宋体" w:eastAsia="宋体" w:cs="宋体"/>
        </w:rPr>
        <w:t>基层处理：防水施工前，应对基层进行清理和处理，确保基层平整、干燥、无油污和杂物。</w:t>
      </w:r>
    </w:p>
    <w:p w14:paraId="123835E0">
      <w:pPr>
        <w:widowControl/>
        <w:rPr>
          <w:rFonts w:hint="eastAsia" w:ascii="宋体" w:hAnsi="宋体" w:eastAsia="宋体" w:cs="宋体"/>
        </w:rPr>
      </w:pPr>
      <w:r>
        <w:rPr>
          <w:rFonts w:hint="eastAsia" w:ascii="宋体" w:hAnsi="宋体" w:eastAsia="宋体" w:cs="宋体"/>
        </w:rPr>
        <w:t>施工工艺：防水施工应严格按照施工工艺要求进行，确保防水层的连续性和完整性。在涂刷防水涂料或铺设防水卷材时，应注意涂刷或铺设的均匀性和厚度。</w:t>
      </w:r>
    </w:p>
    <w:p w14:paraId="1177960A">
      <w:pPr>
        <w:widowControl/>
        <w:rPr>
          <w:rFonts w:hint="eastAsia" w:ascii="宋体" w:hAnsi="宋体" w:eastAsia="宋体" w:cs="宋体"/>
        </w:rPr>
      </w:pPr>
      <w:r>
        <w:rPr>
          <w:rFonts w:hint="eastAsia" w:ascii="宋体" w:hAnsi="宋体" w:eastAsia="宋体" w:cs="宋体"/>
        </w:rPr>
        <w:t>质量检查：防水施工完成后，应进行质量检查，确保防水层无破损、漏涂等现象。对于发现的问题，应及时进行修补和处理。</w:t>
      </w:r>
    </w:p>
    <w:p w14:paraId="33C3B1EF">
      <w:pPr>
        <w:pStyle w:val="3"/>
        <w:rPr>
          <w:rFonts w:hint="eastAsia" w:ascii="宋体" w:hAnsi="宋体" w:eastAsia="宋体" w:cs="宋体"/>
        </w:rPr>
      </w:pPr>
      <w:r>
        <w:rPr>
          <w:rFonts w:hint="eastAsia" w:ascii="宋体" w:hAnsi="宋体" w:eastAsia="宋体" w:cs="宋体"/>
        </w:rPr>
        <w:t>现状综合管线迁改与保护</w:t>
      </w:r>
    </w:p>
    <w:p w14:paraId="758DEF6B">
      <w:pPr>
        <w:widowControl/>
        <w:rPr>
          <w:rFonts w:hint="eastAsia" w:ascii="宋体" w:hAnsi="宋体" w:eastAsia="宋体" w:cs="宋体"/>
        </w:rPr>
      </w:pPr>
      <w:r>
        <w:rPr>
          <w:rFonts w:hint="eastAsia" w:ascii="宋体" w:hAnsi="宋体" w:eastAsia="宋体" w:cs="宋体"/>
        </w:rPr>
        <w:t>区域内道路下现状综合管线（燃气、电力等）错综复杂，对本次新建</w:t>
      </w:r>
      <w:r>
        <w:rPr>
          <w:rFonts w:hint="eastAsia" w:ascii="宋体" w:hAnsi="宋体" w:eastAsia="宋体" w:cs="宋体"/>
          <w:lang w:val="en-US" w:eastAsia="zh-CN"/>
        </w:rPr>
        <w:t>压力</w:t>
      </w:r>
      <w:r>
        <w:rPr>
          <w:rFonts w:hint="eastAsia" w:ascii="宋体" w:hAnsi="宋体" w:eastAsia="宋体" w:cs="宋体"/>
        </w:rPr>
        <w:t>管道的实施影响较大。本次设计新建</w:t>
      </w:r>
      <w:r>
        <w:rPr>
          <w:rFonts w:hint="eastAsia" w:ascii="宋体" w:hAnsi="宋体" w:eastAsia="宋体" w:cs="宋体"/>
          <w:lang w:val="en-US" w:eastAsia="zh-CN"/>
        </w:rPr>
        <w:t>压力</w:t>
      </w:r>
      <w:r>
        <w:rPr>
          <w:rFonts w:hint="eastAsia" w:ascii="宋体" w:hAnsi="宋体" w:eastAsia="宋体" w:cs="宋体"/>
        </w:rPr>
        <w:t>管道的管位已根据现状综合管线物探资料尽量避开现状综合管线，但管道开挖断面将对部分现状综合管线产生影响。</w:t>
      </w:r>
      <w:r>
        <w:rPr>
          <w:rFonts w:hint="eastAsia" w:ascii="宋体" w:hAnsi="宋体" w:eastAsia="宋体" w:cs="宋体"/>
          <w:lang w:val="en-US" w:eastAsia="zh-CN"/>
        </w:rPr>
        <w:t>对新建管道开挖范围内现状管线进行保护，</w:t>
      </w:r>
      <w:r>
        <w:rPr>
          <w:rFonts w:hint="eastAsia" w:ascii="宋体" w:hAnsi="宋体" w:eastAsia="宋体" w:cs="宋体"/>
        </w:rPr>
        <w:t>施工时，施工方需根据沟槽开挖断面的具体宽度来确定受影响的现状综合管线临时迁改或保护的措施及其工程量，优先选择临时支撑保护；若因影响施工作业而需迁改现状综合管线，需在临时迁改新通道建设完毕之前，保证原通道工作畅通，不影响周边市政水、电、气的供应。受影响现状管线保护时，覆土不足0.7m的PE材质或球墨铸铁材质的给水、燃气压力管线，需加设钢套管（钢管管径放大一级，沿管中心线切开、卡箍合拢、两端管口用沥青板及用浸过沥青的麻絮堵严）。</w:t>
      </w:r>
    </w:p>
    <w:p w14:paraId="6126D4A7">
      <w:pPr>
        <w:widowControl/>
        <w:rPr>
          <w:rFonts w:hint="eastAsia" w:ascii="宋体" w:hAnsi="宋体" w:eastAsia="宋体" w:cs="宋体"/>
        </w:rPr>
      </w:pPr>
      <w:r>
        <w:rPr>
          <w:rFonts w:hint="eastAsia" w:ascii="宋体" w:hAnsi="宋体" w:eastAsia="宋体" w:cs="宋体"/>
        </w:rPr>
        <w:t>另外，新建</w:t>
      </w:r>
      <w:r>
        <w:rPr>
          <w:rFonts w:hint="eastAsia" w:ascii="宋体" w:hAnsi="宋体" w:eastAsia="宋体" w:cs="宋体"/>
          <w:lang w:val="en-US" w:eastAsia="zh-CN"/>
        </w:rPr>
        <w:t>压力</w:t>
      </w:r>
      <w:r>
        <w:rPr>
          <w:rFonts w:hint="eastAsia" w:ascii="宋体" w:hAnsi="宋体" w:eastAsia="宋体" w:cs="宋体"/>
        </w:rPr>
        <w:t>管道实施过程中，若遇到现状管线检查井、消火栓、阀门井等需要临时迁改或破坏，则在管道实施完毕后，需对现状井做原样恢复。</w:t>
      </w:r>
    </w:p>
    <w:p w14:paraId="29B90361">
      <w:pPr>
        <w:widowControl/>
        <w:rPr>
          <w:rFonts w:hint="eastAsia" w:ascii="宋体" w:hAnsi="宋体" w:eastAsia="宋体" w:cs="宋体"/>
        </w:rPr>
      </w:pPr>
      <w:r>
        <w:rPr>
          <w:rFonts w:hint="eastAsia" w:ascii="宋体" w:hAnsi="宋体" w:eastAsia="宋体" w:cs="宋体"/>
        </w:rPr>
        <w:t>本次设计仅统计现状综合管线迁改与保护工程量，具体迁改与保护方案由施工方根据沟槽开挖具体情况制定，迁改与保护方案需经过建设方、监理方、设计单位、管线权属单位的认可后方可实施。</w:t>
      </w:r>
    </w:p>
    <w:p w14:paraId="39C36B9E">
      <w:pPr>
        <w:pStyle w:val="3"/>
        <w:rPr>
          <w:rFonts w:hint="eastAsia" w:ascii="宋体" w:hAnsi="宋体" w:eastAsia="宋体" w:cs="宋体"/>
        </w:rPr>
      </w:pPr>
      <w:r>
        <w:rPr>
          <w:rFonts w:hint="eastAsia" w:ascii="宋体" w:hAnsi="宋体" w:eastAsia="宋体" w:cs="宋体"/>
          <w:lang w:val="en-US" w:eastAsia="zh-CN"/>
        </w:rPr>
        <w:t>给</w:t>
      </w:r>
      <w:r>
        <w:rPr>
          <w:rFonts w:hint="eastAsia" w:ascii="宋体" w:hAnsi="宋体" w:eastAsia="宋体" w:cs="宋体"/>
        </w:rPr>
        <w:t>水设计标准及基本参数</w:t>
      </w:r>
    </w:p>
    <w:p w14:paraId="19045BE6">
      <w:pPr>
        <w:pStyle w:val="4"/>
        <w:ind w:firstLine="560" w:firstLineChars="200"/>
        <w:rPr>
          <w:rFonts w:hint="eastAsia" w:ascii="宋体" w:hAnsi="宋体" w:eastAsia="宋体" w:cs="宋体"/>
        </w:rPr>
      </w:pPr>
      <w:r>
        <w:rPr>
          <w:rFonts w:hint="eastAsia" w:ascii="宋体" w:hAnsi="宋体" w:eastAsia="宋体" w:cs="宋体"/>
        </w:rPr>
        <w:t>设计年限</w:t>
      </w:r>
    </w:p>
    <w:p w14:paraId="574655AE">
      <w:pPr>
        <w:widowControl/>
        <w:rPr>
          <w:rFonts w:hint="eastAsia" w:ascii="宋体" w:hAnsi="宋体" w:eastAsia="宋体" w:cs="宋体"/>
        </w:rPr>
      </w:pPr>
      <w:r>
        <w:rPr>
          <w:rFonts w:hint="eastAsia" w:ascii="宋体" w:hAnsi="宋体" w:eastAsia="宋体" w:cs="宋体"/>
        </w:rPr>
        <w:t>本工程为永久性市政排水工程设计，系统规模均按远期设计。</w:t>
      </w:r>
    </w:p>
    <w:p w14:paraId="5D7A3893">
      <w:pPr>
        <w:pStyle w:val="4"/>
        <w:ind w:firstLine="560" w:firstLineChars="200"/>
        <w:rPr>
          <w:rFonts w:hint="eastAsia" w:ascii="宋体" w:hAnsi="宋体" w:eastAsia="宋体" w:cs="宋体"/>
        </w:rPr>
      </w:pPr>
      <w:r>
        <w:rPr>
          <w:rFonts w:hint="eastAsia" w:ascii="宋体" w:hAnsi="宋体" w:eastAsia="宋体" w:cs="宋体"/>
        </w:rPr>
        <w:t>设计规模</w:t>
      </w:r>
    </w:p>
    <w:p w14:paraId="10D3FEE4">
      <w:pPr>
        <w:widowControl/>
        <w:rPr>
          <w:rFonts w:hint="default" w:ascii="宋体" w:hAnsi="宋体" w:eastAsia="宋体" w:cs="宋体"/>
          <w:lang w:val="en-US" w:eastAsia="zh-CN"/>
        </w:rPr>
      </w:pPr>
      <w:r>
        <w:rPr>
          <w:rFonts w:hint="eastAsia" w:ascii="宋体" w:hAnsi="宋体" w:eastAsia="宋体" w:cs="宋体"/>
        </w:rPr>
        <w:t>污水</w:t>
      </w:r>
      <w:r>
        <w:rPr>
          <w:rFonts w:hint="eastAsia" w:ascii="宋体" w:hAnsi="宋体" w:eastAsia="宋体" w:cs="宋体"/>
          <w:lang w:val="en-US" w:eastAsia="zh-CN"/>
        </w:rPr>
        <w:t>根据蒲元固废场远期规模及蒲元污水处理场远期规模设计。</w:t>
      </w:r>
    </w:p>
    <w:p w14:paraId="2FE62C06">
      <w:pPr>
        <w:pStyle w:val="4"/>
        <w:ind w:firstLine="560" w:firstLineChars="200"/>
        <w:rPr>
          <w:rFonts w:hint="eastAsia" w:ascii="宋体" w:hAnsi="宋体" w:eastAsia="宋体" w:cs="宋体"/>
        </w:rPr>
      </w:pPr>
      <w:r>
        <w:rPr>
          <w:rFonts w:hint="eastAsia" w:ascii="宋体" w:hAnsi="宋体" w:eastAsia="宋体" w:cs="宋体"/>
        </w:rPr>
        <w:t>基本设计参数</w:t>
      </w:r>
    </w:p>
    <w:p w14:paraId="117A6E5E">
      <w:pPr>
        <w:widowControl/>
        <w:rPr>
          <w:rFonts w:hint="eastAsia" w:ascii="宋体" w:hAnsi="宋体" w:eastAsia="宋体" w:cs="宋体"/>
        </w:rPr>
      </w:pPr>
      <w:r>
        <w:rPr>
          <w:rFonts w:hint="eastAsia" w:ascii="宋体" w:hAnsi="宋体" w:eastAsia="宋体" w:cs="宋体"/>
        </w:rPr>
        <w:t>本工程设计中充分利用水头，尽可能减小管径，节省投资。根据选用管材和充分利用水头差，</w:t>
      </w:r>
      <w:r>
        <w:rPr>
          <w:rFonts w:hint="eastAsia" w:ascii="宋体" w:hAnsi="宋体" w:eastAsia="宋体" w:cs="宋体"/>
          <w:lang w:val="en-US" w:eastAsia="zh-CN"/>
        </w:rPr>
        <w:t>主要管道</w:t>
      </w:r>
      <w:r>
        <w:rPr>
          <w:rFonts w:hint="eastAsia" w:ascii="宋体" w:hAnsi="宋体" w:eastAsia="宋体" w:cs="宋体"/>
        </w:rPr>
        <w:t>流速控制在1.5m/s左右。</w:t>
      </w:r>
    </w:p>
    <w:p w14:paraId="6054B5D5">
      <w:pPr>
        <w:widowControl/>
        <w:rPr>
          <w:rFonts w:hint="eastAsia" w:ascii="宋体" w:hAnsi="宋体" w:eastAsia="宋体" w:cs="宋体"/>
        </w:rPr>
      </w:pPr>
      <w:r>
        <w:rPr>
          <w:rFonts w:hint="eastAsia" w:ascii="宋体" w:hAnsi="宋体" w:eastAsia="宋体" w:cs="宋体"/>
        </w:rPr>
        <w:t>输水管管径用下式计算：</w:t>
      </w:r>
    </w:p>
    <w:p w14:paraId="2946A003">
      <w:pPr>
        <w:spacing w:line="480" w:lineRule="auto"/>
        <w:ind w:firstLine="628" w:firstLineChars="262"/>
        <w:jc w:val="left"/>
        <w:rPr>
          <w:rFonts w:hint="eastAsia" w:ascii="宋体" w:hAnsi="宋体" w:eastAsia="宋体" w:cs="宋体"/>
          <w:bCs/>
          <w:sz w:val="24"/>
          <w:szCs w:val="24"/>
        </w:rPr>
      </w:pPr>
      <w:r>
        <w:rPr>
          <w:rFonts w:hint="eastAsia" w:ascii="宋体" w:hAnsi="宋体" w:eastAsia="宋体" w:cs="宋体"/>
          <w:bCs/>
          <w:sz w:val="24"/>
          <w:szCs w:val="24"/>
        </w:rPr>
        <w:drawing>
          <wp:inline distT="0" distB="0" distL="114300" distR="114300">
            <wp:extent cx="885825" cy="3810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885825" cy="381000"/>
                    </a:xfrm>
                    <a:prstGeom prst="rect">
                      <a:avLst/>
                    </a:prstGeom>
                    <a:noFill/>
                    <a:ln>
                      <a:noFill/>
                    </a:ln>
                  </pic:spPr>
                </pic:pic>
              </a:graphicData>
            </a:graphic>
          </wp:inline>
        </w:drawing>
      </w:r>
      <w:r>
        <w:rPr>
          <w:rFonts w:hint="eastAsia" w:ascii="宋体" w:hAnsi="宋体" w:eastAsia="宋体" w:cs="宋体"/>
          <w:bCs/>
          <w:sz w:val="24"/>
          <w:szCs w:val="24"/>
        </w:rPr>
        <w:t xml:space="preserve"> </w:t>
      </w:r>
    </w:p>
    <w:p w14:paraId="59C895F1">
      <w:pPr>
        <w:widowControl/>
        <w:rPr>
          <w:rFonts w:hint="eastAsia" w:ascii="宋体" w:hAnsi="宋体" w:eastAsia="宋体" w:cs="宋体"/>
        </w:rPr>
      </w:pPr>
      <w:r>
        <w:rPr>
          <w:rFonts w:hint="eastAsia" w:ascii="宋体" w:hAnsi="宋体" w:eastAsia="宋体" w:cs="宋体"/>
        </w:rPr>
        <w:t>式中，D—输水管内径（m）， Q—设计输水流量（m3/s），V—流速（m/s）</w:t>
      </w:r>
    </w:p>
    <w:p w14:paraId="159DCA25">
      <w:pPr>
        <w:pStyle w:val="3"/>
        <w:rPr>
          <w:rFonts w:hint="eastAsia" w:ascii="宋体" w:hAnsi="宋体" w:eastAsia="宋体" w:cs="宋体"/>
        </w:rPr>
      </w:pPr>
      <w:r>
        <w:rPr>
          <w:rFonts w:hint="eastAsia" w:ascii="宋体" w:hAnsi="宋体" w:eastAsia="宋体" w:cs="宋体"/>
        </w:rPr>
        <w:t>污水工程</w:t>
      </w:r>
    </w:p>
    <w:p w14:paraId="6160B9B7">
      <w:pPr>
        <w:pStyle w:val="4"/>
        <w:ind w:firstLine="560" w:firstLineChars="200"/>
        <w:rPr>
          <w:rFonts w:hint="eastAsia" w:ascii="宋体" w:hAnsi="宋体" w:eastAsia="宋体" w:cs="宋体"/>
        </w:rPr>
      </w:pPr>
      <w:r>
        <w:rPr>
          <w:rFonts w:hint="eastAsia" w:ascii="宋体" w:hAnsi="宋体" w:eastAsia="宋体" w:cs="宋体"/>
          <w:lang w:val="en-US" w:eastAsia="zh-CN"/>
        </w:rPr>
        <w:t>平差</w:t>
      </w:r>
      <w:r>
        <w:rPr>
          <w:rFonts w:hint="eastAsia" w:ascii="宋体" w:hAnsi="宋体" w:eastAsia="宋体" w:cs="宋体"/>
        </w:rPr>
        <w:t>计算</w:t>
      </w:r>
    </w:p>
    <w:p w14:paraId="6FC16F6F">
      <w:pPr>
        <w:spacing w:line="360" w:lineRule="auto"/>
        <w:ind w:firstLine="560" w:firstLineChars="200"/>
        <w:rPr>
          <w:rFonts w:hint="eastAsia" w:ascii="宋体" w:hAnsi="宋体" w:eastAsia="宋体" w:cs="宋体"/>
          <w:lang w:val="en-US" w:eastAsia="zh-CN"/>
        </w:rPr>
      </w:pPr>
      <w:r>
        <w:rPr>
          <w:rFonts w:hint="eastAsia" w:ascii="宋体" w:hAnsi="宋体" w:eastAsia="宋体" w:cs="宋体"/>
          <w:lang w:val="en-US" w:eastAsia="zh-CN"/>
        </w:rPr>
        <w:t>根据业主提供资料，通过对绿色低碳材料产业园污水进行平差计算，在最不利状况、事故状态和消防要求的情况下进行平差。本次污水全部承接排出污水130m³/d。</w:t>
      </w:r>
    </w:p>
    <w:p w14:paraId="086ABA73">
      <w:pPr>
        <w:pStyle w:val="11"/>
        <w:keepNext/>
        <w:rPr>
          <w:rFonts w:hint="eastAsia" w:ascii="宋体" w:hAnsi="宋体" w:cs="宋体"/>
        </w:rPr>
      </w:pPr>
      <w:r>
        <w:rPr>
          <w:rFonts w:hint="eastAsia" w:ascii="宋体" w:hAnsi="宋体" w:cs="宋体"/>
        </w:rPr>
        <w:t>水力</w:t>
      </w:r>
      <w:r>
        <w:rPr>
          <w:rFonts w:hint="eastAsia" w:ascii="宋体" w:hAnsi="宋体" w:cs="宋体"/>
          <w:lang w:val="en-US" w:eastAsia="zh-CN"/>
        </w:rPr>
        <w:t>平差</w:t>
      </w:r>
      <w:r>
        <w:rPr>
          <w:rFonts w:hint="eastAsia" w:ascii="宋体" w:hAnsi="宋体" w:cs="宋体"/>
        </w:rPr>
        <w:t>计算表</w:t>
      </w:r>
    </w:p>
    <w:tbl>
      <w:tblPr>
        <w:tblStyle w:val="3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48"/>
        <w:gridCol w:w="548"/>
        <w:gridCol w:w="674"/>
        <w:gridCol w:w="1098"/>
        <w:gridCol w:w="125"/>
        <w:gridCol w:w="1224"/>
        <w:gridCol w:w="714"/>
        <w:gridCol w:w="634"/>
        <w:gridCol w:w="1304"/>
        <w:gridCol w:w="297"/>
        <w:gridCol w:w="1601"/>
        <w:gridCol w:w="4"/>
      </w:tblGrid>
      <w:tr w14:paraId="6E768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7CD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节点编号</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C86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流量(L/s)</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130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地面标高(m)</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DCD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节点水压(m)</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E0F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自由水头(m)</w:t>
            </w:r>
          </w:p>
        </w:tc>
      </w:tr>
      <w:tr w14:paraId="7AF5F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E9D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JSFM1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5C0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466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377.425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E44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380.000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938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2.575</w:t>
            </w:r>
          </w:p>
        </w:tc>
      </w:tr>
      <w:tr w14:paraId="0B213C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7CD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27B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228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371.282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369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379.883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1F0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8.601</w:t>
            </w:r>
          </w:p>
        </w:tc>
      </w:tr>
      <w:tr w14:paraId="6B006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49D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783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AD7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367.571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287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379.810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8B5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12.239</w:t>
            </w:r>
          </w:p>
        </w:tc>
      </w:tr>
      <w:tr w14:paraId="55FA3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EF8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AB1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DF2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367.607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675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379.589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297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11.982</w:t>
            </w:r>
          </w:p>
        </w:tc>
      </w:tr>
      <w:tr w14:paraId="7653C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C69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AA7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EEF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366.660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455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379.418</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F2A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12.758</w:t>
            </w:r>
          </w:p>
        </w:tc>
      </w:tr>
      <w:tr w14:paraId="7B8D4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97D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F25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FBE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366.364</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D7B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379.345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3A6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12.981</w:t>
            </w:r>
          </w:p>
        </w:tc>
      </w:tr>
      <w:tr w14:paraId="59AD4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522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57B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08D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365.976</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058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379.265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3A8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13.289</w:t>
            </w:r>
          </w:p>
        </w:tc>
      </w:tr>
      <w:tr w14:paraId="1A8B05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6B8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E73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75B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365.727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3AB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379.193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E86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13.466</w:t>
            </w:r>
          </w:p>
        </w:tc>
      </w:tr>
      <w:tr w14:paraId="52B4C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FC0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C7C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8E1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365.219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9D0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378.920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772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13.701</w:t>
            </w:r>
          </w:p>
        </w:tc>
      </w:tr>
      <w:tr w14:paraId="5BB93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C43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CDB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F78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364.445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5C0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378.666</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7E9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14.221</w:t>
            </w:r>
          </w:p>
        </w:tc>
      </w:tr>
      <w:tr w14:paraId="1FD17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BAF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67D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1B5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364.447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E20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378.540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ABC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14.093</w:t>
            </w:r>
          </w:p>
        </w:tc>
      </w:tr>
      <w:tr w14:paraId="67905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398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511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A3F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364.447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DCD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378.496</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A71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14.049</w:t>
            </w:r>
          </w:p>
        </w:tc>
      </w:tr>
      <w:tr w14:paraId="439053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6E1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81D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7AA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364.331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9D9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378.453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CEF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14.122</w:t>
            </w:r>
          </w:p>
        </w:tc>
      </w:tr>
      <w:tr w14:paraId="3A83A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290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FCF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B21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364.239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914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378.409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85B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14.170</w:t>
            </w:r>
          </w:p>
        </w:tc>
      </w:tr>
      <w:tr w14:paraId="11E3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BCC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2FF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212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363.377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75D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378.327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DC6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14.950</w:t>
            </w:r>
          </w:p>
        </w:tc>
      </w:tr>
      <w:tr w14:paraId="04E92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D2E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B16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AA0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362.700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0C5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378.174</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B0F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15.474</w:t>
            </w:r>
          </w:p>
        </w:tc>
      </w:tr>
      <w:tr w14:paraId="12A8A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01B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8F4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48E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361.745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E90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378.071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547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16.326</w:t>
            </w:r>
          </w:p>
        </w:tc>
      </w:tr>
      <w:tr w14:paraId="600EB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8F1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487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B19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359.736</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2B3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377.870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78B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18.134</w:t>
            </w:r>
          </w:p>
        </w:tc>
      </w:tr>
      <w:tr w14:paraId="6B26E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082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406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448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359.450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41F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377.741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9BA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18.291</w:t>
            </w:r>
          </w:p>
        </w:tc>
      </w:tr>
      <w:tr w14:paraId="61C77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1B3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162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76B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355.830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FBB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377.573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B22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21.743</w:t>
            </w:r>
          </w:p>
        </w:tc>
      </w:tr>
      <w:tr w14:paraId="7F00D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F39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4FF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799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353.605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AFA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377.317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58A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23.712</w:t>
            </w:r>
          </w:p>
        </w:tc>
      </w:tr>
      <w:tr w14:paraId="3127B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E20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2B5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BEB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350.852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FBF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376.971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202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26.119</w:t>
            </w:r>
          </w:p>
        </w:tc>
      </w:tr>
      <w:tr w14:paraId="1D0BF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7C3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CD6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A49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349.612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004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376.730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4FF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27.118</w:t>
            </w:r>
          </w:p>
        </w:tc>
      </w:tr>
      <w:tr w14:paraId="5EC44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240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AAE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170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347.891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747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376.566</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F3A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28.675</w:t>
            </w:r>
          </w:p>
        </w:tc>
      </w:tr>
      <w:tr w14:paraId="350245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1F0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003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8F7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347.528</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92F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376.502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3E5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28.974</w:t>
            </w:r>
          </w:p>
        </w:tc>
      </w:tr>
      <w:tr w14:paraId="41908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10B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51B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5D0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343.812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D6A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376.175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6B2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32.363</w:t>
            </w:r>
          </w:p>
        </w:tc>
      </w:tr>
      <w:tr w14:paraId="3E880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0EF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6CE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ECC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343.015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BC5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375.949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D92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32.934</w:t>
            </w:r>
          </w:p>
        </w:tc>
      </w:tr>
      <w:tr w14:paraId="4C229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1F3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153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814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341.643</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BEF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375.772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191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34.129</w:t>
            </w:r>
          </w:p>
        </w:tc>
      </w:tr>
      <w:tr w14:paraId="4EFD0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BDE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EC4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446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341.079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118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375.663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D7C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34.584</w:t>
            </w:r>
          </w:p>
        </w:tc>
      </w:tr>
      <w:tr w14:paraId="5F527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90F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69E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998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340.970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828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375.600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6E2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34.630</w:t>
            </w:r>
          </w:p>
        </w:tc>
      </w:tr>
      <w:tr w14:paraId="36022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41E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B46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100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340.487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89F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375.561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F26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35.074</w:t>
            </w:r>
          </w:p>
        </w:tc>
      </w:tr>
      <w:tr w14:paraId="4F679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833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1A7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574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339.589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556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375.462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E94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35.873</w:t>
            </w:r>
          </w:p>
        </w:tc>
      </w:tr>
      <w:tr w14:paraId="39C80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08E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800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8C2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338.515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EBC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375.381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FC9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36.866</w:t>
            </w:r>
          </w:p>
        </w:tc>
      </w:tr>
      <w:tr w14:paraId="5505D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E1F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0B9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556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336.851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B16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375.215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E34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38.364</w:t>
            </w:r>
          </w:p>
        </w:tc>
      </w:tr>
      <w:tr w14:paraId="2ADA9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949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9FA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CAE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334.234</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2E5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375.047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D79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40.813</w:t>
            </w:r>
          </w:p>
        </w:tc>
      </w:tr>
      <w:tr w14:paraId="5261E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E60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AF5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966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333.459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729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374.933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F76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41.474</w:t>
            </w:r>
          </w:p>
        </w:tc>
      </w:tr>
      <w:tr w14:paraId="0476E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5D8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1CF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6BF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333.002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A27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374.897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ED8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41.895</w:t>
            </w:r>
          </w:p>
        </w:tc>
      </w:tr>
      <w:tr w14:paraId="409576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582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274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23E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331.115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24F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374.692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71A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43.577</w:t>
            </w:r>
          </w:p>
        </w:tc>
      </w:tr>
      <w:tr w14:paraId="5FB0E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8F3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7A4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F8B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329.916</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EC7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374.569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AC6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44.653</w:t>
            </w:r>
          </w:p>
        </w:tc>
      </w:tr>
      <w:tr w14:paraId="3A209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CA4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F36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9EF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327.848</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5D7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374.378</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B00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46.530</w:t>
            </w:r>
          </w:p>
        </w:tc>
      </w:tr>
      <w:tr w14:paraId="5AE1B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08B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609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942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326.052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E26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374.263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4D1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48.211</w:t>
            </w:r>
          </w:p>
        </w:tc>
      </w:tr>
      <w:tr w14:paraId="01E9C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71A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84B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6CF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324.303</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43E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374.153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C4C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49.850</w:t>
            </w:r>
          </w:p>
        </w:tc>
      </w:tr>
      <w:tr w14:paraId="7C827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75F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5E8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22C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323.957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2CE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374.049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7D4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50.092</w:t>
            </w:r>
          </w:p>
        </w:tc>
      </w:tr>
      <w:tr w14:paraId="47A85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1CB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4F9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D94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322.832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996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373.942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550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51.110</w:t>
            </w:r>
          </w:p>
        </w:tc>
      </w:tr>
      <w:tr w14:paraId="68414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E6A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E3F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0AD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322.349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138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373.781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E59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51.432</w:t>
            </w:r>
          </w:p>
        </w:tc>
      </w:tr>
      <w:tr w14:paraId="1A30C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C7C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CF6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18A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321.610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579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373.588</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CD2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51.978</w:t>
            </w:r>
          </w:p>
        </w:tc>
      </w:tr>
      <w:tr w14:paraId="29D0F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 w:type="pct"/>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DD6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DE2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417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321.408</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181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373.453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0B6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52.045</w:t>
            </w:r>
          </w:p>
        </w:tc>
      </w:tr>
      <w:tr w14:paraId="49479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4C1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管道编号</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C1E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管径(mm)</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7DA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管长(m)</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81F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流量(L/s)</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45D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流速(m/s)</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3E1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千米损失(m)</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8E6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管道损失(m)</w:t>
            </w:r>
          </w:p>
        </w:tc>
      </w:tr>
      <w:tr w14:paraId="794E1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B66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JSFM1-JS2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511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59B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21.341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EBE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6D5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7FF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B05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0.117</w:t>
            </w:r>
          </w:p>
        </w:tc>
      </w:tr>
      <w:tr w14:paraId="3B1D5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CBE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JS2-JS3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AD1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31C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13.186</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18D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8AE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959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3D9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0.073</w:t>
            </w:r>
          </w:p>
        </w:tc>
      </w:tr>
      <w:tr w14:paraId="37E5A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43B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JS3-JS4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33F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9A5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40.196</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FD2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83E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C27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C5F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0.221</w:t>
            </w:r>
          </w:p>
        </w:tc>
      </w:tr>
      <w:tr w14:paraId="07A38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FED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JS4-JS5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345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1CA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31.087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C01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0F0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7D4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7A0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0.171</w:t>
            </w:r>
          </w:p>
        </w:tc>
      </w:tr>
      <w:tr w14:paraId="23E4B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F12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JS5-JS6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DC4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46D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13.212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ED9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67A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98E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B7B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0.073</w:t>
            </w:r>
          </w:p>
        </w:tc>
      </w:tr>
      <w:tr w14:paraId="4C009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105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JS6-JS7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FA2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D1C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14.549</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84A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7C0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93A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3BA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0.080</w:t>
            </w:r>
          </w:p>
        </w:tc>
      </w:tr>
      <w:tr w14:paraId="77D5C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9A1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JS7-JS8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064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850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13.192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047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D92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958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49E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0.073</w:t>
            </w:r>
          </w:p>
        </w:tc>
      </w:tr>
      <w:tr w14:paraId="48C0B6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159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JS8-JS9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A4C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265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49.545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BAF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927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CE5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C76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0.272</w:t>
            </w:r>
          </w:p>
        </w:tc>
      </w:tr>
      <w:tr w14:paraId="31A2A9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1A2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JS9-JS10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C00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A7C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46.305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D2D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9E9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93B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8C2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0.255</w:t>
            </w:r>
          </w:p>
        </w:tc>
      </w:tr>
      <w:tr w14:paraId="0D4345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D4A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JS10-JS11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489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B09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22.852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BCB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822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71C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2DD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0.126</w:t>
            </w:r>
          </w:p>
        </w:tc>
      </w:tr>
      <w:tr w14:paraId="30D69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528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JS11-JS12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CCA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309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7.991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008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AD7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507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804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0.044</w:t>
            </w:r>
          </w:p>
        </w:tc>
      </w:tr>
      <w:tr w14:paraId="5E56A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599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JS12-JS13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F59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8F5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7.783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DED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857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55B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0CD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0.043</w:t>
            </w:r>
          </w:p>
        </w:tc>
      </w:tr>
      <w:tr w14:paraId="5A1E3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869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JS13-JS14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472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582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7.965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DC1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D05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719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418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0.044</w:t>
            </w:r>
          </w:p>
        </w:tc>
      </w:tr>
      <w:tr w14:paraId="47BB5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8AA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JS14-JS15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AF8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548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14.931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E4D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0CA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B89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111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0.082</w:t>
            </w:r>
          </w:p>
        </w:tc>
      </w:tr>
      <w:tr w14:paraId="685FA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950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JS15-JS16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9A7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A15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27.953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0BE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40F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18A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5DF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0.154</w:t>
            </w:r>
          </w:p>
        </w:tc>
      </w:tr>
      <w:tr w14:paraId="67432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6E6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JS16-JS17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5C3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127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18.719</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5F2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B7E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864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638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0.103</w:t>
            </w:r>
          </w:p>
        </w:tc>
      </w:tr>
      <w:tr w14:paraId="092121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B3C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JS17-JS18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2D0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764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36.515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075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749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92E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B3E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0.201</w:t>
            </w:r>
          </w:p>
        </w:tc>
      </w:tr>
      <w:tr w14:paraId="3213C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658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JS18-JS19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523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530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23.477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F79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FCE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026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96B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0.129</w:t>
            </w:r>
          </w:p>
        </w:tc>
      </w:tr>
      <w:tr w14:paraId="64B04F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B35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JS19-JS20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31B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FBF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30.507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915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10B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C2B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8D4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0.168</w:t>
            </w:r>
          </w:p>
        </w:tc>
      </w:tr>
      <w:tr w14:paraId="6DD67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2A1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JS20-JS21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1E1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175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46.512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BAF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60D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1AF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BF8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0.256</w:t>
            </w:r>
          </w:p>
        </w:tc>
      </w:tr>
      <w:tr w14:paraId="143A1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2C0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JS21-JS22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570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8B9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62.920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A31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A6F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E00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CBA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0.346</w:t>
            </w:r>
          </w:p>
        </w:tc>
      </w:tr>
      <w:tr w14:paraId="634BE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482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JS22-JS23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DFF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81F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43.857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EC9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4CE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57E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077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0.241</w:t>
            </w:r>
          </w:p>
        </w:tc>
      </w:tr>
      <w:tr w14:paraId="5A125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AA9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JS23-JS24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959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131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29.881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F51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847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676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C1B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0.164</w:t>
            </w:r>
          </w:p>
        </w:tc>
      </w:tr>
      <w:tr w14:paraId="66542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CA3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JS24-JS25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946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B21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11.545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CC2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5CB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9AC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A6C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0.063</w:t>
            </w:r>
          </w:p>
        </w:tc>
      </w:tr>
      <w:tr w14:paraId="06A41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43F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JS25-JS26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7E0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BEF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59.505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F12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E03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BB0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68E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0.327</w:t>
            </w:r>
          </w:p>
        </w:tc>
      </w:tr>
      <w:tr w14:paraId="5D73F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B4F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JS26-JS27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FD2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3D3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41.072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DB0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A36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254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18C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0.226</w:t>
            </w:r>
          </w:p>
        </w:tc>
      </w:tr>
      <w:tr w14:paraId="3B785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344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JS27-JS28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968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48E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32.203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675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867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EC4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75A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0.177</w:t>
            </w:r>
          </w:p>
        </w:tc>
      </w:tr>
      <w:tr w14:paraId="5653F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3FC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JS28-JS29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291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401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19.881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6F6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F6B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6B7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4C6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0.109</w:t>
            </w:r>
          </w:p>
        </w:tc>
      </w:tr>
      <w:tr w14:paraId="3A1FC0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8B4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JS29-JS30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A6E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1F7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11.333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0A4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A66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995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3AA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0.062</w:t>
            </w:r>
          </w:p>
        </w:tc>
      </w:tr>
      <w:tr w14:paraId="60073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176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JS30-JS31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EDC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1FD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7.060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3F5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7EA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9DA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859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0.039</w:t>
            </w:r>
          </w:p>
        </w:tc>
      </w:tr>
      <w:tr w14:paraId="7A59C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21F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JS31-JS32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C8A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010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18.113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D5D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A66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F4B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D21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0.100</w:t>
            </w:r>
          </w:p>
        </w:tc>
      </w:tr>
      <w:tr w14:paraId="1BB69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65A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JS32-JS33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877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DD6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14.684</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AE6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1E4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D3D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068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0.081</w:t>
            </w:r>
          </w:p>
        </w:tc>
      </w:tr>
      <w:tr w14:paraId="7029A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341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JS33-JS34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83E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9B0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30.243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D9B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329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CB3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42F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0.166</w:t>
            </w:r>
          </w:p>
        </w:tc>
      </w:tr>
      <w:tr w14:paraId="3701C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B62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JS34-JS35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959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DB7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30.552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398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626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5B4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C57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0.168</w:t>
            </w:r>
          </w:p>
        </w:tc>
      </w:tr>
      <w:tr w14:paraId="44591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88E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JS35-JS36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41A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6A3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20.664</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421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94F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B52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6F2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0.114</w:t>
            </w:r>
          </w:p>
        </w:tc>
      </w:tr>
      <w:tr w14:paraId="7FFC4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DCD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JS36-JS37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C90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AAB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6.487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0AC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DDC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F8D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C0F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0.036</w:t>
            </w:r>
          </w:p>
        </w:tc>
      </w:tr>
      <w:tr w14:paraId="18094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FDB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JS37-JS38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C1F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79C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37.388</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39C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FB7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509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777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0.206</w:t>
            </w:r>
          </w:p>
        </w:tc>
      </w:tr>
      <w:tr w14:paraId="755FB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A9C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JS38-JS39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07A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736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22.237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306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2DE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5DD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9B9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0.122</w:t>
            </w:r>
          </w:p>
        </w:tc>
      </w:tr>
      <w:tr w14:paraId="2075A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386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JS39-JS40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709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E60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34.797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DE3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4A5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7A4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09D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0.191</w:t>
            </w:r>
          </w:p>
        </w:tc>
      </w:tr>
      <w:tr w14:paraId="21714D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AD2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JS40-JS41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8BE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7CD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20.969</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2C3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8DC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16D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AA0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0.115</w:t>
            </w:r>
          </w:p>
        </w:tc>
      </w:tr>
      <w:tr w14:paraId="3F5AD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1C1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JS41-JS42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F58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D44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20.040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140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63C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1B4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389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0.110</w:t>
            </w:r>
          </w:p>
        </w:tc>
      </w:tr>
      <w:tr w14:paraId="053D9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1E9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JS42-JS43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199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453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18.862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B33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A85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875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C2A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0.104</w:t>
            </w:r>
          </w:p>
        </w:tc>
      </w:tr>
      <w:tr w14:paraId="76FB9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4CD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JS43-JS44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098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0E4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19.487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8DF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16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C93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391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0.107</w:t>
            </w:r>
          </w:p>
        </w:tc>
      </w:tr>
      <w:tr w14:paraId="01531D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2A3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JS44-JS45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C6B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4E2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29.288</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3FB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969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722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7B1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0.161</w:t>
            </w:r>
          </w:p>
        </w:tc>
      </w:tr>
      <w:tr w14:paraId="6DB8F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4E3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JS45-JS46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A6F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D78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34.967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D76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0DB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45D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51C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0.192</w:t>
            </w:r>
          </w:p>
        </w:tc>
      </w:tr>
      <w:tr w14:paraId="02491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B64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JS46-JS47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925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B3A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24.538</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7C3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480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5CE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5.500</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477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0.135</w:t>
            </w:r>
          </w:p>
        </w:tc>
      </w:tr>
    </w:tbl>
    <w:p w14:paraId="3407B7BA">
      <w:pPr>
        <w:pStyle w:val="4"/>
        <w:ind w:firstLine="560" w:firstLineChars="200"/>
        <w:rPr>
          <w:rFonts w:hint="default" w:ascii="宋体" w:hAnsi="宋体" w:eastAsia="宋体" w:cs="宋体"/>
          <w:lang w:val="en-US" w:eastAsia="zh-CN"/>
        </w:rPr>
      </w:pPr>
      <w:r>
        <w:rPr>
          <w:rFonts w:hint="eastAsia" w:ascii="宋体" w:hAnsi="宋体" w:eastAsia="宋体" w:cs="宋体"/>
          <w:lang w:val="en-US" w:eastAsia="zh-CN"/>
        </w:rPr>
        <w:t>一体化泵站水泵计算</w:t>
      </w:r>
    </w:p>
    <w:p w14:paraId="179DACC3">
      <w:pPr>
        <w:widowControl/>
        <w:rPr>
          <w:rFonts w:hint="eastAsia" w:ascii="宋体" w:hAnsi="宋体" w:eastAsia="宋体" w:cs="宋体"/>
          <w:highlight w:val="none"/>
        </w:rPr>
      </w:pPr>
      <w:r>
        <w:rPr>
          <w:rFonts w:hint="eastAsia" w:ascii="宋体" w:hAnsi="宋体" w:eastAsia="宋体" w:cs="宋体"/>
          <w:highlight w:val="none"/>
          <w:lang w:val="en-US" w:eastAsia="zh-CN"/>
        </w:rPr>
        <w:t>1、</w:t>
      </w:r>
      <w:r>
        <w:rPr>
          <w:rFonts w:hint="eastAsia" w:ascii="宋体" w:hAnsi="宋体" w:eastAsia="宋体" w:cs="宋体"/>
          <w:highlight w:val="none"/>
        </w:rPr>
        <w:t>扬程计算</w:t>
      </w:r>
    </w:p>
    <w:p w14:paraId="7FE5FDBC">
      <w:pPr>
        <w:widowControl/>
        <w:rPr>
          <w:rFonts w:hint="eastAsia" w:ascii="宋体" w:hAnsi="宋体" w:eastAsia="宋体" w:cs="宋体"/>
          <w:highlight w:val="none"/>
        </w:rPr>
      </w:pPr>
      <w:r>
        <w:rPr>
          <w:rFonts w:hint="eastAsia" w:ascii="宋体" w:hAnsi="宋体" w:eastAsia="宋体" w:cs="宋体"/>
          <w:highlight w:val="none"/>
        </w:rPr>
        <w:t>设计总扬程为</w:t>
      </w:r>
      <w:r>
        <w:rPr>
          <w:rFonts w:hint="eastAsia" w:ascii="宋体" w:hAnsi="宋体" w:eastAsia="宋体" w:cs="宋体"/>
          <w:highlight w:val="none"/>
          <w:lang w:val="en-US" w:eastAsia="zh-CN"/>
        </w:rPr>
        <w:t>14</w:t>
      </w:r>
      <w:r>
        <w:rPr>
          <w:rFonts w:hint="eastAsia" w:ascii="宋体" w:hAnsi="宋体" w:eastAsia="宋体" w:cs="宋体"/>
          <w:highlight w:val="none"/>
        </w:rPr>
        <w:t>米，总水力损失</w:t>
      </w:r>
      <w:r>
        <w:rPr>
          <w:rFonts w:hint="eastAsia" w:ascii="宋体" w:hAnsi="宋体" w:eastAsia="宋体" w:cs="宋体"/>
          <w:highlight w:val="none"/>
          <w:lang w:val="en-US" w:eastAsia="zh-CN"/>
        </w:rPr>
        <w:t>10</w:t>
      </w:r>
      <w:r>
        <w:rPr>
          <w:rFonts w:hint="eastAsia" w:ascii="宋体" w:hAnsi="宋体" w:eastAsia="宋体" w:cs="宋体"/>
          <w:highlight w:val="none"/>
        </w:rPr>
        <w:t>米，泵站损失2米，净扬程</w:t>
      </w:r>
      <w:r>
        <w:rPr>
          <w:rFonts w:hint="eastAsia" w:ascii="宋体" w:hAnsi="宋体" w:eastAsia="宋体" w:cs="宋体"/>
          <w:highlight w:val="none"/>
          <w:lang w:val="en-US" w:eastAsia="zh-CN"/>
        </w:rPr>
        <w:t>2</w:t>
      </w:r>
      <w:r>
        <w:rPr>
          <w:rFonts w:hint="eastAsia" w:ascii="宋体" w:hAnsi="宋体" w:eastAsia="宋体" w:cs="宋体"/>
          <w:highlight w:val="none"/>
        </w:rPr>
        <w:t>米；</w:t>
      </w:r>
    </w:p>
    <w:p w14:paraId="0057CD8D">
      <w:pPr>
        <w:widowControl/>
        <w:rPr>
          <w:rFonts w:hint="eastAsia" w:ascii="宋体" w:hAnsi="宋体" w:eastAsia="宋体" w:cs="宋体"/>
          <w:highlight w:val="none"/>
        </w:rPr>
      </w:pPr>
      <w:r>
        <w:rPr>
          <w:rFonts w:hint="eastAsia" w:ascii="宋体" w:hAnsi="宋体" w:eastAsia="宋体" w:cs="宋体"/>
          <w:highlight w:val="none"/>
          <w:lang w:val="en-US" w:eastAsia="zh-CN"/>
        </w:rPr>
        <w:t>2</w:t>
      </w:r>
      <w:r>
        <w:rPr>
          <w:rFonts w:hint="eastAsia" w:ascii="宋体" w:hAnsi="宋体" w:eastAsia="宋体" w:cs="宋体"/>
          <w:highlight w:val="none"/>
        </w:rPr>
        <w:t>、水泵选型</w:t>
      </w:r>
    </w:p>
    <w:p w14:paraId="003F1703">
      <w:pPr>
        <w:widowControl/>
        <w:rPr>
          <w:rFonts w:hint="eastAsia" w:ascii="宋体" w:hAnsi="宋体" w:eastAsia="宋体" w:cs="宋体"/>
          <w:highlight w:val="none"/>
        </w:rPr>
      </w:pPr>
      <w:r>
        <w:rPr>
          <w:rFonts w:hint="eastAsia" w:ascii="宋体" w:hAnsi="宋体" w:eastAsia="宋体" w:cs="宋体"/>
          <w:highlight w:val="none"/>
        </w:rPr>
        <w:t>新建两组水泵，50WQ/EC20-14-1.5，流量Q=</w:t>
      </w:r>
      <w:r>
        <w:rPr>
          <w:rFonts w:hint="eastAsia" w:ascii="宋体" w:hAnsi="宋体" w:eastAsia="宋体" w:cs="宋体"/>
          <w:highlight w:val="none"/>
          <w:lang w:val="en-US" w:eastAsia="zh-CN"/>
        </w:rPr>
        <w:t>20</w:t>
      </w:r>
      <w:r>
        <w:rPr>
          <w:rFonts w:hint="eastAsia" w:ascii="宋体" w:hAnsi="宋体" w:eastAsia="宋体" w:cs="宋体"/>
          <w:highlight w:val="none"/>
        </w:rPr>
        <w:t>m3/h，扬程为H=</w:t>
      </w:r>
      <w:r>
        <w:rPr>
          <w:rFonts w:hint="eastAsia" w:ascii="宋体" w:hAnsi="宋体" w:eastAsia="宋体" w:cs="宋体"/>
          <w:highlight w:val="none"/>
          <w:lang w:val="en-US" w:eastAsia="zh-CN"/>
        </w:rPr>
        <w:t>14</w:t>
      </w:r>
      <w:r>
        <w:rPr>
          <w:rFonts w:hint="eastAsia" w:ascii="宋体" w:hAnsi="宋体" w:eastAsia="宋体" w:cs="宋体"/>
          <w:highlight w:val="none"/>
        </w:rPr>
        <w:t>m。</w:t>
      </w:r>
      <w:r>
        <w:rPr>
          <w:rFonts w:hint="default" w:ascii="宋体" w:hAnsi="宋体" w:eastAsia="宋体" w:cs="宋体"/>
          <w:highlight w:val="none"/>
          <w:lang w:val="en-US" w:eastAsia="zh-CN"/>
        </w:rPr>
        <w:t xml:space="preserve"> </w:t>
      </w:r>
      <w:r>
        <w:rPr>
          <w:rFonts w:hint="eastAsia" w:ascii="宋体" w:hAnsi="宋体" w:eastAsia="宋体" w:cs="宋体"/>
          <w:highlight w:val="none"/>
          <w:lang w:val="en-US" w:eastAsia="zh-CN"/>
        </w:rPr>
        <w:t>功率为1.5</w:t>
      </w:r>
      <w:r>
        <w:rPr>
          <w:rFonts w:hint="default" w:ascii="宋体" w:hAnsi="宋体" w:eastAsia="宋体" w:cs="宋体"/>
          <w:highlight w:val="none"/>
          <w:lang w:val="en-US" w:eastAsia="zh-CN"/>
        </w:rPr>
        <w:t>KW</w:t>
      </w:r>
      <w:r>
        <w:rPr>
          <w:rFonts w:hint="eastAsia" w:ascii="宋体" w:hAnsi="宋体" w:eastAsia="宋体" w:cs="宋体"/>
          <w:highlight w:val="none"/>
          <w:lang w:val="en-US" w:eastAsia="zh-CN"/>
        </w:rPr>
        <w:t>。</w:t>
      </w:r>
    </w:p>
    <w:p w14:paraId="731DE234">
      <w:pPr>
        <w:pStyle w:val="4"/>
        <w:ind w:firstLine="560" w:firstLineChars="200"/>
        <w:rPr>
          <w:rFonts w:hint="eastAsia" w:ascii="宋体" w:hAnsi="宋体" w:eastAsia="宋体" w:cs="宋体"/>
        </w:rPr>
      </w:pPr>
      <w:r>
        <w:rPr>
          <w:rFonts w:hint="eastAsia" w:ascii="宋体" w:hAnsi="宋体" w:eastAsia="宋体" w:cs="宋体"/>
        </w:rPr>
        <w:t>污水管道平面布置</w:t>
      </w:r>
    </w:p>
    <w:p w14:paraId="5C7BD582">
      <w:pPr>
        <w:widowControl/>
        <w:rPr>
          <w:rFonts w:hint="default" w:ascii="宋体" w:hAnsi="宋体" w:eastAsia="宋体" w:cs="宋体"/>
          <w:highlight w:val="none"/>
          <w:lang w:val="en-US" w:eastAsia="zh-CN"/>
        </w:rPr>
      </w:pPr>
      <w:r>
        <w:rPr>
          <w:rFonts w:hint="eastAsia" w:ascii="宋体" w:hAnsi="宋体" w:eastAsia="宋体" w:cs="宋体"/>
          <w:highlight w:val="none"/>
        </w:rPr>
        <w:t>污水</w:t>
      </w:r>
      <w:r>
        <w:rPr>
          <w:rFonts w:hint="eastAsia" w:ascii="宋体" w:hAnsi="宋体" w:eastAsia="宋体" w:cs="宋体"/>
          <w:highlight w:val="none"/>
          <w:lang w:val="en-US" w:eastAsia="zh-CN"/>
        </w:rPr>
        <w:t>压力</w:t>
      </w:r>
      <w:r>
        <w:rPr>
          <w:rFonts w:hint="eastAsia" w:ascii="宋体" w:hAnsi="宋体" w:eastAsia="宋体" w:cs="宋体"/>
          <w:highlight w:val="none"/>
        </w:rPr>
        <w:t>管线按需布置</w:t>
      </w:r>
      <w:r>
        <w:rPr>
          <w:rFonts w:hint="eastAsia" w:ascii="宋体" w:hAnsi="宋体" w:eastAsia="宋体" w:cs="宋体"/>
          <w:highlight w:val="none"/>
          <w:lang w:eastAsia="zh-CN"/>
        </w:rPr>
        <w:t>：</w:t>
      </w:r>
      <w:r>
        <w:rPr>
          <w:rFonts w:hint="eastAsia" w:ascii="宋体" w:hAnsi="宋体" w:eastAsia="宋体" w:cs="宋体"/>
          <w:highlight w:val="none"/>
          <w:lang w:val="en-US" w:eastAsia="zh-CN"/>
        </w:rPr>
        <w:t>本段工程于K0+030~K0+181段道路左侧桥边及边沟全包敷设，K0+181~K0+195段通过雨水涵洞横穿G319国道，K0+195~K1+228段沿道路右侧绿化带浅埋敷设管道，K1+228~现状污水井段人行道明挖敷设。</w:t>
      </w:r>
    </w:p>
    <w:p w14:paraId="15BAB65E">
      <w:pPr>
        <w:pStyle w:val="4"/>
        <w:ind w:firstLine="560" w:firstLineChars="200"/>
        <w:rPr>
          <w:rFonts w:hint="eastAsia" w:ascii="宋体" w:hAnsi="宋体" w:eastAsia="宋体" w:cs="宋体"/>
        </w:rPr>
      </w:pPr>
      <w:r>
        <w:rPr>
          <w:rFonts w:hint="eastAsia" w:ascii="宋体" w:hAnsi="宋体" w:eastAsia="宋体" w:cs="宋体"/>
        </w:rPr>
        <w:t>污水管线纵向布置</w:t>
      </w:r>
    </w:p>
    <w:p w14:paraId="36F2FB55">
      <w:pPr>
        <w:widowControl/>
        <w:rPr>
          <w:rFonts w:hint="eastAsia" w:ascii="宋体" w:hAnsi="宋体" w:eastAsia="宋体" w:cs="宋体"/>
        </w:rPr>
      </w:pPr>
      <w:r>
        <w:rPr>
          <w:rFonts w:hint="eastAsia" w:ascii="宋体" w:hAnsi="宋体" w:eastAsia="宋体" w:cs="宋体"/>
        </w:rPr>
        <w:t>污水管道的坡度在满足规范及设计的情况下，尽量接近道路坡度，以减少工程量，污水</w:t>
      </w:r>
      <w:r>
        <w:rPr>
          <w:rFonts w:hint="eastAsia" w:ascii="宋体" w:hAnsi="宋体" w:eastAsia="宋体" w:cs="宋体"/>
          <w:lang w:val="en-US" w:eastAsia="zh-CN"/>
        </w:rPr>
        <w:t>压力</w:t>
      </w:r>
      <w:r>
        <w:rPr>
          <w:rFonts w:hint="eastAsia" w:ascii="宋体" w:hAnsi="宋体" w:eastAsia="宋体" w:cs="宋体"/>
        </w:rPr>
        <w:t>管道覆土深度控制在</w:t>
      </w:r>
      <w:r>
        <w:rPr>
          <w:rFonts w:hint="eastAsia" w:ascii="宋体" w:hAnsi="宋体" w:eastAsia="宋体" w:cs="宋体"/>
          <w:lang w:val="en-US" w:eastAsia="zh-CN"/>
        </w:rPr>
        <w:t>0.7~1.0</w:t>
      </w:r>
      <w:r>
        <w:rPr>
          <w:rFonts w:hint="eastAsia" w:ascii="宋体" w:hAnsi="宋体" w:eastAsia="宋体" w:cs="宋体"/>
        </w:rPr>
        <w:t>m。</w:t>
      </w:r>
    </w:p>
    <w:p w14:paraId="2E34CF3C">
      <w:pPr>
        <w:pStyle w:val="3"/>
        <w:rPr>
          <w:rFonts w:hint="eastAsia" w:ascii="宋体" w:hAnsi="宋体" w:eastAsia="宋体" w:cs="宋体"/>
        </w:rPr>
      </w:pPr>
      <w:r>
        <w:rPr>
          <w:rFonts w:hint="eastAsia" w:ascii="宋体" w:hAnsi="宋体" w:eastAsia="宋体" w:cs="宋体"/>
        </w:rPr>
        <w:t>管材及附属构筑物</w:t>
      </w:r>
    </w:p>
    <w:p w14:paraId="3AFF0817">
      <w:pPr>
        <w:pStyle w:val="4"/>
        <w:ind w:firstLine="560" w:firstLineChars="200"/>
        <w:rPr>
          <w:rFonts w:hint="eastAsia" w:ascii="宋体" w:hAnsi="宋体" w:eastAsia="宋体" w:cs="宋体"/>
        </w:rPr>
      </w:pPr>
      <w:r>
        <w:rPr>
          <w:rFonts w:hint="eastAsia" w:ascii="宋体" w:hAnsi="宋体" w:eastAsia="宋体" w:cs="宋体"/>
        </w:rPr>
        <w:t>管材</w:t>
      </w:r>
    </w:p>
    <w:p w14:paraId="7F7C38E2">
      <w:pPr>
        <w:pageBreakBefore w:val="0"/>
        <w:kinsoku/>
        <w:wordWrap/>
        <w:overflowPunct/>
        <w:topLinePunct w:val="0"/>
        <w:bidi w:val="0"/>
        <w:spacing w:line="360" w:lineRule="auto"/>
        <w:ind w:firstLine="560" w:firstLineChars="200"/>
        <w:jc w:val="left"/>
        <w:textAlignment w:val="auto"/>
        <w:rPr>
          <w:rFonts w:hint="eastAsia" w:ascii="宋体" w:hAnsi="宋体" w:eastAsia="宋体" w:cs="宋体"/>
          <w:spacing w:val="6"/>
          <w:sz w:val="24"/>
          <w:szCs w:val="24"/>
        </w:rPr>
      </w:pPr>
      <w:r>
        <w:rPr>
          <w:rFonts w:hint="eastAsia" w:ascii="宋体" w:hAnsi="宋体" w:eastAsia="宋体" w:cs="宋体"/>
        </w:rPr>
        <w:t>本工程</w:t>
      </w:r>
      <w:r>
        <w:rPr>
          <w:rFonts w:hint="eastAsia" w:ascii="宋体" w:hAnsi="宋体" w:eastAsia="宋体" w:cs="宋体"/>
          <w:lang w:val="en-US" w:eastAsia="zh-CN"/>
        </w:rPr>
        <w:t>污水</w:t>
      </w:r>
      <w:r>
        <w:rPr>
          <w:rFonts w:hint="eastAsia" w:ascii="宋体" w:hAnsi="宋体" w:eastAsia="宋体" w:cs="宋体"/>
        </w:rPr>
        <w:t>管道采用</w:t>
      </w:r>
      <w:r>
        <w:rPr>
          <w:rFonts w:hint="eastAsia" w:ascii="宋体" w:hAnsi="宋体" w:eastAsia="宋体" w:cs="宋体"/>
          <w:lang w:val="en-US" w:eastAsia="zh-CN"/>
        </w:rPr>
        <w:t>Dn110PE100管</w:t>
      </w:r>
      <w:r>
        <w:rPr>
          <w:rFonts w:hint="eastAsia" w:ascii="宋体" w:hAnsi="宋体" w:eastAsia="宋体" w:cs="宋体"/>
          <w:lang w:eastAsia="zh-CN"/>
        </w:rPr>
        <w:t>，</w:t>
      </w:r>
      <w:r>
        <w:rPr>
          <w:rFonts w:hint="eastAsia" w:ascii="宋体" w:hAnsi="宋体" w:eastAsia="宋体" w:cs="宋体"/>
          <w:lang w:val="en-US" w:eastAsia="zh-CN"/>
        </w:rPr>
        <w:t>压力等级为1.0Mpa</w:t>
      </w:r>
      <w:r>
        <w:rPr>
          <w:rFonts w:hint="eastAsia" w:ascii="宋体" w:hAnsi="宋体" w:eastAsia="宋体" w:cs="宋体"/>
        </w:rPr>
        <w:t>。埋地聚乙烯(PE)给水管道制造及安装应符合聚乙烯（PE）管道按照行业标准CJJ/T98-2003《建筑给水聚乙烯类管道工程技术规程》要求施工。</w:t>
      </w:r>
    </w:p>
    <w:p w14:paraId="7456F860">
      <w:pPr>
        <w:widowControl/>
        <w:rPr>
          <w:rFonts w:hint="eastAsia" w:ascii="宋体" w:hAnsi="宋体" w:eastAsia="宋体" w:cs="宋体"/>
        </w:rPr>
      </w:pPr>
      <w:r>
        <w:rPr>
          <w:rFonts w:hint="eastAsia" w:ascii="宋体" w:hAnsi="宋体" w:eastAsia="宋体" w:cs="宋体"/>
        </w:rPr>
        <w:t>所选材料应为符合国家及省、市有关部门相关标准、规范的合格产品，优先采用具有国家通用标准的管材。</w:t>
      </w:r>
    </w:p>
    <w:p w14:paraId="63CD6B53">
      <w:pPr>
        <w:pStyle w:val="4"/>
        <w:ind w:firstLine="560" w:firstLineChars="200"/>
        <w:rPr>
          <w:rFonts w:hint="default" w:ascii="宋体" w:hAnsi="宋体" w:eastAsia="宋体" w:cs="宋体"/>
          <w:lang w:val="en-US" w:eastAsia="zh-CN"/>
        </w:rPr>
      </w:pPr>
      <w:r>
        <w:rPr>
          <w:rFonts w:hint="eastAsia" w:ascii="宋体" w:hAnsi="宋体" w:eastAsia="宋体" w:cs="宋体"/>
          <w:lang w:val="en-US" w:eastAsia="zh-CN"/>
        </w:rPr>
        <w:t>阀门选择</w:t>
      </w:r>
    </w:p>
    <w:p w14:paraId="7FE836A1">
      <w:pPr>
        <w:widowControl/>
        <w:rPr>
          <w:rFonts w:hint="default" w:ascii="宋体" w:hAnsi="宋体" w:eastAsia="宋体" w:cs="宋体"/>
          <w:lang w:val="en-US" w:eastAsia="zh-CN"/>
        </w:rPr>
      </w:pPr>
      <w:r>
        <w:rPr>
          <w:rFonts w:hint="eastAsia" w:ascii="宋体" w:hAnsi="宋体" w:eastAsia="宋体" w:cs="宋体"/>
          <w:lang w:val="en-US" w:eastAsia="zh-CN"/>
        </w:rPr>
        <w:t xml:space="preserve">DN </w:t>
      </w:r>
      <w:r>
        <w:rPr>
          <w:rFonts w:hint="eastAsia" w:ascii="宋体" w:hAnsi="宋体" w:eastAsia="宋体" w:cs="宋体"/>
          <w:lang w:eastAsia="zh-CN"/>
        </w:rPr>
        <w:t>＜</w:t>
      </w:r>
      <w:r>
        <w:rPr>
          <w:rFonts w:hint="eastAsia" w:ascii="宋体" w:hAnsi="宋体" w:eastAsia="宋体" w:cs="宋体"/>
          <w:lang w:val="en-US" w:eastAsia="zh-CN"/>
        </w:rPr>
        <w:t>200的阀门采用软密封闸阀，压力等级1.6MPa.</w:t>
      </w:r>
    </w:p>
    <w:p w14:paraId="47835ED4">
      <w:pPr>
        <w:pStyle w:val="4"/>
        <w:ind w:firstLine="560" w:firstLineChars="200"/>
        <w:rPr>
          <w:rFonts w:hint="eastAsia" w:ascii="宋体" w:hAnsi="宋体" w:eastAsia="宋体" w:cs="宋体"/>
        </w:rPr>
      </w:pPr>
      <w:r>
        <w:rPr>
          <w:rFonts w:hint="eastAsia" w:ascii="宋体" w:hAnsi="宋体" w:eastAsia="宋体" w:cs="宋体"/>
        </w:rPr>
        <w:t>接口与基础</w:t>
      </w:r>
    </w:p>
    <w:p w14:paraId="15D9D0D9">
      <w:pPr>
        <w:widowControl/>
        <w:rPr>
          <w:rFonts w:hint="eastAsia" w:ascii="宋体" w:hAnsi="宋体" w:eastAsia="宋体" w:cs="宋体"/>
          <w:lang w:eastAsia="zh-CN"/>
        </w:rPr>
      </w:pPr>
      <w:r>
        <w:rPr>
          <w:rFonts w:hint="default" w:ascii="宋体" w:hAnsi="宋体" w:eastAsia="宋体" w:cs="宋体"/>
        </w:rPr>
        <w:t>PE</w:t>
      </w:r>
      <w:r>
        <w:rPr>
          <w:rFonts w:hint="eastAsia" w:ascii="宋体" w:hAnsi="宋体" w:eastAsia="宋体" w:cs="宋体"/>
        </w:rPr>
        <w:t>管采用电热熔</w:t>
      </w:r>
      <w:r>
        <w:rPr>
          <w:rFonts w:hint="eastAsia" w:ascii="宋体" w:hAnsi="宋体" w:eastAsia="宋体" w:cs="宋体"/>
          <w:lang w:val="en-US" w:eastAsia="zh-CN"/>
        </w:rPr>
        <w:t>对</w:t>
      </w:r>
      <w:r>
        <w:rPr>
          <w:rFonts w:hint="eastAsia" w:ascii="宋体" w:hAnsi="宋体" w:eastAsia="宋体" w:cs="宋体"/>
        </w:rPr>
        <w:t>接。塑料</w:t>
      </w:r>
      <w:r>
        <w:rPr>
          <w:rFonts w:hint="eastAsia" w:ascii="宋体" w:hAnsi="宋体" w:eastAsia="宋体" w:cs="宋体"/>
          <w:lang w:eastAsia="zh-CN"/>
        </w:rPr>
        <w:t>压力管</w:t>
      </w:r>
      <w:r>
        <w:rPr>
          <w:rFonts w:hint="eastAsia" w:ascii="宋体" w:hAnsi="宋体" w:eastAsia="宋体" w:cs="宋体"/>
        </w:rPr>
        <w:t>与检查井连接参06MS201-2-56、57</w:t>
      </w:r>
      <w:r>
        <w:rPr>
          <w:rFonts w:hint="eastAsia" w:ascii="宋体" w:hAnsi="宋体" w:eastAsia="宋体" w:cs="宋体"/>
          <w:lang w:eastAsia="zh-CN"/>
        </w:rPr>
        <w:t>。</w:t>
      </w:r>
    </w:p>
    <w:p w14:paraId="1404BAA5">
      <w:pPr>
        <w:pStyle w:val="4"/>
        <w:ind w:firstLine="560" w:firstLineChars="200"/>
        <w:rPr>
          <w:rFonts w:hint="eastAsia" w:ascii="宋体" w:hAnsi="宋体" w:eastAsia="宋体" w:cs="宋体"/>
        </w:rPr>
      </w:pPr>
      <w:r>
        <w:rPr>
          <w:rFonts w:hint="eastAsia" w:ascii="宋体" w:hAnsi="宋体" w:eastAsia="宋体" w:cs="宋体"/>
          <w:lang w:val="en-US" w:eastAsia="zh-CN"/>
        </w:rPr>
        <w:t>阀门</w:t>
      </w:r>
      <w:r>
        <w:rPr>
          <w:rFonts w:hint="eastAsia" w:ascii="宋体" w:hAnsi="宋体" w:eastAsia="宋体" w:cs="宋体"/>
        </w:rPr>
        <w:t>井</w:t>
      </w:r>
    </w:p>
    <w:p w14:paraId="762DBFAB">
      <w:pPr>
        <w:keepNext w:val="0"/>
        <w:keepLines w:val="0"/>
        <w:widowControl/>
        <w:suppressLineNumbers w:val="0"/>
        <w:jc w:val="left"/>
        <w:rPr>
          <w:rFonts w:hint="eastAsia" w:ascii="宋体" w:hAnsi="宋体" w:eastAsia="宋体" w:cs="宋体"/>
        </w:rPr>
      </w:pPr>
      <w:r>
        <w:rPr>
          <w:rFonts w:hint="eastAsia" w:ascii="宋体" w:hAnsi="宋体" w:eastAsia="宋体" w:cs="宋体"/>
        </w:rPr>
        <w:t>根据地形条件、</w:t>
      </w:r>
      <w:r>
        <w:rPr>
          <w:rFonts w:hint="eastAsia" w:ascii="宋体" w:hAnsi="宋体" w:eastAsia="宋体" w:cs="宋体"/>
          <w:lang w:val="en-US" w:eastAsia="zh-CN"/>
        </w:rPr>
        <w:t>支管位置、管径变化、流量调节需要设置阀门，</w:t>
      </w:r>
      <w:r>
        <w:rPr>
          <w:rFonts w:hint="eastAsia" w:ascii="宋体" w:hAnsi="宋体" w:eastAsia="宋体" w:cs="宋体"/>
        </w:rPr>
        <w:t>在直线管道每隔</w:t>
      </w:r>
      <w:r>
        <w:rPr>
          <w:rFonts w:hint="eastAsia" w:ascii="宋体" w:hAnsi="宋体" w:eastAsia="宋体" w:cs="宋体"/>
          <w:lang w:val="en-US" w:eastAsia="zh-CN"/>
        </w:rPr>
        <w:t>500m</w:t>
      </w:r>
      <w:r>
        <w:rPr>
          <w:rFonts w:hint="eastAsia" w:ascii="宋体" w:hAnsi="宋体" w:eastAsia="宋体" w:cs="宋体"/>
        </w:rPr>
        <w:t>设置</w:t>
      </w:r>
      <w:r>
        <w:rPr>
          <w:rFonts w:hint="eastAsia" w:ascii="宋体" w:hAnsi="宋体" w:eastAsia="宋体" w:cs="宋体"/>
          <w:lang w:val="en-US" w:eastAsia="zh-CN"/>
        </w:rPr>
        <w:t xml:space="preserve">检修阀门井。根据“渝市政委发[2010]204 号”通知的要求，本项目人行道上采用复合材料井盖及盖座，车行道上采用重型防盗球墨铸铁井盖及盖座。井盖的规格、质量要求按照《检查井盖》 （GB/T23858-2009）执行，做法参照 14S501-1。 </w:t>
      </w:r>
    </w:p>
    <w:p w14:paraId="58A8B5DC">
      <w:pPr>
        <w:keepNext w:val="0"/>
        <w:keepLines w:val="0"/>
        <w:widowControl/>
        <w:suppressLineNumbers w:val="0"/>
        <w:jc w:val="left"/>
        <w:rPr>
          <w:rFonts w:hint="eastAsia" w:ascii="宋体" w:hAnsi="宋体" w:eastAsia="宋体" w:cs="宋体"/>
          <w:lang w:val="en-US" w:eastAsia="zh-CN"/>
        </w:rPr>
      </w:pPr>
      <w:r>
        <w:rPr>
          <w:rFonts w:hint="eastAsia" w:ascii="宋体" w:hAnsi="宋体" w:eastAsia="宋体" w:cs="宋体"/>
          <w:lang w:val="en-US" w:eastAsia="zh-CN"/>
        </w:rPr>
        <w:t>井盖根据承载能力进行划分，车行道下最低选用 D400 型井盖和盖座，非车行道最低选用C250 型井盖和盖座，承载能力应符合该标准的规定。采用具有防盗功能的井盖，检查井盖应选择有加劲肋的产品，井盖通过加劲肋臂卡锁在井盖座限位卡槽内以防止井盖跳离及转动。盖座上应有类型标识，应标注建成年代。井面应与道路路面齐平。本工程排气阀井采用通风井盖，开孔值应符合《检查井盖》（GB/T23858-2009）的规定。</w:t>
      </w:r>
    </w:p>
    <w:p w14:paraId="3BB11667">
      <w:pPr>
        <w:pStyle w:val="3"/>
        <w:rPr>
          <w:rFonts w:hint="eastAsia" w:ascii="宋体" w:hAnsi="宋体" w:eastAsia="宋体" w:cs="宋体"/>
        </w:rPr>
      </w:pPr>
      <w:r>
        <w:rPr>
          <w:rFonts w:hint="eastAsia" w:ascii="宋体" w:hAnsi="宋体" w:eastAsia="宋体" w:cs="宋体"/>
        </w:rPr>
        <w:t>管道施工</w:t>
      </w:r>
    </w:p>
    <w:p w14:paraId="13B53A4C">
      <w:pPr>
        <w:pStyle w:val="4"/>
        <w:ind w:firstLine="560" w:firstLineChars="200"/>
        <w:rPr>
          <w:rFonts w:hint="eastAsia" w:ascii="宋体" w:hAnsi="宋体" w:eastAsia="宋体" w:cs="宋体"/>
        </w:rPr>
      </w:pPr>
      <w:r>
        <w:rPr>
          <w:rFonts w:hint="eastAsia" w:ascii="宋体" w:hAnsi="宋体" w:eastAsia="宋体" w:cs="宋体"/>
        </w:rPr>
        <w:t>管道放线</w:t>
      </w:r>
    </w:p>
    <w:p w14:paraId="2A8A3706">
      <w:pPr>
        <w:widowControl/>
        <w:rPr>
          <w:rFonts w:hint="eastAsia" w:ascii="宋体" w:hAnsi="宋体" w:eastAsia="宋体" w:cs="宋体"/>
        </w:rPr>
      </w:pPr>
      <w:r>
        <w:rPr>
          <w:rFonts w:hint="eastAsia" w:ascii="宋体" w:hAnsi="宋体" w:eastAsia="宋体" w:cs="宋体"/>
        </w:rPr>
        <w:t>本工程</w:t>
      </w:r>
      <w:r>
        <w:rPr>
          <w:rFonts w:hint="eastAsia" w:ascii="宋体" w:hAnsi="宋体" w:eastAsia="宋体" w:cs="宋体"/>
          <w:lang w:eastAsia="zh-CN"/>
        </w:rPr>
        <w:t>压力管</w:t>
      </w:r>
      <w:r>
        <w:rPr>
          <w:rFonts w:hint="eastAsia" w:ascii="宋体" w:hAnsi="宋体" w:eastAsia="宋体" w:cs="宋体"/>
        </w:rPr>
        <w:t>道放线均按检查井坐标表严格放线，检查井坐标点为主线管道轴线投影与检查井横轴线交点。</w:t>
      </w:r>
    </w:p>
    <w:p w14:paraId="136DAA9D">
      <w:pPr>
        <w:pStyle w:val="4"/>
        <w:ind w:firstLine="560" w:firstLineChars="200"/>
        <w:rPr>
          <w:rFonts w:hint="eastAsia" w:ascii="宋体" w:hAnsi="宋体" w:eastAsia="宋体" w:cs="宋体"/>
        </w:rPr>
      </w:pPr>
      <w:r>
        <w:rPr>
          <w:rFonts w:hint="eastAsia" w:ascii="宋体" w:hAnsi="宋体" w:eastAsia="宋体" w:cs="宋体"/>
        </w:rPr>
        <w:t>现场复核</w:t>
      </w:r>
    </w:p>
    <w:p w14:paraId="7136FCCF">
      <w:pPr>
        <w:widowControl/>
        <w:rPr>
          <w:rFonts w:hint="eastAsia" w:ascii="宋体" w:hAnsi="宋体" w:eastAsia="宋体" w:cs="宋体"/>
        </w:rPr>
      </w:pPr>
      <w:r>
        <w:rPr>
          <w:rFonts w:hint="eastAsia" w:ascii="宋体" w:hAnsi="宋体" w:eastAsia="宋体" w:cs="宋体"/>
        </w:rPr>
        <w:t>本工程污水上下游管线必须接顺。设计要求在施工放线时首先复核上下游现状管渠、接纳水体等的位置、标高、断面尺寸等，若与设计有不符之处，必须立即通知设计单位研究处理。</w:t>
      </w:r>
    </w:p>
    <w:p w14:paraId="48D145F5">
      <w:pPr>
        <w:pStyle w:val="4"/>
        <w:ind w:firstLine="560" w:firstLineChars="200"/>
        <w:rPr>
          <w:rFonts w:hint="eastAsia"/>
        </w:rPr>
      </w:pPr>
      <w:r>
        <w:rPr>
          <w:rFonts w:hint="eastAsia" w:ascii="宋体" w:hAnsi="宋体" w:eastAsia="宋体" w:cs="宋体"/>
        </w:rPr>
        <w:t>沟槽开挖</w:t>
      </w:r>
    </w:p>
    <w:p w14:paraId="3BEFCF52">
      <w:pPr>
        <w:widowControl/>
        <w:rPr>
          <w:rFonts w:hint="eastAsia" w:ascii="宋体" w:hAnsi="宋体" w:eastAsia="宋体" w:cs="宋体"/>
        </w:rPr>
      </w:pPr>
      <w:r>
        <w:rPr>
          <w:rFonts w:hint="eastAsia" w:ascii="宋体" w:hAnsi="宋体" w:eastAsia="宋体" w:cs="宋体"/>
        </w:rPr>
        <w:t>管道基础做法详见本工程管道沟槽开挖断面大样图</w:t>
      </w:r>
      <w:r>
        <w:rPr>
          <w:rFonts w:hint="eastAsia" w:ascii="宋体" w:hAnsi="宋体" w:eastAsia="宋体" w:cs="宋体"/>
          <w:lang w:val="en-US" w:eastAsia="zh-CN"/>
        </w:rPr>
        <w:t>及管沟敷设大样图</w:t>
      </w:r>
      <w:r>
        <w:rPr>
          <w:rFonts w:hint="eastAsia" w:ascii="宋体" w:hAnsi="宋体" w:eastAsia="宋体" w:cs="宋体"/>
        </w:rPr>
        <w:t>。</w:t>
      </w:r>
    </w:p>
    <w:p w14:paraId="28A69D27">
      <w:pPr>
        <w:widowControl/>
        <w:rPr>
          <w:rFonts w:hint="eastAsia" w:ascii="宋体" w:hAnsi="宋体" w:eastAsia="宋体" w:cs="宋体"/>
          <w:lang w:val="en-US" w:eastAsia="zh-CN"/>
        </w:rPr>
      </w:pPr>
      <w:r>
        <w:rPr>
          <w:rFonts w:hint="eastAsia" w:ascii="宋体" w:hAnsi="宋体" w:eastAsia="宋体" w:cs="宋体"/>
          <w:lang w:val="en-US" w:eastAsia="zh-CN"/>
        </w:rPr>
        <w:t>本工程供水区气候温暖，管道深埋不考虑土壤冰冻深度。管道敷设尽可能沿地表布置，对无交通要求的区域管顶埋深按≥0.7m控制，在有交通要求的区域，管顶埋深按1.0m左右控制，或按交通相关规范控制。对于管道水压线在地面以下的局部管段，则将管顶埋至水压线以下2m，以避免出现负压。</w:t>
      </w:r>
    </w:p>
    <w:p w14:paraId="719DFA60">
      <w:pPr>
        <w:widowControl/>
        <w:rPr>
          <w:rFonts w:hint="default" w:ascii="宋体" w:hAnsi="宋体" w:eastAsia="宋体" w:cs="宋体"/>
          <w:lang w:val="en-US" w:eastAsia="zh-CN"/>
        </w:rPr>
      </w:pPr>
      <w:r>
        <w:rPr>
          <w:rFonts w:hint="eastAsia" w:ascii="宋体" w:hAnsi="宋体" w:eastAsia="宋体" w:cs="宋体"/>
        </w:rPr>
        <w:t>管道及构筑物沟槽开挖边坡应有一定的坡度以保证施工安全。沟槽开挖边坡按</w:t>
      </w:r>
      <w:r>
        <w:rPr>
          <w:rFonts w:hint="eastAsia" w:ascii="宋体" w:hAnsi="宋体" w:cs="仿宋_GB2312"/>
          <w:sz w:val="28"/>
          <w:szCs w:val="28"/>
        </w:rPr>
        <w:t>1:1.25</w:t>
      </w:r>
      <w:r>
        <w:rPr>
          <w:rFonts w:hint="eastAsia" w:ascii="宋体" w:hAnsi="宋体" w:eastAsia="宋体" w:cs="宋体"/>
        </w:rPr>
        <w:t>控制，如果现场条件不允许，必须设置挡板+内撑等措施。</w:t>
      </w:r>
      <w:r>
        <w:rPr>
          <w:rFonts w:hint="eastAsia" w:ascii="宋体" w:hAnsi="宋体" w:eastAsia="宋体" w:cs="宋体"/>
          <w:lang w:val="en-US" w:eastAsia="zh-CN"/>
        </w:rPr>
        <w:t>排水沟段开挖采用人工开挖，避免破坏原排水沟沟壁，只开挖沟底，垂直开挖，详见管沟敷设大样图。</w:t>
      </w:r>
    </w:p>
    <w:p w14:paraId="6ED3FC63">
      <w:pPr>
        <w:widowControl/>
        <w:rPr>
          <w:rFonts w:hint="eastAsia" w:ascii="宋体" w:hAnsi="宋体" w:eastAsia="宋体" w:cs="宋体"/>
          <w:highlight w:val="none"/>
          <w:lang w:val="en-US" w:eastAsia="zh-CN"/>
        </w:rPr>
      </w:pPr>
      <w:r>
        <w:rPr>
          <w:rFonts w:hint="eastAsia" w:ascii="宋体" w:hAnsi="宋体" w:eastAsia="宋体" w:cs="宋体"/>
          <w:highlight w:val="none"/>
          <w:lang w:val="en-US" w:eastAsia="zh-CN"/>
        </w:rPr>
        <w:t>注意事项：</w:t>
      </w:r>
    </w:p>
    <w:p w14:paraId="1E0DC5CB">
      <w:pPr>
        <w:widowControl/>
        <w:rPr>
          <w:rFonts w:hint="default" w:ascii="宋体" w:hAnsi="宋体" w:eastAsia="宋体" w:cs="宋体"/>
          <w:highlight w:val="none"/>
          <w:lang w:val="en-US" w:eastAsia="zh-CN"/>
        </w:rPr>
      </w:pPr>
      <w:r>
        <w:rPr>
          <w:rFonts w:hint="eastAsia" w:ascii="宋体" w:hAnsi="宋体" w:eastAsia="宋体" w:cs="宋体"/>
          <w:highlight w:val="none"/>
          <w:lang w:val="en-US" w:eastAsia="zh-CN"/>
        </w:rPr>
        <w:t>1、</w:t>
      </w:r>
      <w:r>
        <w:rPr>
          <w:rFonts w:hint="default" w:ascii="宋体" w:hAnsi="宋体" w:eastAsia="宋体" w:cs="宋体"/>
          <w:highlight w:val="none"/>
          <w:lang w:val="en-US" w:eastAsia="zh-CN"/>
        </w:rPr>
        <w:t>施工单位在施工前应核对图纸内容,设计数据，并对设计结构尺寸、标高等对照现场情况进行校核丈量，确认能满足施工及使用要求并与设计无误后方可施工。还应采取挖验措施确认地下管线位置，对受影响的通信、信号等地下设施给</w:t>
      </w:r>
      <w:r>
        <w:rPr>
          <w:rFonts w:hint="eastAsia" w:ascii="宋体" w:hAnsi="宋体" w:eastAsia="宋体" w:cs="宋体"/>
          <w:highlight w:val="none"/>
          <w:lang w:val="en-US" w:eastAsia="zh-CN"/>
        </w:rPr>
        <w:t>予</w:t>
      </w:r>
      <w:r>
        <w:rPr>
          <w:rFonts w:hint="default" w:ascii="宋体" w:hAnsi="宋体" w:eastAsia="宋体" w:cs="宋体"/>
          <w:highlight w:val="none"/>
          <w:lang w:val="en-US" w:eastAsia="zh-CN"/>
        </w:rPr>
        <w:t>防护与排迁，以防</w:t>
      </w:r>
      <w:r>
        <w:rPr>
          <w:rFonts w:hint="eastAsia" w:ascii="宋体" w:hAnsi="宋体" w:eastAsia="宋体" w:cs="宋体"/>
          <w:highlight w:val="none"/>
          <w:lang w:val="en-US" w:eastAsia="zh-CN"/>
        </w:rPr>
        <w:t>损</w:t>
      </w:r>
      <w:r>
        <w:rPr>
          <w:rFonts w:hint="default" w:ascii="宋体" w:hAnsi="宋体" w:eastAsia="宋体" w:cs="宋体"/>
          <w:highlight w:val="none"/>
          <w:lang w:val="en-US" w:eastAsia="zh-CN"/>
        </w:rPr>
        <w:t>坏。</w:t>
      </w:r>
    </w:p>
    <w:p w14:paraId="0F5752DB">
      <w:pPr>
        <w:widowControl/>
        <w:rPr>
          <w:rFonts w:hint="eastAsia" w:ascii="宋体" w:hAnsi="宋体" w:eastAsia="宋体" w:cs="宋体"/>
          <w:highlight w:val="none"/>
          <w:lang w:val="en-US" w:eastAsia="zh-CN"/>
        </w:rPr>
      </w:pPr>
      <w:r>
        <w:rPr>
          <w:rFonts w:hint="eastAsia" w:ascii="宋体" w:hAnsi="宋体" w:eastAsia="宋体" w:cs="宋体"/>
          <w:highlight w:val="none"/>
          <w:lang w:val="en-US" w:eastAsia="zh-CN"/>
        </w:rPr>
        <w:t>2、进入施工现场生产人员必须进行安全培训教育，并了解地下设施和高空设施的位置和类型，做好危险源辨识，消除事故隐患。</w:t>
      </w:r>
    </w:p>
    <w:p w14:paraId="424DD7F9">
      <w:pPr>
        <w:widowControl/>
        <w:rPr>
          <w:rFonts w:hint="default" w:ascii="宋体" w:hAnsi="宋体" w:eastAsia="宋体" w:cs="宋体"/>
          <w:highlight w:val="none"/>
          <w:lang w:val="en-US" w:eastAsia="zh-CN"/>
        </w:rPr>
      </w:pPr>
      <w:r>
        <w:rPr>
          <w:rFonts w:hint="default" w:ascii="宋体" w:hAnsi="宋体" w:eastAsia="宋体" w:cs="宋体"/>
          <w:highlight w:val="none"/>
          <w:lang w:val="en-US" w:eastAsia="zh-CN"/>
        </w:rPr>
        <w:t>3</w:t>
      </w:r>
      <w:r>
        <w:rPr>
          <w:rFonts w:hint="eastAsia" w:ascii="宋体" w:hAnsi="宋体" w:eastAsia="宋体" w:cs="宋体"/>
          <w:highlight w:val="none"/>
          <w:lang w:val="en-US" w:eastAsia="zh-CN"/>
        </w:rPr>
        <w:t>、</w:t>
      </w:r>
      <w:r>
        <w:rPr>
          <w:rFonts w:hint="default" w:ascii="宋体" w:hAnsi="宋体" w:eastAsia="宋体" w:cs="宋体"/>
          <w:highlight w:val="none"/>
          <w:lang w:val="en-US" w:eastAsia="zh-CN"/>
        </w:rPr>
        <w:t>设计要求管线穿越完毕后，应立即注浆封堵，并应在三个小时内注浆施工完。</w:t>
      </w:r>
    </w:p>
    <w:p w14:paraId="0BBA3FAC">
      <w:pPr>
        <w:widowControl/>
        <w:rPr>
          <w:rFonts w:hint="default" w:ascii="宋体" w:hAnsi="宋体" w:eastAsia="宋体" w:cs="宋体"/>
          <w:highlight w:val="none"/>
          <w:lang w:val="en-US" w:eastAsia="zh-CN"/>
        </w:rPr>
      </w:pPr>
      <w:r>
        <w:rPr>
          <w:rFonts w:hint="default" w:ascii="宋体" w:hAnsi="宋体" w:eastAsia="宋体" w:cs="宋体"/>
          <w:highlight w:val="none"/>
          <w:lang w:val="en-US" w:eastAsia="zh-CN"/>
        </w:rPr>
        <w:t>4</w:t>
      </w:r>
      <w:r>
        <w:rPr>
          <w:rFonts w:hint="eastAsia" w:ascii="宋体" w:hAnsi="宋体" w:eastAsia="宋体" w:cs="宋体"/>
          <w:highlight w:val="none"/>
          <w:lang w:val="en-US" w:eastAsia="zh-CN"/>
        </w:rPr>
        <w:t>、</w:t>
      </w:r>
      <w:r>
        <w:rPr>
          <w:rFonts w:hint="default" w:ascii="宋体" w:hAnsi="宋体" w:eastAsia="宋体" w:cs="宋体"/>
          <w:highlight w:val="none"/>
          <w:lang w:val="en-US" w:eastAsia="zh-CN"/>
        </w:rPr>
        <w:t>施工场地应设置安全警示屏障，避免非施工人员进入现场，施工用电应设置漏电保护和防雷接地措施。</w:t>
      </w:r>
    </w:p>
    <w:p w14:paraId="1C3A9C21">
      <w:pPr>
        <w:widowControl/>
        <w:rPr>
          <w:rFonts w:hint="default" w:ascii="宋体" w:hAnsi="宋体" w:eastAsia="宋体" w:cs="宋体"/>
          <w:highlight w:val="none"/>
          <w:lang w:val="en-US" w:eastAsia="zh-CN"/>
        </w:rPr>
      </w:pPr>
      <w:r>
        <w:rPr>
          <w:rFonts w:hint="default" w:ascii="宋体" w:hAnsi="宋体" w:eastAsia="宋体" w:cs="宋体"/>
          <w:highlight w:val="none"/>
          <w:lang w:val="en-US" w:eastAsia="zh-CN"/>
        </w:rPr>
        <w:t>5</w:t>
      </w:r>
      <w:r>
        <w:rPr>
          <w:rFonts w:hint="eastAsia" w:ascii="宋体" w:hAnsi="宋体" w:eastAsia="宋体" w:cs="宋体"/>
          <w:highlight w:val="none"/>
          <w:lang w:val="en-US" w:eastAsia="zh-CN"/>
        </w:rPr>
        <w:t>、</w:t>
      </w:r>
      <w:r>
        <w:rPr>
          <w:rFonts w:hint="default" w:ascii="宋体" w:hAnsi="宋体" w:eastAsia="宋体" w:cs="宋体"/>
          <w:highlight w:val="none"/>
          <w:lang w:val="en-US" w:eastAsia="zh-CN"/>
        </w:rPr>
        <w:t>施工现场应具有消防措施和设备。</w:t>
      </w:r>
    </w:p>
    <w:p w14:paraId="712FAF4D">
      <w:pPr>
        <w:widowControl/>
        <w:rPr>
          <w:rFonts w:hint="default" w:ascii="宋体" w:hAnsi="宋体" w:eastAsia="宋体" w:cs="宋体"/>
          <w:highlight w:val="none"/>
          <w:lang w:val="en-US" w:eastAsia="zh-CN"/>
        </w:rPr>
      </w:pPr>
      <w:r>
        <w:rPr>
          <w:rFonts w:hint="default" w:ascii="宋体" w:hAnsi="宋体" w:eastAsia="宋体" w:cs="宋体"/>
          <w:highlight w:val="none"/>
          <w:lang w:val="en-US" w:eastAsia="zh-CN"/>
        </w:rPr>
        <w:t>6</w:t>
      </w:r>
      <w:r>
        <w:rPr>
          <w:rFonts w:hint="eastAsia" w:ascii="宋体" w:hAnsi="宋体" w:eastAsia="宋体" w:cs="宋体"/>
          <w:highlight w:val="none"/>
          <w:lang w:val="en-US" w:eastAsia="zh-CN"/>
        </w:rPr>
        <w:t>、</w:t>
      </w:r>
      <w:r>
        <w:rPr>
          <w:rFonts w:hint="default" w:ascii="宋体" w:hAnsi="宋体" w:eastAsia="宋体" w:cs="宋体"/>
          <w:highlight w:val="none"/>
          <w:lang w:val="en-US" w:eastAsia="zh-CN"/>
        </w:rPr>
        <w:t>实钻导向孔轨迹应符合设计轨透要求，偏差应在设计允许范围内。</w:t>
      </w:r>
    </w:p>
    <w:p w14:paraId="29FE308F">
      <w:pPr>
        <w:widowControl/>
        <w:rPr>
          <w:rFonts w:hint="default" w:ascii="宋体" w:hAnsi="宋体" w:eastAsia="宋体" w:cs="宋体"/>
          <w:highlight w:val="none"/>
          <w:lang w:val="en-US" w:eastAsia="zh-CN"/>
        </w:rPr>
      </w:pPr>
      <w:r>
        <w:rPr>
          <w:rFonts w:hint="default" w:ascii="宋体" w:hAnsi="宋体" w:eastAsia="宋体" w:cs="宋体"/>
          <w:highlight w:val="none"/>
          <w:lang w:val="en-US" w:eastAsia="zh-CN"/>
        </w:rPr>
        <w:t>7</w:t>
      </w:r>
      <w:r>
        <w:rPr>
          <w:rFonts w:hint="eastAsia" w:ascii="宋体" w:hAnsi="宋体" w:eastAsia="宋体" w:cs="宋体"/>
          <w:highlight w:val="none"/>
          <w:lang w:val="en-US" w:eastAsia="zh-CN"/>
        </w:rPr>
        <w:t>、</w:t>
      </w:r>
      <w:r>
        <w:rPr>
          <w:rFonts w:hint="default" w:ascii="宋体" w:hAnsi="宋体" w:eastAsia="宋体" w:cs="宋体"/>
          <w:highlight w:val="none"/>
          <w:lang w:val="en-US" w:eastAsia="zh-CN"/>
        </w:rPr>
        <w:t>导向孔轨迹测量应采用导向仪随钻测控深度、顶角、方位角、工具面向角等基本参数。</w:t>
      </w:r>
    </w:p>
    <w:p w14:paraId="3322AF53">
      <w:pPr>
        <w:widowControl/>
        <w:rPr>
          <w:rFonts w:hint="default" w:ascii="宋体" w:hAnsi="宋体" w:eastAsia="宋体" w:cs="宋体"/>
          <w:highlight w:val="none"/>
          <w:lang w:val="en-US" w:eastAsia="zh-CN"/>
        </w:rPr>
      </w:pPr>
      <w:r>
        <w:rPr>
          <w:rFonts w:hint="default" w:ascii="宋体" w:hAnsi="宋体" w:eastAsia="宋体" w:cs="宋体"/>
          <w:highlight w:val="none"/>
          <w:lang w:val="en-US" w:eastAsia="zh-CN"/>
        </w:rPr>
        <w:t>8</w:t>
      </w:r>
      <w:r>
        <w:rPr>
          <w:rFonts w:hint="eastAsia" w:ascii="宋体" w:hAnsi="宋体" w:eastAsia="宋体" w:cs="宋体"/>
          <w:highlight w:val="none"/>
          <w:lang w:val="en-US" w:eastAsia="zh-CN"/>
        </w:rPr>
        <w:t>、</w:t>
      </w:r>
      <w:r>
        <w:rPr>
          <w:rFonts w:hint="default" w:ascii="宋体" w:hAnsi="宋体" w:eastAsia="宋体" w:cs="宋体"/>
          <w:highlight w:val="none"/>
          <w:lang w:val="en-US" w:eastAsia="zh-CN"/>
        </w:rPr>
        <w:t>生产管材应符合下列要求:应有产品合格、技术质量证明文件:外观无缺陷、裂纹、弯曲、变形:材质的物理性能应符合国家现行有关标准规定:接材料和</w:t>
      </w:r>
      <w:r>
        <w:rPr>
          <w:rFonts w:hint="eastAsia" w:ascii="宋体" w:hAnsi="宋体" w:eastAsia="宋体" w:cs="宋体"/>
          <w:highlight w:val="none"/>
          <w:lang w:val="en-US" w:eastAsia="zh-CN"/>
        </w:rPr>
        <w:t>热熔</w:t>
      </w:r>
      <w:r>
        <w:rPr>
          <w:rFonts w:hint="default" w:ascii="宋体" w:hAnsi="宋体" w:eastAsia="宋体" w:cs="宋体"/>
          <w:highlight w:val="none"/>
          <w:lang w:val="en-US" w:eastAsia="zh-CN"/>
        </w:rPr>
        <w:t>设备应符合设计要求。当设计无要求时，</w:t>
      </w:r>
      <w:r>
        <w:rPr>
          <w:rFonts w:hint="eastAsia" w:ascii="宋体" w:hAnsi="宋体" w:eastAsia="宋体" w:cs="宋体"/>
          <w:highlight w:val="none"/>
          <w:lang w:val="en-US" w:eastAsia="zh-CN"/>
        </w:rPr>
        <w:t>热熔</w:t>
      </w:r>
      <w:r>
        <w:rPr>
          <w:rFonts w:hint="default" w:ascii="宋体" w:hAnsi="宋体" w:eastAsia="宋体" w:cs="宋体"/>
          <w:highlight w:val="none"/>
          <w:lang w:val="en-US" w:eastAsia="zh-CN"/>
        </w:rPr>
        <w:t>材料和</w:t>
      </w:r>
      <w:r>
        <w:rPr>
          <w:rFonts w:hint="eastAsia" w:ascii="宋体" w:hAnsi="宋体" w:eastAsia="宋体" w:cs="宋体"/>
          <w:highlight w:val="none"/>
          <w:lang w:val="en-US" w:eastAsia="zh-CN"/>
        </w:rPr>
        <w:t>热熔</w:t>
      </w:r>
      <w:r>
        <w:rPr>
          <w:rFonts w:hint="default" w:ascii="宋体" w:hAnsi="宋体" w:eastAsia="宋体" w:cs="宋体"/>
          <w:highlight w:val="none"/>
          <w:lang w:val="en-US" w:eastAsia="zh-CN"/>
        </w:rPr>
        <w:t>设备应与选用管材相匹配。</w:t>
      </w:r>
    </w:p>
    <w:p w14:paraId="08EB5879">
      <w:pPr>
        <w:widowControl/>
        <w:rPr>
          <w:rFonts w:hint="default" w:ascii="宋体" w:hAnsi="宋体" w:eastAsia="宋体" w:cs="宋体"/>
          <w:highlight w:val="none"/>
          <w:lang w:val="en-US" w:eastAsia="zh-CN"/>
        </w:rPr>
      </w:pPr>
      <w:r>
        <w:rPr>
          <w:rFonts w:hint="eastAsia" w:ascii="宋体" w:hAnsi="宋体" w:eastAsia="宋体" w:cs="宋体"/>
          <w:highlight w:val="none"/>
          <w:lang w:val="en-US" w:eastAsia="zh-CN"/>
        </w:rPr>
        <w:t>9、</w:t>
      </w:r>
      <w:r>
        <w:rPr>
          <w:rFonts w:hint="default" w:ascii="宋体" w:hAnsi="宋体" w:eastAsia="宋体" w:cs="宋体"/>
          <w:highlight w:val="none"/>
          <w:lang w:val="en-US" w:eastAsia="zh-CN"/>
        </w:rPr>
        <w:t>竣工后对线路要进行整修。</w:t>
      </w:r>
    </w:p>
    <w:p w14:paraId="66AE620E">
      <w:pPr>
        <w:widowControl/>
        <w:rPr>
          <w:rFonts w:hint="default" w:ascii="宋体" w:hAnsi="宋体" w:eastAsia="宋体" w:cs="宋体"/>
          <w:highlight w:val="none"/>
          <w:lang w:val="en-US" w:eastAsia="zh-CN"/>
        </w:rPr>
      </w:pPr>
      <w:r>
        <w:rPr>
          <w:rFonts w:hint="default" w:ascii="宋体" w:hAnsi="宋体" w:eastAsia="宋体" w:cs="宋体"/>
          <w:highlight w:val="none"/>
          <w:lang w:val="en-US" w:eastAsia="zh-CN"/>
        </w:rPr>
        <w:t>1</w:t>
      </w:r>
      <w:r>
        <w:rPr>
          <w:rFonts w:hint="eastAsia" w:ascii="宋体" w:hAnsi="宋体" w:eastAsia="宋体" w:cs="宋体"/>
          <w:highlight w:val="none"/>
          <w:lang w:val="en-US" w:eastAsia="zh-CN"/>
        </w:rPr>
        <w:t>0、</w:t>
      </w:r>
      <w:r>
        <w:rPr>
          <w:rFonts w:hint="default" w:ascii="宋体" w:hAnsi="宋体" w:eastAsia="宋体" w:cs="宋体"/>
          <w:highlight w:val="none"/>
          <w:lang w:val="en-US" w:eastAsia="zh-CN"/>
        </w:rPr>
        <w:t>未尽事宜请按有关规定办理</w:t>
      </w:r>
    </w:p>
    <w:p w14:paraId="7727B790">
      <w:pPr>
        <w:pStyle w:val="4"/>
        <w:ind w:firstLine="560" w:firstLineChars="200"/>
        <w:rPr>
          <w:rFonts w:hint="eastAsia" w:ascii="宋体" w:hAnsi="宋体" w:eastAsia="宋体" w:cs="宋体"/>
        </w:rPr>
      </w:pPr>
      <w:r>
        <w:rPr>
          <w:rFonts w:hint="eastAsia" w:ascii="宋体" w:hAnsi="宋体" w:eastAsia="宋体" w:cs="宋体"/>
        </w:rPr>
        <w:t>地基处理</w:t>
      </w:r>
    </w:p>
    <w:p w14:paraId="49B9F5AA">
      <w:pPr>
        <w:widowControl/>
        <w:rPr>
          <w:rFonts w:hint="eastAsia" w:ascii="宋体" w:hAnsi="宋体" w:eastAsia="宋体" w:cs="宋体"/>
        </w:rPr>
      </w:pPr>
      <w:r>
        <w:rPr>
          <w:rFonts w:hint="eastAsia" w:ascii="宋体" w:hAnsi="宋体" w:eastAsia="宋体" w:cs="宋体"/>
        </w:rPr>
        <w:t>管道及构筑物地基承载力不小于0.2Mpa（有特殊要求的，按相关设计图说）。沟槽在填方地段、地基受到扰动或沟槽超挖的，管道基础以下必须分层夯实回填，密实度不小于90%。</w:t>
      </w:r>
    </w:p>
    <w:p w14:paraId="7E125964">
      <w:pPr>
        <w:widowControl/>
        <w:rPr>
          <w:rFonts w:hint="eastAsia" w:ascii="宋体" w:hAnsi="宋体" w:eastAsia="宋体" w:cs="宋体"/>
        </w:rPr>
      </w:pPr>
      <w:r>
        <w:rPr>
          <w:rFonts w:hint="eastAsia" w:ascii="宋体" w:hAnsi="宋体" w:eastAsia="宋体" w:cs="宋体"/>
        </w:rPr>
        <w:t>对于地质条件较差地段，如淤泥、杂填土等，必须进行换填。换填材料根据具体情况分别采用原土、砂石、浆砌片石、素混凝土等，具体采用材料及换填深度按相关设计图说。</w:t>
      </w:r>
    </w:p>
    <w:p w14:paraId="20FC3AFB">
      <w:pPr>
        <w:pStyle w:val="4"/>
        <w:ind w:firstLine="560" w:firstLineChars="200"/>
        <w:rPr>
          <w:rFonts w:hint="eastAsia" w:ascii="宋体" w:hAnsi="宋体" w:eastAsia="宋体" w:cs="宋体"/>
        </w:rPr>
      </w:pPr>
      <w:r>
        <w:rPr>
          <w:rFonts w:hint="eastAsia" w:ascii="宋体" w:hAnsi="宋体" w:eastAsia="宋体" w:cs="宋体"/>
        </w:rPr>
        <w:t>管道安装</w:t>
      </w:r>
    </w:p>
    <w:p w14:paraId="076F6729">
      <w:pPr>
        <w:widowControl/>
        <w:rPr>
          <w:rFonts w:hint="eastAsia" w:ascii="宋体" w:hAnsi="宋体" w:eastAsia="宋体" w:cs="宋体"/>
        </w:rPr>
      </w:pPr>
      <w:r>
        <w:rPr>
          <w:rFonts w:hint="eastAsia" w:ascii="宋体" w:hAnsi="宋体" w:eastAsia="宋体" w:cs="宋体"/>
        </w:rPr>
        <w:t>所有管道的安装必须严格执行《给水</w:t>
      </w:r>
      <w:r>
        <w:rPr>
          <w:rFonts w:hint="eastAsia" w:ascii="宋体" w:hAnsi="宋体" w:eastAsia="宋体" w:cs="宋体"/>
          <w:lang w:eastAsia="zh-CN"/>
        </w:rPr>
        <w:t>压力管</w:t>
      </w:r>
      <w:r>
        <w:rPr>
          <w:rFonts w:hint="eastAsia" w:ascii="宋体" w:hAnsi="宋体" w:eastAsia="宋体" w:cs="宋体"/>
        </w:rPr>
        <w:t>道工程施工及验收规范》（GB50268—2008）的规定。塑料管的安装主要参考生产厂家提供的使用说明书技术要求，还必须符合相关专业规程。</w:t>
      </w:r>
    </w:p>
    <w:p w14:paraId="57D5374E">
      <w:pPr>
        <w:pStyle w:val="4"/>
        <w:ind w:firstLine="560" w:firstLineChars="200"/>
        <w:rPr>
          <w:rFonts w:hint="eastAsia" w:ascii="宋体" w:hAnsi="宋体" w:eastAsia="宋体" w:cs="宋体"/>
        </w:rPr>
      </w:pPr>
      <w:r>
        <w:rPr>
          <w:rFonts w:hint="eastAsia" w:ascii="宋体" w:hAnsi="宋体" w:eastAsia="宋体" w:cs="宋体"/>
        </w:rPr>
        <w:t>测试与试验</w:t>
      </w:r>
    </w:p>
    <w:p w14:paraId="29B79A02">
      <w:pPr>
        <w:widowControl/>
        <w:rPr>
          <w:rFonts w:hint="eastAsia" w:ascii="宋体" w:hAnsi="宋体" w:eastAsia="宋体" w:cs="宋体"/>
        </w:rPr>
      </w:pPr>
      <w:r>
        <w:rPr>
          <w:rFonts w:hint="eastAsia" w:ascii="宋体" w:hAnsi="宋体" w:eastAsia="宋体" w:cs="宋体"/>
        </w:rPr>
        <w:t>所有的材料、产品均应有出厂检验合格证书，进场应按相关程序进行进场检验。</w:t>
      </w:r>
    </w:p>
    <w:p w14:paraId="039BFD12">
      <w:pPr>
        <w:widowControl/>
        <w:rPr>
          <w:rFonts w:hint="eastAsia" w:ascii="宋体" w:hAnsi="宋体" w:eastAsia="宋体" w:cs="宋体"/>
        </w:rPr>
      </w:pPr>
      <w:r>
        <w:rPr>
          <w:rFonts w:hint="eastAsia" w:ascii="宋体" w:hAnsi="宋体" w:eastAsia="宋体" w:cs="宋体"/>
          <w:lang w:eastAsia="zh-CN"/>
        </w:rPr>
        <w:t>压力管</w:t>
      </w:r>
      <w:r>
        <w:rPr>
          <w:rFonts w:hint="eastAsia" w:ascii="宋体" w:hAnsi="宋体" w:eastAsia="宋体" w:cs="宋体"/>
        </w:rPr>
        <w:t>道在接口安装完毕后，须进行接口的水密性试验，试验方法按照各自相关专业规范进行。所有的污水管道在回填前还必须按照《给水</w:t>
      </w:r>
      <w:r>
        <w:rPr>
          <w:rFonts w:hint="eastAsia" w:ascii="宋体" w:hAnsi="宋体" w:eastAsia="宋体" w:cs="宋体"/>
          <w:lang w:eastAsia="zh-CN"/>
        </w:rPr>
        <w:t>压力管</w:t>
      </w:r>
      <w:r>
        <w:rPr>
          <w:rFonts w:hint="eastAsia" w:ascii="宋体" w:hAnsi="宋体" w:eastAsia="宋体" w:cs="宋体"/>
        </w:rPr>
        <w:t>道工程施工及验收规范》（GB50268—2008）的规定做管段闭水试验。</w:t>
      </w:r>
    </w:p>
    <w:p w14:paraId="124853D0">
      <w:pPr>
        <w:pStyle w:val="4"/>
        <w:ind w:firstLine="560" w:firstLineChars="200"/>
        <w:rPr>
          <w:rFonts w:hint="eastAsia" w:ascii="宋体" w:hAnsi="宋体" w:eastAsia="宋体" w:cs="宋体"/>
        </w:rPr>
      </w:pPr>
      <w:r>
        <w:rPr>
          <w:rFonts w:hint="eastAsia" w:ascii="宋体" w:hAnsi="宋体" w:eastAsia="宋体" w:cs="宋体"/>
        </w:rPr>
        <w:t>沟槽回填</w:t>
      </w:r>
    </w:p>
    <w:p w14:paraId="7BC415D8">
      <w:pPr>
        <w:widowControl/>
        <w:rPr>
          <w:rFonts w:hint="eastAsia" w:ascii="宋体" w:hAnsi="宋体" w:eastAsia="宋体" w:cs="宋体"/>
        </w:rPr>
      </w:pPr>
      <w:r>
        <w:rPr>
          <w:rFonts w:hint="eastAsia" w:ascii="宋体" w:hAnsi="宋体" w:eastAsia="宋体" w:cs="宋体"/>
        </w:rPr>
        <w:t>管道及构筑物沟槽回填必须在混凝土及砂浆达到80%以上（有特殊要求的，按相关设计图说）设计强度后方可进行。</w:t>
      </w:r>
    </w:p>
    <w:p w14:paraId="2C870405">
      <w:pPr>
        <w:widowControl/>
        <w:rPr>
          <w:rFonts w:hint="eastAsia" w:ascii="宋体" w:hAnsi="宋体" w:eastAsia="宋体" w:cs="宋体"/>
        </w:rPr>
      </w:pPr>
      <w:r>
        <w:rPr>
          <w:rFonts w:hint="eastAsia" w:ascii="宋体" w:hAnsi="宋体" w:eastAsia="宋体" w:cs="宋体"/>
        </w:rPr>
        <w:t>柔性管道沟槽，铺设后即修筑路面或管道位于软土底层以及低洼、沼泽、地下水位高地段时，沟槽回填宜先用中、粗砂将管底腋脚部位填充密实后，再用中、粗砂分层回填到管顶以上500mm。</w:t>
      </w:r>
    </w:p>
    <w:p w14:paraId="52B1F3BB">
      <w:pPr>
        <w:widowControl/>
        <w:rPr>
          <w:rFonts w:hint="eastAsia" w:ascii="宋体" w:hAnsi="宋体" w:eastAsia="宋体" w:cs="宋体"/>
        </w:rPr>
      </w:pPr>
      <w:r>
        <w:rPr>
          <w:rFonts w:hint="eastAsia" w:ascii="宋体" w:hAnsi="宋体" w:eastAsia="宋体" w:cs="宋体"/>
        </w:rPr>
        <w:t>路面范围内的井室周围采用石英土、砂、砂砾等材料回填，其回填宽度不宜小于400mm；在道路范围内，压实度应达到道路路基密实度要求，同时必须符合《给水</w:t>
      </w:r>
      <w:r>
        <w:rPr>
          <w:rFonts w:hint="eastAsia" w:ascii="宋体" w:hAnsi="宋体" w:eastAsia="宋体" w:cs="宋体"/>
          <w:lang w:eastAsia="zh-CN"/>
        </w:rPr>
        <w:t>压力管</w:t>
      </w:r>
      <w:r>
        <w:rPr>
          <w:rFonts w:hint="eastAsia" w:ascii="宋体" w:hAnsi="宋体" w:eastAsia="宋体" w:cs="宋体"/>
        </w:rPr>
        <w:t>道工程施工及验收规范》（GB50268-2008）相关规定。</w:t>
      </w:r>
    </w:p>
    <w:p w14:paraId="0FE02474">
      <w:pPr>
        <w:widowControl/>
        <w:rPr>
          <w:rFonts w:hint="eastAsia" w:ascii="宋体" w:hAnsi="宋体" w:eastAsia="宋体" w:cs="宋体"/>
        </w:rPr>
      </w:pPr>
      <w:r>
        <w:rPr>
          <w:rFonts w:hint="eastAsia" w:ascii="宋体" w:hAnsi="宋体" w:eastAsia="宋体" w:cs="宋体"/>
        </w:rPr>
        <w:t>管区（沟槽底至管顶以上1.0m范围内）禁止采用推土机等大型机械进行回填。管顶严禁使用重锤夯实。</w:t>
      </w:r>
    </w:p>
    <w:p w14:paraId="3C8EACD4">
      <w:pPr>
        <w:pStyle w:val="4"/>
        <w:ind w:firstLine="560" w:firstLineChars="200"/>
        <w:rPr>
          <w:rFonts w:hint="eastAsia" w:ascii="宋体" w:hAnsi="宋体" w:eastAsia="宋体" w:cs="宋体"/>
          <w:lang w:val="en-US" w:eastAsia="zh-CN"/>
        </w:rPr>
      </w:pPr>
      <w:r>
        <w:rPr>
          <w:rFonts w:hint="eastAsia" w:ascii="宋体" w:hAnsi="宋体" w:eastAsia="宋体" w:cs="宋体"/>
          <w:lang w:val="en-US" w:eastAsia="zh-CN"/>
        </w:rPr>
        <w:t>雨水涵洞管道固定</w:t>
      </w:r>
    </w:p>
    <w:p w14:paraId="0A09DBFC">
      <w:pPr>
        <w:widowControl/>
        <w:rPr>
          <w:rFonts w:hint="eastAsia" w:ascii="宋体" w:hAnsi="宋体" w:eastAsia="宋体" w:cs="宋体"/>
          <w:lang w:val="en-US" w:eastAsia="zh-CN"/>
        </w:rPr>
      </w:pPr>
      <w:r>
        <w:rPr>
          <w:rFonts w:hint="eastAsia" w:ascii="宋体" w:hAnsi="宋体" w:eastAsia="宋体" w:cs="宋体"/>
          <w:lang w:val="en-US" w:eastAsia="zh-CN"/>
        </w:rPr>
        <w:t>管道应固定于雨水箱涵右上角，尽量减少水流断面，参照03S402,页144施工。</w:t>
      </w:r>
    </w:p>
    <w:p w14:paraId="779661A7">
      <w:pPr>
        <w:widowControl/>
        <w:jc w:val="center"/>
        <w:rPr>
          <w:rFonts w:hint="default" w:ascii="宋体" w:hAnsi="宋体" w:eastAsia="宋体" w:cs="宋体"/>
          <w:lang w:val="en-US" w:eastAsia="zh-CN"/>
        </w:rPr>
      </w:pPr>
      <w:r>
        <w:drawing>
          <wp:inline distT="0" distB="0" distL="114300" distR="114300">
            <wp:extent cx="4231640" cy="2780030"/>
            <wp:effectExtent l="0" t="0" r="1651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4231640" cy="2780030"/>
                    </a:xfrm>
                    <a:prstGeom prst="rect">
                      <a:avLst/>
                    </a:prstGeom>
                    <a:noFill/>
                    <a:ln>
                      <a:noFill/>
                    </a:ln>
                  </pic:spPr>
                </pic:pic>
              </a:graphicData>
            </a:graphic>
          </wp:inline>
        </w:drawing>
      </w:r>
    </w:p>
    <w:p w14:paraId="24E32F9D">
      <w:pPr>
        <w:pStyle w:val="3"/>
        <w:rPr>
          <w:rFonts w:hint="eastAsia" w:ascii="宋体" w:hAnsi="宋体" w:eastAsia="宋体" w:cs="宋体"/>
        </w:rPr>
      </w:pPr>
      <w:r>
        <w:rPr>
          <w:rFonts w:hint="eastAsia" w:ascii="宋体" w:hAnsi="宋体" w:eastAsia="宋体" w:cs="宋体"/>
        </w:rPr>
        <w:t>施工安装中注意事项</w:t>
      </w:r>
    </w:p>
    <w:p w14:paraId="3AA659BA">
      <w:pPr>
        <w:widowControl/>
        <w:rPr>
          <w:rFonts w:hint="eastAsia" w:ascii="宋体" w:hAnsi="宋体" w:eastAsia="宋体" w:cs="宋体"/>
        </w:rPr>
      </w:pPr>
      <w:r>
        <w:rPr>
          <w:rFonts w:hint="eastAsia" w:ascii="宋体" w:hAnsi="宋体" w:eastAsia="宋体" w:cs="宋体"/>
        </w:rPr>
        <w:t>（1）施工单位在施工前，须复核上、下游市政</w:t>
      </w:r>
      <w:r>
        <w:rPr>
          <w:rFonts w:hint="eastAsia" w:ascii="宋体" w:hAnsi="宋体" w:eastAsia="宋体" w:cs="宋体"/>
          <w:lang w:eastAsia="zh-CN"/>
        </w:rPr>
        <w:t>压力管</w:t>
      </w:r>
      <w:r>
        <w:rPr>
          <w:rFonts w:hint="eastAsia" w:ascii="宋体" w:hAnsi="宋体" w:eastAsia="宋体" w:cs="宋体"/>
        </w:rPr>
        <w:t>道（沟）接入处标高，避免水接不进来和排不出去的事故发生。如测量结果与本次设计标高相冲突，及时与设计方联系，以作出调整，只有待设计方调整完后方能施工。</w:t>
      </w:r>
    </w:p>
    <w:p w14:paraId="1ACCF72F">
      <w:pPr>
        <w:widowControl/>
        <w:rPr>
          <w:rFonts w:hint="eastAsia" w:ascii="宋体" w:hAnsi="宋体" w:eastAsia="宋体" w:cs="宋体"/>
        </w:rPr>
      </w:pPr>
      <w:r>
        <w:rPr>
          <w:rFonts w:hint="eastAsia" w:ascii="宋体" w:hAnsi="宋体" w:eastAsia="宋体" w:cs="宋体"/>
        </w:rPr>
        <w:t>（2）工程正式开工前，建设单位应组织一次图纸技术交底。施工单位在施工前请认真仔细读图，若本设计图中有实际情况与设计不符之处或错漏之处，请及时与设计单位联系作出调整后方能施工。</w:t>
      </w:r>
    </w:p>
    <w:p w14:paraId="44338BE8">
      <w:pPr>
        <w:widowControl/>
        <w:rPr>
          <w:rFonts w:hint="eastAsia" w:ascii="宋体" w:hAnsi="宋体" w:eastAsia="宋体" w:cs="宋体"/>
        </w:rPr>
      </w:pPr>
      <w:r>
        <w:rPr>
          <w:rFonts w:hint="eastAsia" w:ascii="宋体" w:hAnsi="宋体" w:eastAsia="宋体" w:cs="宋体"/>
        </w:rPr>
        <w:t>（3）如果工程现场与设计基础资料有较大出入或者有障碍物影响施工，需要变更设计的，由施工方提出，监理同意，业主发送设计变更函件给设计单位，设计方调整变更完后，施工方根据正式的设计变更文件进行施工。</w:t>
      </w:r>
    </w:p>
    <w:p w14:paraId="088B2837">
      <w:pPr>
        <w:widowControl/>
        <w:rPr>
          <w:rFonts w:hint="eastAsia" w:ascii="宋体" w:hAnsi="宋体" w:eastAsia="宋体" w:cs="宋体"/>
        </w:rPr>
      </w:pPr>
      <w:r>
        <w:rPr>
          <w:rFonts w:hint="eastAsia" w:ascii="宋体" w:hAnsi="宋体" w:eastAsia="宋体" w:cs="宋体"/>
        </w:rPr>
        <w:t>（4）检查井井面标高应根据实际路面标高合理调整，保持与完成后路面齐平。当井面实际标高与设计标高有较大出入时，应及时通知设计人员进行复核确认。</w:t>
      </w:r>
    </w:p>
    <w:p w14:paraId="5D926CCB">
      <w:pPr>
        <w:widowControl/>
        <w:rPr>
          <w:rFonts w:hint="eastAsia" w:ascii="宋体" w:hAnsi="宋体" w:eastAsia="宋体" w:cs="宋体"/>
        </w:rPr>
      </w:pPr>
      <w:r>
        <w:rPr>
          <w:rFonts w:hint="eastAsia" w:ascii="宋体" w:hAnsi="宋体" w:eastAsia="宋体" w:cs="宋体"/>
        </w:rPr>
        <w:t>（5）沟槽开挖时应注意施工安全，开挖放坡坡度根据实际地质情况和地勘报告求严格按规范要求执行，防止跨塌伤人事故发生。同时开挖中必须严格注意开挖边线与周边现状建构筑物的关系，沟槽开挖不得影响建构筑物的结构安全。</w:t>
      </w:r>
    </w:p>
    <w:p w14:paraId="55648508">
      <w:pPr>
        <w:widowControl/>
        <w:rPr>
          <w:rFonts w:hint="eastAsia" w:ascii="宋体" w:hAnsi="宋体" w:eastAsia="宋体" w:cs="宋体"/>
        </w:rPr>
      </w:pPr>
      <w:r>
        <w:rPr>
          <w:rFonts w:hint="eastAsia" w:ascii="宋体" w:hAnsi="宋体" w:eastAsia="宋体" w:cs="宋体"/>
        </w:rPr>
        <w:t>（6）混凝土及钢筋混凝土构筑物必须浇筑密实，不得出现蜂窝、麻面。在所有的钢筋混凝土构件上的预留孔洞、预埋套管及预埋件，在混凝土浇筑前必须由水专业的施工人员配合工作，并签署后方可浇筑，以免错漏和移位，严禁事后打孔凿洞。</w:t>
      </w:r>
    </w:p>
    <w:p w14:paraId="0C506338">
      <w:pPr>
        <w:widowControl/>
        <w:rPr>
          <w:rFonts w:hint="eastAsia" w:ascii="宋体" w:hAnsi="宋体" w:eastAsia="宋体" w:cs="宋体"/>
        </w:rPr>
      </w:pPr>
      <w:r>
        <w:rPr>
          <w:rFonts w:hint="eastAsia" w:ascii="宋体" w:hAnsi="宋体" w:eastAsia="宋体" w:cs="宋体"/>
        </w:rPr>
        <w:t>（7）施工过程中出现的实际问题，施工单位上报监理，会同业主、质检、设计协商处理，施工单位不得擅自处理，否则设计单位一概不认，对施工问题的处理，应以书面签署盖章为准。</w:t>
      </w:r>
    </w:p>
    <w:p w14:paraId="02FB109F">
      <w:pPr>
        <w:widowControl/>
        <w:rPr>
          <w:rFonts w:hint="eastAsia" w:ascii="宋体" w:hAnsi="宋体" w:eastAsia="宋体" w:cs="宋体"/>
        </w:rPr>
      </w:pPr>
      <w:r>
        <w:rPr>
          <w:rFonts w:hint="eastAsia" w:ascii="宋体" w:hAnsi="宋体" w:eastAsia="宋体" w:cs="宋体"/>
        </w:rPr>
        <w:t>（8）塑胶管道须进行管道密闭性、管道变形及沟槽回填土密实度检验，管道初始变形需要满足技术规程的要求。</w:t>
      </w:r>
    </w:p>
    <w:p w14:paraId="74B95CDB">
      <w:pPr>
        <w:widowControl/>
        <w:rPr>
          <w:rFonts w:hint="eastAsia" w:ascii="宋体" w:hAnsi="宋体" w:eastAsia="宋体" w:cs="宋体"/>
        </w:rPr>
      </w:pPr>
      <w:r>
        <w:rPr>
          <w:rFonts w:hint="eastAsia" w:ascii="宋体" w:hAnsi="宋体" w:eastAsia="宋体" w:cs="宋体"/>
        </w:rPr>
        <w:t>（9）施工前必须做好防洪工作和施工组织计划，有组织，有计划，有步骤组织施工。并组织材料进场，堆放，搞好临时排水。施工组织计划须经项目监理研究批准后才可允许进场施工。</w:t>
      </w:r>
    </w:p>
    <w:p w14:paraId="062C2724">
      <w:pPr>
        <w:widowControl/>
        <w:rPr>
          <w:rFonts w:hint="eastAsia" w:ascii="宋体" w:hAnsi="宋体" w:eastAsia="宋体" w:cs="宋体"/>
        </w:rPr>
      </w:pPr>
      <w:r>
        <w:rPr>
          <w:rFonts w:hint="eastAsia" w:ascii="宋体" w:hAnsi="宋体" w:eastAsia="宋体" w:cs="宋体"/>
        </w:rPr>
        <w:t>（10）所有的材料、产品均应有出厂检验合格证书，进场应按相关程序进行进场检验。管道接口在安装完毕后，须进行接口的水密性试验，试验方法按照各自相关专业规范进行。</w:t>
      </w:r>
    </w:p>
    <w:p w14:paraId="66E63192">
      <w:pPr>
        <w:widowControl/>
        <w:rPr>
          <w:rFonts w:hint="eastAsia" w:ascii="宋体" w:hAnsi="宋体" w:eastAsia="宋体" w:cs="宋体"/>
        </w:rPr>
      </w:pPr>
      <w:r>
        <w:rPr>
          <w:rFonts w:hint="eastAsia" w:ascii="宋体" w:hAnsi="宋体" w:eastAsia="宋体" w:cs="宋体"/>
        </w:rPr>
        <w:t>（11）施工中做好施工记录和资料整理，资料必须满足业主要求及国家规定。</w:t>
      </w:r>
    </w:p>
    <w:p w14:paraId="28088F4C">
      <w:pPr>
        <w:widowControl/>
        <w:rPr>
          <w:rFonts w:hint="eastAsia" w:ascii="宋体" w:hAnsi="宋体" w:eastAsia="宋体" w:cs="宋体"/>
        </w:rPr>
      </w:pPr>
      <w:r>
        <w:rPr>
          <w:rFonts w:hint="eastAsia" w:ascii="宋体" w:hAnsi="宋体" w:eastAsia="宋体" w:cs="宋体"/>
        </w:rPr>
        <w:t>（12）</w:t>
      </w:r>
      <w:r>
        <w:rPr>
          <w:rFonts w:hint="eastAsia" w:ascii="宋体" w:hAnsi="宋体" w:eastAsia="宋体" w:cs="宋体"/>
          <w:lang w:eastAsia="zh-CN"/>
        </w:rPr>
        <w:t>压力管</w:t>
      </w:r>
      <w:r>
        <w:rPr>
          <w:rFonts w:hint="eastAsia" w:ascii="宋体" w:hAnsi="宋体" w:eastAsia="宋体" w:cs="宋体"/>
        </w:rPr>
        <w:t>道必须做闭水试验，按照《给水</w:t>
      </w:r>
      <w:r>
        <w:rPr>
          <w:rFonts w:hint="eastAsia" w:ascii="宋体" w:hAnsi="宋体" w:eastAsia="宋体" w:cs="宋体"/>
          <w:lang w:eastAsia="zh-CN"/>
        </w:rPr>
        <w:t>压力管</w:t>
      </w:r>
      <w:r>
        <w:rPr>
          <w:rFonts w:hint="eastAsia" w:ascii="宋体" w:hAnsi="宋体" w:eastAsia="宋体" w:cs="宋体"/>
        </w:rPr>
        <w:t>道施工及验收规范》执行。</w:t>
      </w:r>
    </w:p>
    <w:p w14:paraId="6B6E279B">
      <w:pPr>
        <w:widowControl/>
        <w:rPr>
          <w:rFonts w:hint="eastAsia" w:ascii="宋体" w:hAnsi="宋体" w:eastAsia="宋体" w:cs="宋体"/>
        </w:rPr>
      </w:pPr>
      <w:r>
        <w:rPr>
          <w:rFonts w:hint="eastAsia" w:ascii="宋体" w:hAnsi="宋体" w:eastAsia="宋体" w:cs="宋体"/>
        </w:rPr>
        <w:t>（13）工程施工中间验收和竣工验收必须严格按照国家及项目所在地的工程管理相关法规、规定程序进行。需要设计单位参加验收的分部工程，应在该分部工程按设计要求完成后，下道工序未进行之前及时通知设计单位。验收前施工单位应事先准备好必须的相关图表等技术资料，并有业主代表、监理、质监及相关部门共同参与进行。</w:t>
      </w:r>
    </w:p>
    <w:p w14:paraId="7BF24CB5">
      <w:pPr>
        <w:ind w:firstLine="562"/>
        <w:rPr>
          <w:rFonts w:hint="eastAsia" w:ascii="宋体" w:hAnsi="宋体" w:eastAsia="宋体" w:cs="宋体"/>
          <w:b/>
        </w:rPr>
      </w:pPr>
      <w:r>
        <w:rPr>
          <w:rFonts w:hint="eastAsia" w:ascii="宋体" w:hAnsi="宋体" w:eastAsia="宋体" w:cs="宋体"/>
          <w:b/>
        </w:rPr>
        <w:t>（14）根据《关于进一步加强城市</w:t>
      </w:r>
      <w:r>
        <w:rPr>
          <w:rFonts w:hint="eastAsia" w:ascii="宋体" w:hAnsi="宋体" w:eastAsia="宋体" w:cs="宋体"/>
          <w:b/>
          <w:lang w:eastAsia="zh-CN"/>
        </w:rPr>
        <w:t>压力管</w:t>
      </w:r>
      <w:r>
        <w:rPr>
          <w:rFonts w:hint="eastAsia" w:ascii="宋体" w:hAnsi="宋体" w:eastAsia="宋体" w:cs="宋体"/>
          <w:b/>
        </w:rPr>
        <w:t>网工程建设质量管理工作的通知》（渝建发〔2019〕10号），</w:t>
      </w:r>
      <w:r>
        <w:rPr>
          <w:rFonts w:hint="eastAsia" w:ascii="宋体" w:hAnsi="宋体" w:eastAsia="宋体" w:cs="宋体"/>
          <w:b/>
          <w:lang w:eastAsia="zh-CN"/>
        </w:rPr>
        <w:t>压力管</w:t>
      </w:r>
      <w:r>
        <w:rPr>
          <w:rFonts w:hint="eastAsia" w:ascii="宋体" w:hAnsi="宋体" w:eastAsia="宋体" w:cs="宋体"/>
          <w:b/>
        </w:rPr>
        <w:t>网工程竣工验收资料应当包含管道内窥检测报告（含影像资料）、竣工测量成果资料等相关工程资料。市政工程配套的</w:t>
      </w:r>
      <w:r>
        <w:rPr>
          <w:rFonts w:hint="eastAsia" w:ascii="宋体" w:hAnsi="宋体" w:eastAsia="宋体" w:cs="宋体"/>
          <w:b/>
          <w:lang w:eastAsia="zh-CN"/>
        </w:rPr>
        <w:t>压力管</w:t>
      </w:r>
      <w:r>
        <w:rPr>
          <w:rFonts w:hint="eastAsia" w:ascii="宋体" w:hAnsi="宋体" w:eastAsia="宋体" w:cs="宋体"/>
          <w:b/>
        </w:rPr>
        <w:t>网工程还应提供排水行业主管部门核发的排水许可证/对因工程建设改迁排水设施的相关审核意见。</w:t>
      </w:r>
    </w:p>
    <w:p w14:paraId="1975AF12">
      <w:pPr>
        <w:widowControl/>
        <w:rPr>
          <w:rFonts w:hint="eastAsia" w:ascii="宋体" w:hAnsi="宋体" w:eastAsia="宋体" w:cs="宋体"/>
        </w:rPr>
      </w:pPr>
      <w:r>
        <w:rPr>
          <w:rFonts w:hint="eastAsia" w:ascii="宋体" w:hAnsi="宋体" w:eastAsia="宋体" w:cs="宋体"/>
        </w:rPr>
        <w:t>（15）管道沿线及出水口须设置安全警示标示。</w:t>
      </w:r>
    </w:p>
    <w:p w14:paraId="52CA0DFE">
      <w:pPr>
        <w:widowControl/>
        <w:rPr>
          <w:rFonts w:hint="eastAsia" w:ascii="宋体" w:hAnsi="宋体" w:eastAsia="宋体" w:cs="宋体"/>
        </w:rPr>
      </w:pPr>
      <w:r>
        <w:rPr>
          <w:rFonts w:hint="eastAsia" w:ascii="宋体" w:hAnsi="宋体" w:eastAsia="宋体" w:cs="宋体"/>
        </w:rPr>
        <w:t>（16）根据《重庆市住房和城乡建设委员会关于主城区城市建筑垃圾再生产品推广应用试点工作的指导意见》（渝建【2019】434号）文件精神，本项目属于主城区城市建设项目，项目建筑垃圾再生产品替代用量大于30%。</w:t>
      </w:r>
    </w:p>
    <w:p w14:paraId="2C87BBEA">
      <w:pPr>
        <w:widowControl/>
        <w:rPr>
          <w:rFonts w:hint="eastAsia" w:ascii="宋体" w:hAnsi="宋体" w:eastAsia="宋体" w:cs="宋体"/>
        </w:rPr>
      </w:pPr>
      <w:r>
        <w:rPr>
          <w:rFonts w:hint="eastAsia" w:ascii="宋体" w:hAnsi="宋体" w:eastAsia="宋体" w:cs="宋体"/>
        </w:rPr>
        <w:t>（17）其余未尽事宜按国家现行相关规范和标准执行。</w:t>
      </w:r>
    </w:p>
    <w:p w14:paraId="6E40D666">
      <w:pPr>
        <w:pStyle w:val="2"/>
        <w:rPr>
          <w:rFonts w:hint="eastAsia" w:ascii="宋体" w:hAnsi="宋体" w:eastAsia="宋体" w:cs="宋体"/>
        </w:rPr>
      </w:pPr>
      <w:r>
        <w:rPr>
          <w:rFonts w:hint="eastAsia" w:ascii="宋体" w:hAnsi="宋体" w:eastAsia="宋体" w:cs="宋体"/>
        </w:rPr>
        <w:t>现状综合管网保护</w:t>
      </w:r>
    </w:p>
    <w:p w14:paraId="486DF174">
      <w:pPr>
        <w:widowControl/>
        <w:rPr>
          <w:rFonts w:hint="eastAsia" w:ascii="宋体" w:hAnsi="宋体" w:eastAsia="宋体" w:cs="宋体"/>
        </w:rPr>
      </w:pPr>
      <w:r>
        <w:rPr>
          <w:rFonts w:hint="eastAsia" w:ascii="宋体" w:hAnsi="宋体" w:eastAsia="宋体" w:cs="宋体"/>
        </w:rPr>
        <w:t>区域内道路下现状综合管线（排水、给水、燃气、电力、通信等）错综复杂，对本次新建</w:t>
      </w:r>
      <w:r>
        <w:rPr>
          <w:rFonts w:hint="eastAsia" w:ascii="宋体" w:hAnsi="宋体" w:eastAsia="宋体" w:cs="宋体"/>
          <w:lang w:eastAsia="zh-CN"/>
        </w:rPr>
        <w:t>压力管</w:t>
      </w:r>
      <w:r>
        <w:rPr>
          <w:rFonts w:hint="eastAsia" w:ascii="宋体" w:hAnsi="宋体" w:eastAsia="宋体" w:cs="宋体"/>
        </w:rPr>
        <w:t>道的实施影响较大。本次设计新建</w:t>
      </w:r>
      <w:r>
        <w:rPr>
          <w:rFonts w:hint="eastAsia" w:ascii="宋体" w:hAnsi="宋体" w:eastAsia="宋体" w:cs="宋体"/>
          <w:lang w:eastAsia="zh-CN"/>
        </w:rPr>
        <w:t>压力管</w:t>
      </w:r>
      <w:r>
        <w:rPr>
          <w:rFonts w:hint="eastAsia" w:ascii="宋体" w:hAnsi="宋体" w:eastAsia="宋体" w:cs="宋体"/>
        </w:rPr>
        <w:t>道的管位已根据现状综合管线物探资料尽量避开现状综合管线，但管道开挖断面将对部分现状综合管线产生影响。施工时，施工方需根据沟槽开挖断面的具体宽度来确定受影响的现状综合管线临时迁改或保护的措施及其工程量，优先选择临时支撑保护；若因影响施工作业而需迁改现状综合管线，需在临时迁改新通道建设完毕之前，保证原通道工作畅通，不影响周边市政水、电、气的供应。</w:t>
      </w:r>
    </w:p>
    <w:p w14:paraId="3CD4C648">
      <w:pPr>
        <w:widowControl/>
        <w:rPr>
          <w:rFonts w:hint="eastAsia" w:ascii="宋体" w:hAnsi="宋体" w:eastAsia="宋体" w:cs="宋体"/>
        </w:rPr>
      </w:pPr>
      <w:r>
        <w:rPr>
          <w:rFonts w:hint="eastAsia" w:ascii="宋体" w:hAnsi="宋体" w:eastAsia="宋体" w:cs="宋体"/>
        </w:rPr>
        <w:t>另外，新建</w:t>
      </w:r>
      <w:r>
        <w:rPr>
          <w:rFonts w:hint="eastAsia" w:ascii="宋体" w:hAnsi="宋体" w:eastAsia="宋体" w:cs="宋体"/>
          <w:lang w:eastAsia="zh-CN"/>
        </w:rPr>
        <w:t>压力管</w:t>
      </w:r>
      <w:r>
        <w:rPr>
          <w:rFonts w:hint="eastAsia" w:ascii="宋体" w:hAnsi="宋体" w:eastAsia="宋体" w:cs="宋体"/>
        </w:rPr>
        <w:t>道实施过程中，若遇到现状管线检查井、消火栓、阀门井等需要临时迁改或破坏，则在管道实施完毕后，需对现状井做原样恢复。</w:t>
      </w:r>
    </w:p>
    <w:p w14:paraId="49C79B83">
      <w:pPr>
        <w:widowControl/>
        <w:rPr>
          <w:rFonts w:hint="eastAsia" w:ascii="宋体" w:hAnsi="宋体" w:eastAsia="宋体" w:cs="宋体"/>
        </w:rPr>
      </w:pPr>
      <w:r>
        <w:rPr>
          <w:rFonts w:hint="eastAsia" w:ascii="宋体" w:hAnsi="宋体" w:eastAsia="宋体" w:cs="宋体"/>
        </w:rPr>
        <w:t>本次设计仅统计现状综合管线迁改与保护工程量，具体迁改与保护方案由施工方根据沟槽开挖具体情况制定，迁改与保护方案需经过建设方、监理方、设计单位、管线权属单位的认可后方可实施。</w:t>
      </w:r>
    </w:p>
    <w:p w14:paraId="09A5C4E3">
      <w:pPr>
        <w:pStyle w:val="2"/>
        <w:rPr>
          <w:rFonts w:hint="eastAsia" w:ascii="宋体" w:hAnsi="宋体" w:eastAsia="宋体" w:cs="宋体"/>
        </w:rPr>
      </w:pPr>
      <w:r>
        <w:rPr>
          <w:rFonts w:hint="eastAsia" w:ascii="宋体" w:hAnsi="宋体" w:eastAsia="宋体" w:cs="宋体"/>
        </w:rPr>
        <w:t>验收</w:t>
      </w:r>
    </w:p>
    <w:p w14:paraId="377EF934">
      <w:pPr>
        <w:widowControl/>
        <w:rPr>
          <w:rFonts w:hint="eastAsia" w:ascii="宋体" w:hAnsi="宋体" w:eastAsia="宋体" w:cs="宋体"/>
        </w:rPr>
      </w:pPr>
      <w:r>
        <w:rPr>
          <w:rFonts w:hint="eastAsia" w:ascii="宋体" w:hAnsi="宋体" w:eastAsia="宋体" w:cs="宋体"/>
        </w:rPr>
        <w:t>工程中间验收和竣工验收必须严格按照国家及重庆市工程管理相关法规、规定程序进行。需要设计单位参加验收的分部工程，应在该分部工程按设计要求完成后，下道工序未进行之前及时通知设计单位。验收前施工单位应事先准备好必须的相关图表等技术资料，并有业主代表、监理、质监及相关部门共同参与进行。</w:t>
      </w:r>
    </w:p>
    <w:p w14:paraId="1D2B1756">
      <w:pPr>
        <w:pStyle w:val="2"/>
        <w:rPr>
          <w:rStyle w:val="45"/>
          <w:rFonts w:hint="eastAsia" w:ascii="宋体" w:hAnsi="宋体" w:eastAsia="宋体" w:cs="宋体"/>
          <w:b w:val="0"/>
          <w:color w:val="auto"/>
          <w:kern w:val="0"/>
          <w:u w:val="none"/>
        </w:rPr>
      </w:pPr>
      <w:r>
        <w:rPr>
          <w:rStyle w:val="45"/>
          <w:rFonts w:hint="eastAsia" w:ascii="宋体" w:hAnsi="宋体" w:eastAsia="宋体" w:cs="宋体"/>
          <w:color w:val="auto"/>
          <w:kern w:val="0"/>
          <w:u w:val="none"/>
        </w:rPr>
        <w:t>抗震设计</w:t>
      </w:r>
    </w:p>
    <w:p w14:paraId="192AF0BF">
      <w:pPr>
        <w:widowControl/>
        <w:rPr>
          <w:rFonts w:hint="eastAsia" w:ascii="宋体" w:hAnsi="宋体" w:eastAsia="宋体" w:cs="宋体"/>
        </w:rPr>
      </w:pPr>
      <w:r>
        <w:rPr>
          <w:rFonts w:hint="eastAsia" w:ascii="宋体" w:hAnsi="宋体" w:eastAsia="宋体" w:cs="宋体"/>
        </w:rPr>
        <w:t>该项目处于地震设防6度区域，根据《室外给水排水和燃气热力工程抗震设计规范》GB 50032-2003第1.0.8条，本项目管道结构可不进行抗震验算，需按7度设防的要求采用抗震措施，为此，本次</w:t>
      </w:r>
      <w:r>
        <w:rPr>
          <w:rFonts w:hint="eastAsia" w:ascii="宋体" w:hAnsi="宋体" w:eastAsia="宋体" w:cs="宋体"/>
          <w:lang w:eastAsia="zh-CN"/>
        </w:rPr>
        <w:t>压力管</w:t>
      </w:r>
      <w:r>
        <w:rPr>
          <w:rFonts w:hint="eastAsia" w:ascii="宋体" w:hAnsi="宋体" w:eastAsia="宋体" w:cs="宋体"/>
        </w:rPr>
        <w:t>道采用以下的抗震措施：</w:t>
      </w:r>
    </w:p>
    <w:p w14:paraId="1F629333">
      <w:pPr>
        <w:widowControl/>
        <w:rPr>
          <w:rFonts w:hint="eastAsia" w:ascii="宋体" w:hAnsi="宋体" w:eastAsia="宋体" w:cs="宋体"/>
        </w:rPr>
      </w:pPr>
      <w:r>
        <w:rPr>
          <w:rFonts w:hint="eastAsia" w:ascii="宋体" w:hAnsi="宋体" w:eastAsia="宋体" w:cs="宋体"/>
        </w:rPr>
        <w:t>（1）管道接口根据管道材质和地质条件确定均采取柔性接口；</w:t>
      </w:r>
    </w:p>
    <w:p w14:paraId="23B5CDC4">
      <w:pPr>
        <w:widowControl/>
        <w:rPr>
          <w:rFonts w:hint="eastAsia" w:ascii="宋体" w:hAnsi="宋体" w:eastAsia="宋体" w:cs="宋体"/>
        </w:rPr>
      </w:pPr>
      <w:r>
        <w:rPr>
          <w:rFonts w:hint="eastAsia" w:ascii="宋体" w:hAnsi="宋体" w:eastAsia="宋体" w:cs="宋体"/>
        </w:rPr>
        <w:t>（2）禁止采用砖砌检查井，均统一采用C30砼现浇检查井；混合结构的矩形管道及沉砂井基础应采用整体底板，底板应为钢筋混凝土结构；</w:t>
      </w:r>
    </w:p>
    <w:p w14:paraId="10A3A190">
      <w:pPr>
        <w:widowControl/>
        <w:rPr>
          <w:rFonts w:hint="eastAsia" w:ascii="宋体" w:hAnsi="宋体" w:eastAsia="宋体" w:cs="宋体"/>
        </w:rPr>
      </w:pPr>
      <w:r>
        <w:rPr>
          <w:rFonts w:hint="eastAsia" w:ascii="宋体" w:hAnsi="宋体" w:eastAsia="宋体" w:cs="宋体"/>
        </w:rPr>
        <w:t>（3）直埋承插式圆形管道应在下列部位设置柔性接头及变形缝：</w:t>
      </w:r>
    </w:p>
    <w:p w14:paraId="7079BE1E">
      <w:pPr>
        <w:widowControl/>
        <w:rPr>
          <w:rFonts w:hint="eastAsia" w:ascii="宋体" w:hAnsi="宋体" w:eastAsia="宋体" w:cs="宋体"/>
        </w:rPr>
      </w:pPr>
      <w:r>
        <w:rPr>
          <w:rFonts w:hint="eastAsia" w:ascii="宋体" w:hAnsi="宋体" w:eastAsia="宋体" w:cs="宋体"/>
        </w:rPr>
        <w:t>①地基土质突变处；</w:t>
      </w:r>
    </w:p>
    <w:p w14:paraId="097F7691">
      <w:pPr>
        <w:widowControl/>
        <w:rPr>
          <w:rFonts w:hint="eastAsia" w:ascii="宋体" w:hAnsi="宋体" w:eastAsia="宋体" w:cs="宋体"/>
        </w:rPr>
      </w:pPr>
      <w:r>
        <w:rPr>
          <w:rFonts w:hint="eastAsia" w:ascii="宋体" w:hAnsi="宋体" w:eastAsia="宋体" w:cs="宋体"/>
        </w:rPr>
        <w:t>②穿越重要交通干线两段；</w:t>
      </w:r>
    </w:p>
    <w:p w14:paraId="79F46147">
      <w:pPr>
        <w:widowControl/>
        <w:rPr>
          <w:rFonts w:hint="eastAsia" w:ascii="宋体" w:hAnsi="宋体" w:eastAsia="宋体" w:cs="宋体"/>
        </w:rPr>
      </w:pPr>
      <w:r>
        <w:rPr>
          <w:rFonts w:hint="eastAsia" w:ascii="宋体" w:hAnsi="宋体" w:eastAsia="宋体" w:cs="宋体"/>
        </w:rPr>
        <w:t>③承插式管道的三通、四通、大于45°的弯头等附件与直线管段连接处。</w:t>
      </w:r>
    </w:p>
    <w:p w14:paraId="2F44E15F">
      <w:pPr>
        <w:widowControl/>
        <w:rPr>
          <w:rFonts w:hint="eastAsia" w:ascii="宋体" w:hAnsi="宋体" w:eastAsia="宋体" w:cs="宋体"/>
        </w:rPr>
      </w:pPr>
      <w:r>
        <w:rPr>
          <w:rFonts w:hint="eastAsia" w:ascii="宋体" w:hAnsi="宋体" w:eastAsia="宋体" w:cs="宋体"/>
        </w:rPr>
        <w:t>结构材料应符合《建筑抗震设计规范》GB50011的规定，块石砌体的强度等级不应低于Mu20，砂浆不低于M7.5，混凝土强度不低于C25。本次设计混凝土采用C30。</w:t>
      </w:r>
    </w:p>
    <w:p w14:paraId="0086C7AB">
      <w:pPr>
        <w:pStyle w:val="2"/>
        <w:rPr>
          <w:rStyle w:val="45"/>
          <w:rFonts w:hint="eastAsia" w:ascii="宋体" w:hAnsi="宋体" w:eastAsia="宋体" w:cs="宋体"/>
          <w:color w:val="auto"/>
          <w:u w:val="none"/>
        </w:rPr>
      </w:pPr>
      <w:r>
        <w:rPr>
          <w:rStyle w:val="45"/>
          <w:rFonts w:hint="eastAsia" w:ascii="宋体" w:hAnsi="宋体" w:eastAsia="宋体" w:cs="宋体"/>
          <w:color w:val="auto"/>
          <w:u w:val="none"/>
        </w:rPr>
        <w:t>涉及危大工程的重点部位和环节及保障措施</w:t>
      </w:r>
    </w:p>
    <w:p w14:paraId="4DA6898B">
      <w:pPr>
        <w:widowControl/>
        <w:rPr>
          <w:rFonts w:hint="eastAsia" w:ascii="宋体" w:hAnsi="宋体" w:eastAsia="宋体" w:cs="宋体"/>
        </w:rPr>
      </w:pPr>
      <w:r>
        <w:rPr>
          <w:rFonts w:hint="eastAsia" w:ascii="宋体" w:hAnsi="宋体" w:eastAsia="宋体" w:cs="宋体"/>
        </w:rPr>
        <w:t>根据《渝建质安〔2022〕110号 重庆市危险性较大的分部分项工程安全管理实施细则（2022版）》、《建设工程安全生产管理条例》（国务院令393号）、住房和城乡建设部《危险性较大的分部分项工程安全管理规定》（住建部令第37号）和《关于实施《危险性较大的分部分项工程安全管理规定》有关问题的通知》（建办质〔2018〕31号），本项目排水工程涉及的危大工程包括开挖深度超过3m（含3m）的基坑（槽）的土方开挖、支护工程、可能影响行人、交通、电力设施、通讯设施或其他建、构筑物安全的拆除工程。本工程施工单位应该根据上述文件要求编制专项顶管安全施工方案并明确安全防护、应急措施。</w:t>
      </w:r>
    </w:p>
    <w:p w14:paraId="08F76999">
      <w:pPr>
        <w:widowControl/>
        <w:rPr>
          <w:rFonts w:hint="default" w:ascii="宋体" w:hAnsi="宋体" w:eastAsia="宋体" w:cs="宋体"/>
          <w:lang w:val="en-US" w:eastAsia="zh-CN"/>
        </w:rPr>
      </w:pPr>
      <w:r>
        <w:rPr>
          <w:rFonts w:hint="eastAsia" w:ascii="宋体" w:hAnsi="宋体" w:eastAsia="宋体" w:cs="宋体"/>
        </w:rPr>
        <w:t>（1）本工程涉及危大工程重点部位和环节及保障措施如下：</w:t>
      </w:r>
      <w:r>
        <w:rPr>
          <w:rFonts w:hint="eastAsia" w:ascii="宋体" w:hAnsi="宋体" w:eastAsia="宋体" w:cs="宋体"/>
          <w:lang w:val="en-US" w:eastAsia="zh-CN"/>
        </w:rPr>
        <w:t xml:space="preserve">  </w:t>
      </w:r>
    </w:p>
    <w:p w14:paraId="169AD831">
      <w:pPr>
        <w:pStyle w:val="11"/>
        <w:keepNext/>
        <w:rPr>
          <w:rFonts w:hint="eastAsia" w:ascii="宋体" w:hAnsi="宋体" w:cs="宋体"/>
        </w:rPr>
      </w:pPr>
      <w:r>
        <w:rPr>
          <w:rFonts w:hint="eastAsia" w:ascii="宋体" w:hAnsi="宋体" w:cs="宋体"/>
        </w:rPr>
        <w:t xml:space="preserve">表 </w:t>
      </w:r>
      <w:r>
        <w:rPr>
          <w:rFonts w:hint="eastAsia" w:ascii="宋体" w:hAnsi="宋体" w:cs="宋体"/>
        </w:rPr>
        <w:fldChar w:fldCharType="begin"/>
      </w:r>
      <w:r>
        <w:rPr>
          <w:rFonts w:hint="eastAsia" w:ascii="宋体" w:hAnsi="宋体" w:cs="宋体"/>
        </w:rPr>
        <w:instrText xml:space="preserve"> STYLEREF 1 \s </w:instrText>
      </w:r>
      <w:r>
        <w:rPr>
          <w:rFonts w:hint="eastAsia" w:ascii="宋体" w:hAnsi="宋体" w:cs="宋体"/>
        </w:rPr>
        <w:fldChar w:fldCharType="separate"/>
      </w:r>
      <w:r>
        <w:rPr>
          <w:rFonts w:hint="eastAsia" w:ascii="宋体" w:hAnsi="宋体" w:cs="宋体"/>
        </w:rPr>
        <w:t>8</w:t>
      </w:r>
      <w:r>
        <w:rPr>
          <w:rFonts w:hint="eastAsia" w:ascii="宋体" w:hAnsi="宋体" w:cs="宋体"/>
        </w:rPr>
        <w:fldChar w:fldCharType="end"/>
      </w:r>
      <w:r>
        <w:rPr>
          <w:rFonts w:hint="eastAsia" w:ascii="宋体" w:hAnsi="宋体" w:cs="宋体"/>
        </w:rPr>
        <w:noBreakHyphen/>
      </w:r>
      <w:r>
        <w:rPr>
          <w:rFonts w:hint="eastAsia" w:ascii="宋体" w:hAnsi="宋体" w:cs="宋体"/>
        </w:rPr>
        <w:fldChar w:fldCharType="begin"/>
      </w:r>
      <w:r>
        <w:rPr>
          <w:rFonts w:hint="eastAsia" w:ascii="宋体" w:hAnsi="宋体" w:cs="宋体"/>
        </w:rPr>
        <w:instrText xml:space="preserve"> SEQ 表 \* ARABIC \s 1 </w:instrText>
      </w:r>
      <w:r>
        <w:rPr>
          <w:rFonts w:hint="eastAsia" w:ascii="宋体" w:hAnsi="宋体" w:cs="宋体"/>
        </w:rPr>
        <w:fldChar w:fldCharType="separate"/>
      </w:r>
      <w:r>
        <w:rPr>
          <w:rFonts w:hint="eastAsia" w:ascii="宋体" w:hAnsi="宋体" w:cs="宋体"/>
        </w:rPr>
        <w:t>1</w:t>
      </w:r>
      <w:r>
        <w:rPr>
          <w:rFonts w:hint="eastAsia" w:ascii="宋体" w:hAnsi="宋体" w:cs="宋体"/>
        </w:rPr>
        <w:fldChar w:fldCharType="end"/>
      </w:r>
      <w:r>
        <w:rPr>
          <w:rFonts w:hint="eastAsia" w:ascii="宋体" w:hAnsi="宋体" w:cs="宋体"/>
        </w:rPr>
        <w:t xml:space="preserve"> 危大工程重点部位和环节及保障措施意见</w:t>
      </w:r>
    </w:p>
    <w:tbl>
      <w:tblPr>
        <w:tblStyle w:val="39"/>
        <w:tblW w:w="92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
        <w:gridCol w:w="1035"/>
        <w:gridCol w:w="685"/>
        <w:gridCol w:w="2701"/>
        <w:gridCol w:w="4364"/>
      </w:tblGrid>
      <w:tr w14:paraId="51F59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0" w:type="auto"/>
            <w:vAlign w:val="center"/>
          </w:tcPr>
          <w:p w14:paraId="4D649FD3">
            <w:pPr>
              <w:pStyle w:val="206"/>
              <w:rPr>
                <w:rFonts w:hint="eastAsia" w:ascii="宋体" w:hAnsi="宋体" w:cs="宋体"/>
              </w:rPr>
            </w:pPr>
            <w:r>
              <w:rPr>
                <w:rFonts w:hint="eastAsia" w:ascii="宋体" w:hAnsi="宋体" w:cs="宋体"/>
              </w:rPr>
              <w:t>序号</w:t>
            </w:r>
          </w:p>
        </w:tc>
        <w:tc>
          <w:tcPr>
            <w:tcW w:w="0" w:type="auto"/>
            <w:gridSpan w:val="2"/>
            <w:vAlign w:val="center"/>
          </w:tcPr>
          <w:p w14:paraId="28543B32">
            <w:pPr>
              <w:pStyle w:val="206"/>
              <w:rPr>
                <w:rFonts w:hint="eastAsia" w:ascii="宋体" w:hAnsi="宋体" w:cs="宋体"/>
              </w:rPr>
            </w:pPr>
            <w:r>
              <w:rPr>
                <w:rFonts w:hint="eastAsia" w:ascii="宋体" w:hAnsi="宋体" w:cs="宋体"/>
              </w:rPr>
              <w:t>危大工程名称</w:t>
            </w:r>
          </w:p>
        </w:tc>
        <w:tc>
          <w:tcPr>
            <w:tcW w:w="0" w:type="auto"/>
            <w:vAlign w:val="center"/>
          </w:tcPr>
          <w:p w14:paraId="426FA2F6">
            <w:pPr>
              <w:pStyle w:val="206"/>
              <w:rPr>
                <w:rFonts w:hint="eastAsia" w:ascii="宋体" w:hAnsi="宋体" w:cs="宋体"/>
              </w:rPr>
            </w:pPr>
            <w:r>
              <w:rPr>
                <w:rFonts w:hint="eastAsia" w:ascii="宋体" w:hAnsi="宋体" w:cs="宋体"/>
              </w:rPr>
              <w:t>重点部位及环节</w:t>
            </w:r>
          </w:p>
        </w:tc>
        <w:tc>
          <w:tcPr>
            <w:tcW w:w="0" w:type="auto"/>
            <w:vAlign w:val="center"/>
          </w:tcPr>
          <w:p w14:paraId="4FCBA13D">
            <w:pPr>
              <w:pStyle w:val="206"/>
              <w:rPr>
                <w:rFonts w:hint="eastAsia" w:ascii="宋体" w:hAnsi="宋体" w:cs="宋体"/>
                <w:lang w:eastAsia="zh-CN"/>
              </w:rPr>
            </w:pPr>
            <w:r>
              <w:rPr>
                <w:rFonts w:hint="eastAsia" w:ascii="宋体" w:hAnsi="宋体" w:cs="宋体"/>
                <w:lang w:eastAsia="zh-CN"/>
              </w:rPr>
              <w:t>保障工程周边环境安全和工程施工安全意见</w:t>
            </w:r>
          </w:p>
        </w:tc>
      </w:tr>
      <w:tr w14:paraId="352BB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7" w:hRule="atLeast"/>
          <w:jc w:val="center"/>
        </w:trPr>
        <w:tc>
          <w:tcPr>
            <w:tcW w:w="0" w:type="auto"/>
            <w:vMerge w:val="restart"/>
            <w:vAlign w:val="center"/>
          </w:tcPr>
          <w:p w14:paraId="55453517">
            <w:pPr>
              <w:pStyle w:val="206"/>
              <w:rPr>
                <w:rFonts w:hint="eastAsia" w:ascii="宋体" w:hAnsi="宋体" w:cs="宋体"/>
              </w:rPr>
            </w:pPr>
            <w:r>
              <w:rPr>
                <w:rFonts w:hint="eastAsia" w:ascii="宋体" w:hAnsi="宋体" w:cs="宋体"/>
              </w:rPr>
              <w:t>1</w:t>
            </w:r>
          </w:p>
        </w:tc>
        <w:tc>
          <w:tcPr>
            <w:tcW w:w="0" w:type="auto"/>
            <w:vMerge w:val="restart"/>
            <w:vAlign w:val="center"/>
          </w:tcPr>
          <w:p w14:paraId="5B128507">
            <w:pPr>
              <w:pStyle w:val="206"/>
              <w:rPr>
                <w:rFonts w:hint="eastAsia" w:ascii="宋体" w:hAnsi="宋体" w:cs="宋体"/>
                <w:lang w:eastAsia="zh-CN"/>
              </w:rPr>
            </w:pPr>
            <w:r>
              <w:rPr>
                <w:rFonts w:hint="eastAsia" w:ascii="宋体" w:hAnsi="宋体" w:cs="宋体"/>
                <w:lang w:eastAsia="zh-CN"/>
              </w:rPr>
              <w:t>基坑支护降水工程和土方开挖</w:t>
            </w:r>
          </w:p>
        </w:tc>
        <w:tc>
          <w:tcPr>
            <w:tcW w:w="0" w:type="auto"/>
            <w:vAlign w:val="center"/>
          </w:tcPr>
          <w:p w14:paraId="708636EE">
            <w:pPr>
              <w:pStyle w:val="206"/>
              <w:rPr>
                <w:rFonts w:hint="eastAsia" w:ascii="宋体" w:hAnsi="宋体" w:cs="宋体"/>
              </w:rPr>
            </w:pPr>
            <w:r>
              <w:rPr>
                <w:rFonts w:hint="eastAsia" w:ascii="宋体" w:hAnsi="宋体" w:cs="宋体"/>
              </w:rPr>
              <w:t>普通</w:t>
            </w:r>
          </w:p>
        </w:tc>
        <w:tc>
          <w:tcPr>
            <w:tcW w:w="0" w:type="auto"/>
            <w:vAlign w:val="center"/>
          </w:tcPr>
          <w:p w14:paraId="67F63D0C">
            <w:pPr>
              <w:pStyle w:val="206"/>
              <w:rPr>
                <w:rFonts w:hint="eastAsia" w:ascii="宋体" w:hAnsi="宋体" w:cs="宋体"/>
                <w:lang w:eastAsia="zh-CN"/>
              </w:rPr>
            </w:pPr>
            <w:r>
              <w:rPr>
                <w:rFonts w:hint="eastAsia" w:ascii="宋体" w:hAnsi="宋体" w:cs="宋体"/>
                <w:lang w:eastAsia="zh-CN"/>
              </w:rPr>
              <w:t xml:space="preserve">工作井、接收井、压力管井开挖高度超过3m（含3m）或虽未超过3m但地质条件和周边环境复杂的 </w:t>
            </w:r>
          </w:p>
        </w:tc>
        <w:tc>
          <w:tcPr>
            <w:tcW w:w="0" w:type="auto"/>
            <w:vMerge w:val="restart"/>
            <w:vAlign w:val="center"/>
          </w:tcPr>
          <w:p w14:paraId="6C90E779">
            <w:pPr>
              <w:pStyle w:val="206"/>
              <w:rPr>
                <w:rFonts w:hint="eastAsia" w:ascii="宋体" w:hAnsi="宋体" w:cs="宋体"/>
                <w:lang w:eastAsia="zh-CN"/>
              </w:rPr>
            </w:pPr>
            <w:r>
              <w:rPr>
                <w:rFonts w:hint="eastAsia" w:ascii="宋体" w:hAnsi="宋体" w:cs="宋体"/>
                <w:lang w:eastAsia="zh-CN"/>
              </w:rPr>
              <w:t>1）施工单位应根据相关规范法规编制安全专项施工方案，通过安全审查后方可实施；</w:t>
            </w:r>
          </w:p>
          <w:p w14:paraId="0E0CFF4D">
            <w:pPr>
              <w:pStyle w:val="206"/>
              <w:rPr>
                <w:rFonts w:hint="eastAsia" w:ascii="宋体" w:hAnsi="宋体" w:cs="宋体"/>
                <w:lang w:eastAsia="zh-CN"/>
              </w:rPr>
            </w:pPr>
            <w:r>
              <w:rPr>
                <w:rFonts w:hint="eastAsia" w:ascii="宋体" w:hAnsi="宋体" w:cs="宋体"/>
                <w:lang w:eastAsia="zh-CN"/>
              </w:rPr>
              <w:t>2）基坑（槽）采用稳定临时坡率放坡开挖，根据现场实际地质情况，可调整临时坡率，必要时可施作临时支护，确保施工安全；</w:t>
            </w:r>
          </w:p>
          <w:p w14:paraId="23AAE7A5">
            <w:pPr>
              <w:pStyle w:val="206"/>
              <w:rPr>
                <w:rFonts w:hint="eastAsia" w:ascii="宋体" w:hAnsi="宋体" w:cs="宋体"/>
                <w:lang w:eastAsia="zh-CN"/>
              </w:rPr>
            </w:pPr>
            <w:r>
              <w:rPr>
                <w:rFonts w:hint="eastAsia" w:ascii="宋体" w:hAnsi="宋体" w:cs="宋体"/>
                <w:lang w:eastAsia="zh-CN"/>
              </w:rPr>
              <w:t>3）基坑（槽）采用跳槽开挖，开挖槽段不宜大于15~20m；</w:t>
            </w:r>
          </w:p>
          <w:p w14:paraId="6E856108">
            <w:pPr>
              <w:pStyle w:val="206"/>
              <w:rPr>
                <w:rFonts w:hint="eastAsia" w:ascii="宋体" w:hAnsi="宋体" w:cs="宋体"/>
                <w:lang w:eastAsia="zh-CN"/>
              </w:rPr>
            </w:pPr>
            <w:r>
              <w:rPr>
                <w:rFonts w:hint="eastAsia" w:ascii="宋体" w:hAnsi="宋体" w:cs="宋体"/>
                <w:lang w:eastAsia="zh-CN"/>
              </w:rPr>
              <w:t>4）基坑开挖后，应及时组织验槽，验收通过后应及时浇筑基础及施作上部结构，及时回填压实基坑其余部位；顶管施工完成后，应及时施工排水井，并回填。</w:t>
            </w:r>
          </w:p>
          <w:p w14:paraId="0DE863AD">
            <w:pPr>
              <w:pStyle w:val="206"/>
              <w:rPr>
                <w:rFonts w:hint="eastAsia" w:ascii="宋体" w:hAnsi="宋体" w:cs="宋体"/>
                <w:lang w:eastAsia="zh-CN"/>
              </w:rPr>
            </w:pPr>
            <w:r>
              <w:rPr>
                <w:rFonts w:hint="eastAsia" w:ascii="宋体" w:hAnsi="宋体" w:cs="宋体"/>
                <w:lang w:eastAsia="zh-CN"/>
              </w:rPr>
              <w:t>5）基坑（槽）应避开雨天施工，并做好截排水设施，基坑（槽）底部不得有水体长期浸泡；</w:t>
            </w:r>
          </w:p>
          <w:p w14:paraId="27448963">
            <w:pPr>
              <w:pStyle w:val="206"/>
              <w:rPr>
                <w:rFonts w:hint="eastAsia" w:ascii="宋体" w:hAnsi="宋体" w:cs="宋体"/>
                <w:lang w:eastAsia="zh-CN"/>
              </w:rPr>
            </w:pPr>
            <w:r>
              <w:rPr>
                <w:rFonts w:hint="eastAsia" w:ascii="宋体" w:hAnsi="宋体" w:cs="宋体"/>
                <w:lang w:eastAsia="zh-CN"/>
              </w:rPr>
              <w:t>6）做好基坑（槽）应急预案，基槽内应设置逃生设施，一旦发生险情，施工人员可以及时撤离；</w:t>
            </w:r>
          </w:p>
          <w:p w14:paraId="0B5774E2">
            <w:pPr>
              <w:pStyle w:val="206"/>
              <w:rPr>
                <w:rFonts w:hint="eastAsia" w:ascii="宋体" w:hAnsi="宋体" w:cs="宋体"/>
                <w:lang w:eastAsia="zh-CN"/>
              </w:rPr>
            </w:pPr>
            <w:r>
              <w:rPr>
                <w:rFonts w:hint="eastAsia" w:ascii="宋体" w:hAnsi="宋体" w:cs="宋体"/>
                <w:lang w:eastAsia="zh-CN"/>
              </w:rPr>
              <w:t>7）基坑（槽）周边不得堆土、不得有重型车辆通行。</w:t>
            </w:r>
          </w:p>
        </w:tc>
      </w:tr>
      <w:tr w14:paraId="75380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4" w:hRule="atLeast"/>
          <w:jc w:val="center"/>
        </w:trPr>
        <w:tc>
          <w:tcPr>
            <w:tcW w:w="0" w:type="auto"/>
            <w:vMerge w:val="continue"/>
            <w:vAlign w:val="center"/>
          </w:tcPr>
          <w:p w14:paraId="68B3C281">
            <w:pPr>
              <w:pStyle w:val="206"/>
              <w:rPr>
                <w:rFonts w:hint="eastAsia" w:ascii="宋体" w:hAnsi="宋体" w:cs="宋体"/>
                <w:lang w:eastAsia="zh-CN"/>
              </w:rPr>
            </w:pPr>
          </w:p>
        </w:tc>
        <w:tc>
          <w:tcPr>
            <w:tcW w:w="0" w:type="auto"/>
            <w:vMerge w:val="continue"/>
            <w:vAlign w:val="center"/>
          </w:tcPr>
          <w:p w14:paraId="5339C3D3">
            <w:pPr>
              <w:pStyle w:val="206"/>
              <w:rPr>
                <w:rFonts w:hint="eastAsia" w:ascii="宋体" w:hAnsi="宋体" w:cs="宋体"/>
                <w:lang w:eastAsia="zh-CN"/>
              </w:rPr>
            </w:pPr>
          </w:p>
        </w:tc>
        <w:tc>
          <w:tcPr>
            <w:tcW w:w="0" w:type="auto"/>
            <w:vAlign w:val="center"/>
          </w:tcPr>
          <w:p w14:paraId="6A1A643F">
            <w:pPr>
              <w:pStyle w:val="206"/>
              <w:rPr>
                <w:rFonts w:hint="eastAsia" w:ascii="宋体" w:hAnsi="宋体" w:cs="宋体"/>
              </w:rPr>
            </w:pPr>
            <w:r>
              <w:rPr>
                <w:rFonts w:hint="eastAsia" w:ascii="宋体" w:hAnsi="宋体" w:cs="宋体"/>
              </w:rPr>
              <w:t>超过一定规模</w:t>
            </w:r>
          </w:p>
        </w:tc>
        <w:tc>
          <w:tcPr>
            <w:tcW w:w="0" w:type="auto"/>
            <w:vAlign w:val="center"/>
          </w:tcPr>
          <w:p w14:paraId="1184A2A0">
            <w:pPr>
              <w:pStyle w:val="206"/>
              <w:rPr>
                <w:rFonts w:hint="eastAsia" w:ascii="宋体" w:hAnsi="宋体" w:cs="宋体"/>
                <w:lang w:eastAsia="zh-CN"/>
              </w:rPr>
            </w:pPr>
            <w:r>
              <w:rPr>
                <w:rFonts w:hint="eastAsia" w:ascii="宋体" w:hAnsi="宋体" w:cs="宋体"/>
                <w:lang w:eastAsia="zh-CN"/>
              </w:rPr>
              <w:t xml:space="preserve">工作井、接收井、压力管井开挖深度超过5m（含5m）或未超过5m但地质条件和周边环境复杂的， </w:t>
            </w:r>
          </w:p>
        </w:tc>
        <w:tc>
          <w:tcPr>
            <w:tcW w:w="0" w:type="auto"/>
            <w:vMerge w:val="continue"/>
            <w:vAlign w:val="center"/>
          </w:tcPr>
          <w:p w14:paraId="285F9085">
            <w:pPr>
              <w:pStyle w:val="206"/>
              <w:rPr>
                <w:rFonts w:hint="eastAsia" w:ascii="宋体" w:hAnsi="宋体" w:cs="宋体"/>
                <w:lang w:eastAsia="zh-CN"/>
              </w:rPr>
            </w:pPr>
          </w:p>
        </w:tc>
      </w:tr>
      <w:tr w14:paraId="67FD7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0" w:type="auto"/>
            <w:vMerge w:val="restart"/>
            <w:vAlign w:val="center"/>
          </w:tcPr>
          <w:p w14:paraId="0093EFC8">
            <w:pPr>
              <w:pStyle w:val="206"/>
              <w:rPr>
                <w:rFonts w:hint="eastAsia" w:ascii="宋体" w:hAnsi="宋体" w:cs="宋体"/>
              </w:rPr>
            </w:pPr>
            <w:r>
              <w:rPr>
                <w:rFonts w:hint="eastAsia" w:ascii="宋体" w:hAnsi="宋体" w:cs="宋体"/>
              </w:rPr>
              <w:t>2</w:t>
            </w:r>
          </w:p>
        </w:tc>
        <w:tc>
          <w:tcPr>
            <w:tcW w:w="0" w:type="auto"/>
            <w:vMerge w:val="restart"/>
            <w:vAlign w:val="center"/>
          </w:tcPr>
          <w:p w14:paraId="466279BD">
            <w:pPr>
              <w:pStyle w:val="206"/>
              <w:rPr>
                <w:rFonts w:hint="eastAsia" w:ascii="宋体" w:hAnsi="宋体" w:cs="宋体"/>
              </w:rPr>
            </w:pPr>
            <w:r>
              <w:rPr>
                <w:rFonts w:hint="eastAsia" w:ascii="宋体" w:hAnsi="宋体" w:cs="宋体"/>
              </w:rPr>
              <w:t>模板工程及支撑体系</w:t>
            </w:r>
          </w:p>
        </w:tc>
        <w:tc>
          <w:tcPr>
            <w:tcW w:w="0" w:type="auto"/>
            <w:vAlign w:val="center"/>
          </w:tcPr>
          <w:p w14:paraId="4AE51656">
            <w:pPr>
              <w:pStyle w:val="206"/>
              <w:rPr>
                <w:rFonts w:hint="eastAsia" w:ascii="宋体" w:hAnsi="宋体" w:cs="宋体"/>
              </w:rPr>
            </w:pPr>
            <w:r>
              <w:rPr>
                <w:rFonts w:hint="eastAsia" w:ascii="宋体" w:hAnsi="宋体" w:cs="宋体"/>
              </w:rPr>
              <w:t>普通</w:t>
            </w:r>
          </w:p>
        </w:tc>
        <w:tc>
          <w:tcPr>
            <w:tcW w:w="0" w:type="auto"/>
            <w:vAlign w:val="center"/>
          </w:tcPr>
          <w:p w14:paraId="5196BBE8">
            <w:pPr>
              <w:pStyle w:val="206"/>
              <w:rPr>
                <w:rFonts w:hint="eastAsia" w:ascii="宋体" w:hAnsi="宋体" w:cs="宋体"/>
                <w:lang w:eastAsia="zh-CN"/>
              </w:rPr>
            </w:pPr>
            <w:r>
              <w:rPr>
                <w:rFonts w:hint="eastAsia" w:ascii="宋体" w:hAnsi="宋体" w:cs="宋体"/>
                <w:lang w:eastAsia="zh-CN"/>
              </w:rPr>
              <w:t>模板搭设高度大于5m小于8m</w:t>
            </w:r>
          </w:p>
        </w:tc>
        <w:tc>
          <w:tcPr>
            <w:tcW w:w="0" w:type="auto"/>
            <w:vAlign w:val="center"/>
          </w:tcPr>
          <w:p w14:paraId="1EB384E1">
            <w:pPr>
              <w:pStyle w:val="206"/>
              <w:rPr>
                <w:rFonts w:hint="eastAsia" w:ascii="宋体" w:hAnsi="宋体" w:cs="宋体"/>
                <w:lang w:eastAsia="zh-CN"/>
              </w:rPr>
            </w:pPr>
            <w:r>
              <w:rPr>
                <w:rFonts w:hint="eastAsia" w:ascii="宋体" w:hAnsi="宋体" w:cs="宋体"/>
                <w:lang w:eastAsia="zh-CN"/>
              </w:rPr>
              <w:t>严格按照施工技术要求规范施工</w:t>
            </w:r>
          </w:p>
        </w:tc>
      </w:tr>
      <w:tr w14:paraId="4B6C0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0" w:type="auto"/>
            <w:vMerge w:val="continue"/>
            <w:vAlign w:val="center"/>
          </w:tcPr>
          <w:p w14:paraId="02DDBD3F">
            <w:pPr>
              <w:pStyle w:val="206"/>
              <w:rPr>
                <w:rFonts w:hint="eastAsia" w:ascii="宋体" w:hAnsi="宋体" w:cs="宋体"/>
                <w:lang w:eastAsia="zh-CN"/>
              </w:rPr>
            </w:pPr>
          </w:p>
        </w:tc>
        <w:tc>
          <w:tcPr>
            <w:tcW w:w="0" w:type="auto"/>
            <w:vMerge w:val="continue"/>
            <w:vAlign w:val="center"/>
          </w:tcPr>
          <w:p w14:paraId="0FB1BEE8">
            <w:pPr>
              <w:pStyle w:val="206"/>
              <w:rPr>
                <w:rFonts w:hint="eastAsia" w:ascii="宋体" w:hAnsi="宋体" w:cs="宋体"/>
                <w:lang w:eastAsia="zh-CN"/>
              </w:rPr>
            </w:pPr>
          </w:p>
        </w:tc>
        <w:tc>
          <w:tcPr>
            <w:tcW w:w="0" w:type="auto"/>
            <w:vAlign w:val="center"/>
          </w:tcPr>
          <w:p w14:paraId="30F5736C">
            <w:pPr>
              <w:pStyle w:val="206"/>
              <w:rPr>
                <w:rFonts w:hint="eastAsia" w:ascii="宋体" w:hAnsi="宋体" w:cs="宋体"/>
              </w:rPr>
            </w:pPr>
            <w:r>
              <w:rPr>
                <w:rFonts w:hint="eastAsia" w:ascii="宋体" w:hAnsi="宋体" w:cs="宋体"/>
              </w:rPr>
              <w:t>超过一定规模</w:t>
            </w:r>
          </w:p>
        </w:tc>
        <w:tc>
          <w:tcPr>
            <w:tcW w:w="0" w:type="auto"/>
            <w:vAlign w:val="center"/>
          </w:tcPr>
          <w:p w14:paraId="5359B5FF">
            <w:pPr>
              <w:pStyle w:val="206"/>
              <w:rPr>
                <w:rFonts w:hint="eastAsia" w:ascii="宋体" w:hAnsi="宋体" w:cs="宋体"/>
                <w:lang w:eastAsia="zh-CN"/>
              </w:rPr>
            </w:pPr>
            <w:r>
              <w:rPr>
                <w:rFonts w:hint="eastAsia" w:ascii="宋体" w:hAnsi="宋体" w:cs="宋体"/>
                <w:lang w:eastAsia="zh-CN"/>
              </w:rPr>
              <w:t>模板搭设高度大于等于8m</w:t>
            </w:r>
          </w:p>
        </w:tc>
        <w:tc>
          <w:tcPr>
            <w:tcW w:w="0" w:type="auto"/>
            <w:vAlign w:val="center"/>
          </w:tcPr>
          <w:p w14:paraId="33A7E795">
            <w:pPr>
              <w:pStyle w:val="206"/>
              <w:rPr>
                <w:rFonts w:hint="eastAsia" w:ascii="宋体" w:hAnsi="宋体" w:cs="宋体"/>
                <w:lang w:eastAsia="zh-CN"/>
              </w:rPr>
            </w:pPr>
            <w:r>
              <w:rPr>
                <w:rFonts w:hint="eastAsia" w:ascii="宋体" w:hAnsi="宋体" w:cs="宋体"/>
                <w:lang w:eastAsia="zh-CN"/>
              </w:rPr>
              <w:t>严格按照施工技术要求规范施工</w:t>
            </w:r>
          </w:p>
        </w:tc>
      </w:tr>
      <w:tr w14:paraId="2FCB4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0" w:type="auto"/>
            <w:vAlign w:val="center"/>
          </w:tcPr>
          <w:p w14:paraId="09691D6A">
            <w:pPr>
              <w:pStyle w:val="206"/>
              <w:rPr>
                <w:rFonts w:hint="eastAsia" w:ascii="宋体" w:hAnsi="宋体" w:cs="宋体"/>
              </w:rPr>
            </w:pPr>
            <w:r>
              <w:rPr>
                <w:rFonts w:hint="eastAsia" w:ascii="宋体" w:hAnsi="宋体" w:cs="宋体"/>
              </w:rPr>
              <w:t>3</w:t>
            </w:r>
          </w:p>
        </w:tc>
        <w:tc>
          <w:tcPr>
            <w:tcW w:w="0" w:type="auto"/>
            <w:vAlign w:val="center"/>
          </w:tcPr>
          <w:p w14:paraId="209A0ECD">
            <w:pPr>
              <w:pStyle w:val="206"/>
              <w:rPr>
                <w:rFonts w:hint="eastAsia" w:ascii="宋体" w:hAnsi="宋体" w:cs="宋体"/>
                <w:lang w:eastAsia="zh-CN"/>
              </w:rPr>
            </w:pPr>
            <w:r>
              <w:rPr>
                <w:rFonts w:hint="eastAsia" w:ascii="宋体" w:hAnsi="宋体" w:cs="宋体"/>
                <w:lang w:eastAsia="zh-CN"/>
              </w:rPr>
              <w:t>起重吊装</w:t>
            </w:r>
          </w:p>
          <w:p w14:paraId="51369727">
            <w:pPr>
              <w:pStyle w:val="206"/>
              <w:rPr>
                <w:rFonts w:hint="eastAsia" w:ascii="宋体" w:hAnsi="宋体" w:cs="宋体"/>
                <w:lang w:eastAsia="zh-CN"/>
              </w:rPr>
            </w:pPr>
            <w:r>
              <w:rPr>
                <w:rFonts w:hint="eastAsia" w:ascii="宋体" w:hAnsi="宋体" w:cs="宋体"/>
                <w:lang w:eastAsia="zh-CN"/>
              </w:rPr>
              <w:t>及安装拆卸工程</w:t>
            </w:r>
          </w:p>
        </w:tc>
        <w:tc>
          <w:tcPr>
            <w:tcW w:w="0" w:type="auto"/>
            <w:vAlign w:val="center"/>
          </w:tcPr>
          <w:p w14:paraId="3651945A">
            <w:pPr>
              <w:pStyle w:val="206"/>
              <w:rPr>
                <w:rFonts w:hint="eastAsia" w:ascii="宋体" w:hAnsi="宋体" w:cs="宋体"/>
              </w:rPr>
            </w:pPr>
            <w:r>
              <w:rPr>
                <w:rFonts w:hint="eastAsia" w:ascii="宋体" w:hAnsi="宋体" w:cs="宋体"/>
              </w:rPr>
              <w:t>普通</w:t>
            </w:r>
          </w:p>
        </w:tc>
        <w:tc>
          <w:tcPr>
            <w:tcW w:w="0" w:type="auto"/>
            <w:vAlign w:val="center"/>
          </w:tcPr>
          <w:p w14:paraId="72B50AB9">
            <w:pPr>
              <w:pStyle w:val="206"/>
              <w:rPr>
                <w:rFonts w:hint="eastAsia" w:ascii="宋体" w:hAnsi="宋体" w:cs="宋体"/>
                <w:lang w:eastAsia="zh-CN"/>
              </w:rPr>
            </w:pPr>
            <w:r>
              <w:rPr>
                <w:rFonts w:hint="eastAsia" w:ascii="宋体" w:hAnsi="宋体" w:cs="宋体"/>
                <w:lang w:eastAsia="zh-CN"/>
              </w:rPr>
              <w:t>1m一节的单节钢筋混凝土管重量大于10kn（1吨）</w:t>
            </w:r>
          </w:p>
        </w:tc>
        <w:tc>
          <w:tcPr>
            <w:tcW w:w="0" w:type="auto"/>
            <w:vAlign w:val="center"/>
          </w:tcPr>
          <w:p w14:paraId="266946BB">
            <w:pPr>
              <w:pStyle w:val="206"/>
              <w:rPr>
                <w:rFonts w:hint="eastAsia" w:ascii="宋体" w:hAnsi="宋体" w:cs="宋体"/>
                <w:lang w:eastAsia="zh-CN"/>
              </w:rPr>
            </w:pPr>
            <w:r>
              <w:rPr>
                <w:rFonts w:hint="eastAsia" w:ascii="宋体" w:hAnsi="宋体" w:cs="宋体"/>
                <w:lang w:eastAsia="zh-CN"/>
              </w:rPr>
              <w:t>严格按照施工技术要求规范施工</w:t>
            </w:r>
          </w:p>
        </w:tc>
      </w:tr>
      <w:tr w14:paraId="55764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6" w:hRule="atLeast"/>
          <w:jc w:val="center"/>
        </w:trPr>
        <w:tc>
          <w:tcPr>
            <w:tcW w:w="0" w:type="auto"/>
            <w:vAlign w:val="center"/>
          </w:tcPr>
          <w:p w14:paraId="23798D5D">
            <w:pPr>
              <w:pStyle w:val="206"/>
              <w:rPr>
                <w:rFonts w:hint="eastAsia" w:ascii="宋体" w:hAnsi="宋体" w:cs="宋体"/>
              </w:rPr>
            </w:pPr>
            <w:r>
              <w:rPr>
                <w:rFonts w:hint="eastAsia" w:ascii="宋体" w:hAnsi="宋体" w:cs="宋体"/>
              </w:rPr>
              <w:t>4</w:t>
            </w:r>
          </w:p>
        </w:tc>
        <w:tc>
          <w:tcPr>
            <w:tcW w:w="0" w:type="auto"/>
            <w:vAlign w:val="center"/>
          </w:tcPr>
          <w:p w14:paraId="0930FE95">
            <w:pPr>
              <w:pStyle w:val="206"/>
              <w:rPr>
                <w:rFonts w:hint="eastAsia" w:ascii="宋体" w:hAnsi="宋体" w:cs="宋体"/>
              </w:rPr>
            </w:pPr>
            <w:r>
              <w:rPr>
                <w:rFonts w:hint="eastAsia" w:ascii="宋体" w:hAnsi="宋体" w:cs="宋体"/>
              </w:rPr>
              <w:t>暗挖工程</w:t>
            </w:r>
          </w:p>
        </w:tc>
        <w:tc>
          <w:tcPr>
            <w:tcW w:w="0" w:type="auto"/>
            <w:vAlign w:val="center"/>
          </w:tcPr>
          <w:p w14:paraId="37A34CC8">
            <w:pPr>
              <w:pStyle w:val="206"/>
              <w:rPr>
                <w:rFonts w:hint="eastAsia" w:ascii="宋体" w:hAnsi="宋体" w:cs="宋体"/>
              </w:rPr>
            </w:pPr>
            <w:r>
              <w:rPr>
                <w:rFonts w:hint="eastAsia" w:ascii="宋体" w:hAnsi="宋体" w:cs="宋体"/>
              </w:rPr>
              <w:t>普通</w:t>
            </w:r>
          </w:p>
        </w:tc>
        <w:tc>
          <w:tcPr>
            <w:tcW w:w="0" w:type="auto"/>
            <w:vAlign w:val="center"/>
          </w:tcPr>
          <w:p w14:paraId="0EC56668">
            <w:pPr>
              <w:pStyle w:val="206"/>
              <w:rPr>
                <w:rFonts w:hint="eastAsia" w:ascii="宋体" w:hAnsi="宋体" w:cs="宋体"/>
                <w:lang w:eastAsia="zh-CN"/>
              </w:rPr>
            </w:pPr>
            <w:r>
              <w:rPr>
                <w:rFonts w:hint="eastAsia" w:ascii="宋体" w:hAnsi="宋体" w:cs="宋体"/>
                <w:lang w:eastAsia="zh-CN"/>
              </w:rPr>
              <w:t xml:space="preserve">采用顶管法施工的洞室 </w:t>
            </w:r>
          </w:p>
        </w:tc>
        <w:tc>
          <w:tcPr>
            <w:tcW w:w="0" w:type="auto"/>
            <w:vAlign w:val="center"/>
          </w:tcPr>
          <w:p w14:paraId="45F65DC7">
            <w:pPr>
              <w:pStyle w:val="206"/>
              <w:rPr>
                <w:rFonts w:hint="eastAsia" w:ascii="宋体" w:hAnsi="宋体" w:cs="宋体"/>
                <w:lang w:eastAsia="zh-CN"/>
              </w:rPr>
            </w:pPr>
            <w:r>
              <w:rPr>
                <w:rFonts w:hint="eastAsia" w:ascii="宋体" w:hAnsi="宋体" w:cs="宋体"/>
                <w:lang w:eastAsia="zh-CN"/>
              </w:rPr>
              <w:t>1）施工单位应根据相关规范法规编制安全专项施工方案，通过安全审查后方可实施；</w:t>
            </w:r>
          </w:p>
          <w:p w14:paraId="17786566">
            <w:pPr>
              <w:pStyle w:val="206"/>
              <w:rPr>
                <w:rFonts w:hint="eastAsia" w:ascii="宋体" w:hAnsi="宋体" w:cs="宋体"/>
                <w:lang w:eastAsia="zh-CN"/>
              </w:rPr>
            </w:pPr>
            <w:r>
              <w:rPr>
                <w:rFonts w:hint="eastAsia" w:ascii="宋体" w:hAnsi="宋体" w:cs="宋体"/>
                <w:lang w:eastAsia="zh-CN"/>
              </w:rPr>
              <w:t>2）施工前应探明沿线地下管线构筑物等，并采取相关措施进行处理，保证通讯、电力、上水、排水、煤气等其它管线的安全运营；</w:t>
            </w:r>
          </w:p>
          <w:p w14:paraId="00D6C630">
            <w:pPr>
              <w:pStyle w:val="206"/>
              <w:rPr>
                <w:rFonts w:hint="eastAsia" w:ascii="宋体" w:hAnsi="宋体" w:cs="宋体"/>
                <w:lang w:eastAsia="zh-CN"/>
              </w:rPr>
            </w:pPr>
            <w:r>
              <w:rPr>
                <w:rFonts w:hint="eastAsia" w:ascii="宋体" w:hAnsi="宋体" w:cs="宋体"/>
                <w:lang w:eastAsia="zh-CN"/>
              </w:rPr>
              <w:t>3）有人员在顶管内操作时，需定时监测管内有毒有害气体含量，并采取相关措施进行处理；</w:t>
            </w:r>
          </w:p>
          <w:p w14:paraId="4A7DC188">
            <w:pPr>
              <w:pStyle w:val="206"/>
              <w:rPr>
                <w:rFonts w:hint="eastAsia" w:ascii="宋体" w:hAnsi="宋体" w:cs="宋体"/>
                <w:lang w:eastAsia="zh-CN"/>
              </w:rPr>
            </w:pPr>
            <w:r>
              <w:rPr>
                <w:rFonts w:hint="eastAsia" w:ascii="宋体" w:hAnsi="宋体" w:cs="宋体"/>
                <w:lang w:eastAsia="zh-CN"/>
              </w:rPr>
              <w:t>4）汛期施工，应做好防汛防台工作，尤其是要防止井内进水，机头被淹、停电等情况的发生；</w:t>
            </w:r>
          </w:p>
        </w:tc>
      </w:tr>
    </w:tbl>
    <w:p w14:paraId="361BFD6E">
      <w:pPr>
        <w:widowControl/>
        <w:rPr>
          <w:rFonts w:hint="eastAsia" w:ascii="宋体" w:hAnsi="宋体" w:eastAsia="宋体" w:cs="宋体"/>
        </w:rPr>
      </w:pPr>
      <w:r>
        <w:rPr>
          <w:rFonts w:hint="eastAsia" w:ascii="宋体" w:hAnsi="宋体" w:eastAsia="宋体" w:cs="宋体"/>
        </w:rPr>
        <w:t>备注：本次设计危大不仅限上表，其余管道仍需按此规定执行。</w:t>
      </w:r>
    </w:p>
    <w:p w14:paraId="777A84B5">
      <w:pPr>
        <w:pStyle w:val="2"/>
        <w:rPr>
          <w:rFonts w:hint="eastAsia" w:ascii="宋体" w:hAnsi="宋体" w:eastAsia="宋体" w:cs="宋体"/>
        </w:rPr>
      </w:pPr>
      <w:r>
        <w:rPr>
          <w:rFonts w:hint="eastAsia" w:ascii="宋体" w:hAnsi="宋体" w:eastAsia="宋体" w:cs="宋体"/>
        </w:rPr>
        <w:t>市政排水常见质量问题防治</w:t>
      </w:r>
    </w:p>
    <w:p w14:paraId="32421A67">
      <w:pPr>
        <w:widowControl/>
        <w:rPr>
          <w:rFonts w:hint="eastAsia" w:ascii="宋体" w:hAnsi="宋体" w:eastAsia="宋体" w:cs="宋体"/>
        </w:rPr>
      </w:pPr>
      <w:r>
        <w:rPr>
          <w:rFonts w:hint="eastAsia" w:ascii="宋体" w:hAnsi="宋体" w:eastAsia="宋体" w:cs="宋体"/>
        </w:rPr>
        <w:t>根据《重庆市房屋建筑和市政基础设施工程质量常见问题防治要点(2019年版)》（渝建【2019】198号），为防止路面井周沉降跳车，应采取以下措施：</w:t>
      </w:r>
    </w:p>
    <w:p w14:paraId="2CFBA4A1">
      <w:pPr>
        <w:widowControl/>
        <w:rPr>
          <w:rFonts w:hint="eastAsia" w:ascii="宋体" w:hAnsi="宋体" w:eastAsia="宋体" w:cs="宋体"/>
        </w:rPr>
      </w:pPr>
      <w:r>
        <w:rPr>
          <w:rFonts w:hint="eastAsia" w:ascii="宋体" w:hAnsi="宋体" w:eastAsia="宋体" w:cs="宋体"/>
        </w:rPr>
        <w:t>1. 砌筑窨井的石材、预制混凝土砌块强度等级不得小于30Mpa，路面与井盖高差不得大于4mm。严禁采用砖砌筑窨井；</w:t>
      </w:r>
    </w:p>
    <w:p w14:paraId="4CE78BB4">
      <w:pPr>
        <w:widowControl/>
        <w:rPr>
          <w:rFonts w:hint="eastAsia" w:ascii="宋体" w:hAnsi="宋体" w:eastAsia="宋体" w:cs="宋体"/>
        </w:rPr>
      </w:pPr>
      <w:r>
        <w:rPr>
          <w:rFonts w:hint="eastAsia" w:ascii="宋体" w:hAnsi="宋体" w:eastAsia="宋体" w:cs="宋体"/>
        </w:rPr>
        <w:t>2. 窨井周围回填材料严格选用；凡腐殖土、淤泥、建筑垃圾、生活垃圾、草木不能作为回填用料。</w:t>
      </w:r>
    </w:p>
    <w:p w14:paraId="69E762B6">
      <w:pPr>
        <w:widowControl/>
        <w:rPr>
          <w:rFonts w:hint="eastAsia" w:ascii="宋体" w:hAnsi="宋体" w:eastAsia="宋体" w:cs="宋体"/>
        </w:rPr>
      </w:pPr>
      <w:r>
        <w:rPr>
          <w:rFonts w:hint="eastAsia" w:ascii="宋体" w:hAnsi="宋体" w:eastAsia="宋体" w:cs="宋体"/>
        </w:rPr>
        <w:t>3. 应采取技术措施对检查井及构筑物的周边进行处理；应采用强度高、防盗的井盖；井盖面应与道路表面平顺。</w:t>
      </w:r>
    </w:p>
    <w:p w14:paraId="6CC2D6A7">
      <w:pPr>
        <w:widowControl/>
        <w:rPr>
          <w:rFonts w:hint="eastAsia" w:ascii="宋体" w:hAnsi="宋体" w:eastAsia="宋体" w:cs="宋体"/>
        </w:rPr>
      </w:pPr>
      <w:r>
        <w:rPr>
          <w:rFonts w:hint="eastAsia" w:ascii="宋体" w:hAnsi="宋体" w:eastAsia="宋体" w:cs="宋体"/>
        </w:rPr>
        <w:t>为防止</w:t>
      </w:r>
      <w:r>
        <w:rPr>
          <w:rFonts w:hint="eastAsia" w:ascii="宋体" w:hAnsi="宋体" w:eastAsia="宋体" w:cs="宋体"/>
          <w:lang w:eastAsia="zh-CN"/>
        </w:rPr>
        <w:t>压力管</w:t>
      </w:r>
      <w:r>
        <w:rPr>
          <w:rFonts w:hint="eastAsia" w:ascii="宋体" w:hAnsi="宋体" w:eastAsia="宋体" w:cs="宋体"/>
        </w:rPr>
        <w:t>道破损堵塞，应采取以下措施：</w:t>
      </w:r>
    </w:p>
    <w:p w14:paraId="0025DB71">
      <w:pPr>
        <w:widowControl/>
        <w:rPr>
          <w:rFonts w:hint="eastAsia" w:ascii="宋体" w:hAnsi="宋体" w:eastAsia="宋体" w:cs="宋体"/>
        </w:rPr>
      </w:pPr>
      <w:r>
        <w:rPr>
          <w:rFonts w:hint="eastAsia" w:ascii="宋体" w:hAnsi="宋体" w:eastAsia="宋体" w:cs="宋体"/>
        </w:rPr>
        <w:t>1. 塑料</w:t>
      </w:r>
      <w:r>
        <w:rPr>
          <w:rFonts w:hint="eastAsia" w:ascii="宋体" w:hAnsi="宋体" w:eastAsia="宋体" w:cs="宋体"/>
          <w:lang w:eastAsia="zh-CN"/>
        </w:rPr>
        <w:t>压力管</w:t>
      </w:r>
      <w:r>
        <w:rPr>
          <w:rFonts w:hint="eastAsia" w:ascii="宋体" w:hAnsi="宋体" w:eastAsia="宋体" w:cs="宋体"/>
        </w:rPr>
        <w:t>道进场时，应按照相关标准规范进行见证取样抽检，检测参数包括规格尺寸、环刚度、环柔度、冲击强度等项目；</w:t>
      </w:r>
    </w:p>
    <w:p w14:paraId="476022EA">
      <w:pPr>
        <w:widowControl/>
        <w:rPr>
          <w:rFonts w:hint="eastAsia" w:ascii="宋体" w:hAnsi="宋体" w:eastAsia="宋体" w:cs="宋体"/>
        </w:rPr>
      </w:pPr>
      <w:r>
        <w:rPr>
          <w:rFonts w:hint="eastAsia" w:ascii="宋体" w:hAnsi="宋体" w:eastAsia="宋体" w:cs="宋体"/>
          <w:lang w:val="en-US" w:eastAsia="zh-CN"/>
        </w:rPr>
        <w:t>2</w:t>
      </w:r>
      <w:r>
        <w:rPr>
          <w:rFonts w:hint="eastAsia" w:ascii="宋体" w:hAnsi="宋体" w:eastAsia="宋体" w:cs="宋体"/>
        </w:rPr>
        <w:t>. 闭水试验报告合格后方可进行污水管道的回填。</w:t>
      </w:r>
    </w:p>
    <w:p w14:paraId="4E2852EF">
      <w:pPr>
        <w:pStyle w:val="2"/>
        <w:rPr>
          <w:rFonts w:hint="eastAsia" w:ascii="宋体" w:hAnsi="宋体" w:eastAsia="宋体" w:cs="宋体"/>
        </w:rPr>
      </w:pPr>
      <w:r>
        <w:rPr>
          <w:rStyle w:val="45"/>
          <w:rFonts w:hint="eastAsia" w:ascii="宋体" w:hAnsi="宋体" w:eastAsia="宋体" w:cs="宋体"/>
          <w:color w:val="auto"/>
          <w:u w:val="none"/>
        </w:rPr>
        <w:t>其他注意事项</w:t>
      </w:r>
    </w:p>
    <w:p w14:paraId="7C028093">
      <w:pPr>
        <w:widowControl/>
        <w:rPr>
          <w:rFonts w:hint="eastAsia" w:ascii="宋体" w:hAnsi="宋体" w:eastAsia="宋体" w:cs="宋体"/>
        </w:rPr>
      </w:pPr>
      <w:r>
        <w:rPr>
          <w:rFonts w:hint="eastAsia" w:ascii="宋体" w:hAnsi="宋体" w:eastAsia="宋体" w:cs="宋体"/>
        </w:rPr>
        <w:t>（1）本工程位于轨道保护范围内的管段应在取得轨道批复后方可实施。</w:t>
      </w:r>
    </w:p>
    <w:p w14:paraId="070B7ADF">
      <w:pPr>
        <w:widowControl/>
        <w:rPr>
          <w:rFonts w:hint="eastAsia" w:ascii="宋体" w:hAnsi="宋体" w:eastAsia="宋体" w:cs="宋体"/>
        </w:rPr>
      </w:pPr>
      <w:r>
        <w:rPr>
          <w:rFonts w:hint="eastAsia" w:ascii="宋体" w:hAnsi="宋体" w:eastAsia="宋体" w:cs="宋体"/>
        </w:rPr>
        <w:t>（2）本次地勘所有管道应根据实际地质情况选用经济合理的支护方式。</w:t>
      </w:r>
    </w:p>
    <w:p w14:paraId="5E756D0A">
      <w:pPr>
        <w:widowControl/>
        <w:rPr>
          <w:rFonts w:hint="eastAsia" w:ascii="宋体" w:hAnsi="宋体" w:eastAsia="宋体" w:cs="宋体"/>
        </w:rPr>
      </w:pPr>
      <w:r>
        <w:rPr>
          <w:rFonts w:hint="eastAsia" w:ascii="宋体" w:hAnsi="宋体" w:eastAsia="宋体" w:cs="宋体"/>
        </w:rPr>
        <w:t>（3）现状管线众多，开挖施工前应核实现状管线的标高和位置，确保能管道能接顺后再开挖，尽量采用人工开挖，对施工期间可能有影响到的其他管线，应采取临时保护措施，对无法保护的，应协调产权单位临时改迁。</w:t>
      </w:r>
    </w:p>
    <w:p w14:paraId="59E50308">
      <w:pPr>
        <w:widowControl/>
        <w:rPr>
          <w:rFonts w:hint="eastAsia" w:ascii="宋体" w:hAnsi="宋体" w:eastAsia="宋体" w:cs="宋体"/>
        </w:rPr>
      </w:pPr>
      <w:r>
        <w:rPr>
          <w:rFonts w:hint="eastAsia" w:ascii="宋体" w:hAnsi="宋体" w:eastAsia="宋体" w:cs="宋体"/>
        </w:rPr>
        <w:t>（4）由于现状管线众多，改造项目实施期间涉及到的单位较多，建议尽早协调各单位，必要时，可请产权单位现场指导施工，避免施工过程中挖断现状管线等施工事故。</w:t>
      </w:r>
    </w:p>
    <w:p w14:paraId="41B2210C">
      <w:pPr>
        <w:widowControl/>
        <w:rPr>
          <w:rFonts w:hint="eastAsia" w:ascii="宋体" w:hAnsi="宋体" w:eastAsia="宋体" w:cs="宋体"/>
        </w:rPr>
      </w:pPr>
      <w:r>
        <w:rPr>
          <w:rFonts w:hint="eastAsia" w:ascii="宋体" w:hAnsi="宋体" w:eastAsia="宋体" w:cs="宋体"/>
        </w:rPr>
        <w:t>（5）路面整治范围较大，施工期间应做好临时交通组织，确保行车、行人安全。</w:t>
      </w:r>
    </w:p>
    <w:p w14:paraId="69AAACB6">
      <w:pPr>
        <w:widowControl/>
        <w:rPr>
          <w:rFonts w:hint="eastAsia" w:ascii="宋体" w:hAnsi="宋体" w:eastAsia="宋体" w:cs="宋体"/>
        </w:rPr>
      </w:pPr>
      <w:r>
        <w:rPr>
          <w:rFonts w:hint="eastAsia" w:ascii="宋体" w:hAnsi="宋体" w:eastAsia="宋体" w:cs="宋体"/>
        </w:rPr>
        <w:t>（6）对现状其他管线（电力、通信、燃气及给水）需保护，施工单位开挖前应制定专项保护方案和可能中毒、触电及窒息等紧急情况的应急预案报产权单位同意后实施。施工过程中发生中毒、触电及窒息等紧急情况时应立即启动应急救援预案。</w:t>
      </w:r>
      <w:bookmarkStart w:id="2" w:name="_GoBack"/>
      <w:bookmarkEnd w:id="2"/>
    </w:p>
    <w:p w14:paraId="1DF7E833">
      <w:pPr>
        <w:pStyle w:val="2"/>
        <w:rPr>
          <w:rFonts w:hint="eastAsia" w:ascii="宋体" w:hAnsi="宋体" w:eastAsia="宋体" w:cs="宋体"/>
        </w:rPr>
      </w:pPr>
      <w:r>
        <w:rPr>
          <w:rStyle w:val="45"/>
          <w:rFonts w:hint="eastAsia" w:ascii="宋体" w:hAnsi="宋体" w:eastAsia="宋体" w:cs="宋体"/>
          <w:color w:val="auto"/>
          <w:u w:val="none"/>
        </w:rPr>
        <w:t>工程量表</w:t>
      </w:r>
    </w:p>
    <w:tbl>
      <w:tblPr>
        <w:tblStyle w:val="3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8"/>
        <w:gridCol w:w="2188"/>
        <w:gridCol w:w="2094"/>
        <w:gridCol w:w="1052"/>
        <w:gridCol w:w="628"/>
        <w:gridCol w:w="2981"/>
      </w:tblGrid>
      <w:tr w14:paraId="1B6B5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C65D2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序号</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F8BB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名称</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1616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规格</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AFA1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数量</w:t>
            </w:r>
          </w:p>
        </w:tc>
        <w:tc>
          <w:tcPr>
            <w:tcW w:w="328"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B2FE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单位</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6479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备注</w:t>
            </w:r>
          </w:p>
        </w:tc>
      </w:tr>
      <w:tr w14:paraId="0250B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6"/>
            <w:tcBorders>
              <w:top w:val="nil"/>
              <w:left w:val="single" w:color="000000" w:sz="8" w:space="0"/>
              <w:bottom w:val="single" w:color="000000" w:sz="8" w:space="0"/>
              <w:right w:val="single" w:color="000000" w:sz="8" w:space="0"/>
            </w:tcBorders>
            <w:shd w:val="clear" w:color="auto" w:fill="auto"/>
            <w:noWrap/>
            <w:vAlign w:val="center"/>
          </w:tcPr>
          <w:p w14:paraId="10C521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管道工程</w:t>
            </w:r>
          </w:p>
        </w:tc>
      </w:tr>
      <w:tr w14:paraId="7DEA0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D7555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0321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聚乙烯PE100管</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191F0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Dn110   1.0Mpa</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5B41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1252</w:t>
            </w:r>
          </w:p>
        </w:tc>
        <w:tc>
          <w:tcPr>
            <w:tcW w:w="328"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6D40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B41E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平均埋深0.7m</w:t>
            </w:r>
          </w:p>
        </w:tc>
      </w:tr>
      <w:tr w14:paraId="258691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C18E5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2</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1A3F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钢带增强聚乙烯螺旋波纹管</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567F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DN600</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5D6D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6</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15607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B8EB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SN=8</w:t>
            </w:r>
          </w:p>
        </w:tc>
      </w:tr>
      <w:tr w14:paraId="4C105B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A9D00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3</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C9BD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阀门井</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9397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1100x1100</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E293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6CE0E9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4BCC50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07MS101-2,页66</w:t>
            </w:r>
          </w:p>
        </w:tc>
      </w:tr>
      <w:tr w14:paraId="029B4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8FCF2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4</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5CA3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消能井</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0A5C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1900x1500</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67C9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25FA6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435A54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渝22TS02-3-26  现状井改造</w:t>
            </w:r>
          </w:p>
        </w:tc>
      </w:tr>
      <w:tr w14:paraId="4C4BB3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63B205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5</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076184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沉泥井</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26F761C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Φ1250</w:t>
            </w: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165E0B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033DA4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3D4C98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06MS201-3,页126</w:t>
            </w:r>
          </w:p>
        </w:tc>
      </w:tr>
      <w:tr w14:paraId="35F92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AC453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6</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6D76B1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管道包封</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4A1998C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2AF195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30</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5C1A56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m³</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19357A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sz w:val="24"/>
                <w:szCs w:val="24"/>
                <w:u w:val="none"/>
                <w:lang w:val="en-US" w:eastAsia="zh-CN"/>
              </w:rPr>
              <w:t>C20</w:t>
            </w:r>
          </w:p>
        </w:tc>
      </w:tr>
      <w:tr w14:paraId="1348F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502247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7</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6ED0D7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扩井口</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73D8FEF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58A941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E76AD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3C7EB2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具体详大样</w:t>
            </w:r>
          </w:p>
        </w:tc>
      </w:tr>
      <w:tr w14:paraId="6E463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5FCE89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8</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49E2E1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U型管卡</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15CAC3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SD40</w:t>
            </w: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02A782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3</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16631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个</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36E764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配套M10锚栓6个</w:t>
            </w:r>
          </w:p>
        </w:tc>
      </w:tr>
      <w:tr w14:paraId="0664D2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10CF25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9</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02DC7F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沟槽开挖</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061F133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74B0EF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473</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9FD9D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m3</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2CABB1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土石比为8:2（人机比5:5）</w:t>
            </w:r>
          </w:p>
        </w:tc>
      </w:tr>
      <w:tr w14:paraId="40899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5BB718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10</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3A6D50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沟槽砂回填</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2CF0004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115578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10</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69C2DC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m3</w:t>
            </w:r>
          </w:p>
        </w:tc>
        <w:tc>
          <w:tcPr>
            <w:tcW w:w="1557" w:type="pct"/>
            <w:tcBorders>
              <w:top w:val="nil"/>
              <w:left w:val="single" w:color="000000" w:sz="8" w:space="0"/>
              <w:bottom w:val="single" w:color="000000" w:sz="8" w:space="0"/>
              <w:right w:val="single" w:color="000000" w:sz="8" w:space="0"/>
            </w:tcBorders>
            <w:shd w:val="clear" w:color="auto" w:fill="auto"/>
            <w:noWrap/>
            <w:vAlign w:val="top"/>
          </w:tcPr>
          <w:p w14:paraId="5753FDF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用于排水沟修复，具体按实计</w:t>
            </w:r>
          </w:p>
        </w:tc>
      </w:tr>
      <w:tr w14:paraId="0D46B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FFAD9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11</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3877AD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沟槽回填</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66F7E45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00E968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424</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761C0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m3</w:t>
            </w:r>
          </w:p>
        </w:tc>
        <w:tc>
          <w:tcPr>
            <w:tcW w:w="1557" w:type="pct"/>
            <w:tcBorders>
              <w:top w:val="nil"/>
              <w:left w:val="single" w:color="000000" w:sz="8" w:space="0"/>
              <w:bottom w:val="single" w:color="000000" w:sz="8" w:space="0"/>
              <w:right w:val="single" w:color="000000" w:sz="8" w:space="0"/>
            </w:tcBorders>
            <w:shd w:val="clear" w:color="auto" w:fill="auto"/>
            <w:noWrap/>
            <w:vAlign w:val="top"/>
          </w:tcPr>
          <w:p w14:paraId="5879DD9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原土回填</w:t>
            </w:r>
          </w:p>
        </w:tc>
      </w:tr>
      <w:tr w14:paraId="66F58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92F97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sz w:val="24"/>
                <w:szCs w:val="24"/>
                <w:u w:val="none"/>
                <w:lang w:val="en-US" w:eastAsia="zh-CN"/>
              </w:rPr>
              <w:t>12</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67D0FC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弃方</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62AFC1F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519D32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39</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54675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m3</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0FD8F5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弃方运距10km，含弃渣费</w:t>
            </w:r>
          </w:p>
        </w:tc>
      </w:tr>
      <w:tr w14:paraId="5A7D2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46998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13</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16A9E0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一体化泵站</w:t>
            </w:r>
          </w:p>
        </w:tc>
        <w:tc>
          <w:tcPr>
            <w:tcW w:w="1093" w:type="pct"/>
            <w:tcBorders>
              <w:top w:val="nil"/>
              <w:left w:val="single" w:color="000000" w:sz="8" w:space="0"/>
              <w:bottom w:val="single" w:color="000000" w:sz="8" w:space="0"/>
              <w:right w:val="single" w:color="000000" w:sz="8" w:space="0"/>
            </w:tcBorders>
            <w:shd w:val="clear" w:color="auto" w:fill="auto"/>
            <w:noWrap/>
            <w:vAlign w:val="center"/>
          </w:tcPr>
          <w:p w14:paraId="226C78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 xml:space="preserve">130m³/d </w:t>
            </w: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02D646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0CADB7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297304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p>
        </w:tc>
      </w:tr>
      <w:tr w14:paraId="10935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6"/>
            <w:tcBorders>
              <w:top w:val="nil"/>
              <w:left w:val="single" w:color="000000" w:sz="8" w:space="0"/>
              <w:bottom w:val="single" w:color="000000" w:sz="8" w:space="0"/>
              <w:right w:val="single" w:color="000000" w:sz="8" w:space="0"/>
            </w:tcBorders>
            <w:shd w:val="clear" w:color="auto" w:fill="auto"/>
            <w:noWrap/>
            <w:vAlign w:val="center"/>
          </w:tcPr>
          <w:p w14:paraId="7162A4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现状设施保护及恢复</w:t>
            </w:r>
          </w:p>
        </w:tc>
      </w:tr>
      <w:tr w14:paraId="13644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8B354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29EB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管线保护</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top"/>
          </w:tcPr>
          <w:p w14:paraId="099F333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B5F4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400</w:t>
            </w:r>
          </w:p>
        </w:tc>
        <w:tc>
          <w:tcPr>
            <w:tcW w:w="328"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648F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63B0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d200-d400</w:t>
            </w:r>
          </w:p>
        </w:tc>
      </w:tr>
      <w:tr w14:paraId="596E7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97595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47EAFC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路口开挖及恢复</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529651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162FC4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100</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8A968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m2</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5E4971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水泥路面</w:t>
            </w:r>
          </w:p>
        </w:tc>
      </w:tr>
      <w:tr w14:paraId="2E366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E9CA0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3</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5C31AF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绿化开挖及恢复</w:t>
            </w:r>
          </w:p>
        </w:tc>
        <w:tc>
          <w:tcPr>
            <w:tcW w:w="1093" w:type="pct"/>
            <w:tcBorders>
              <w:top w:val="nil"/>
              <w:left w:val="single" w:color="000000" w:sz="8" w:space="0"/>
              <w:bottom w:val="single" w:color="000000" w:sz="8" w:space="0"/>
              <w:right w:val="single" w:color="000000" w:sz="8" w:space="0"/>
            </w:tcBorders>
            <w:shd w:val="clear" w:color="auto" w:fill="auto"/>
            <w:noWrap/>
            <w:vAlign w:val="top"/>
          </w:tcPr>
          <w:p w14:paraId="07976C9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2EFBE0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sz w:val="24"/>
                <w:szCs w:val="24"/>
                <w:u w:val="none"/>
                <w:lang w:val="en-US"/>
              </w:rPr>
            </w:pPr>
            <w:r>
              <w:rPr>
                <w:rFonts w:hint="eastAsia" w:asciiTheme="minorEastAsia" w:hAnsiTheme="minorEastAsia" w:eastAsiaTheme="minorEastAsia" w:cstheme="minorEastAsia"/>
                <w:i w:val="0"/>
                <w:iCs w:val="0"/>
                <w:color w:val="000000"/>
                <w:kern w:val="0"/>
                <w:sz w:val="24"/>
                <w:szCs w:val="24"/>
                <w:u w:val="none"/>
                <w:lang w:val="en-US" w:eastAsia="zh-CN" w:bidi="ar"/>
              </w:rPr>
              <w:t>596.5</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D0F4D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m2</w:t>
            </w:r>
          </w:p>
        </w:tc>
        <w:tc>
          <w:tcPr>
            <w:tcW w:w="1557" w:type="pct"/>
            <w:tcBorders>
              <w:top w:val="nil"/>
              <w:left w:val="single" w:color="000000" w:sz="8" w:space="0"/>
              <w:bottom w:val="single" w:color="000000" w:sz="8" w:space="0"/>
              <w:right w:val="single" w:color="000000" w:sz="8" w:space="0"/>
            </w:tcBorders>
            <w:shd w:val="clear" w:color="auto" w:fill="auto"/>
            <w:noWrap/>
            <w:vAlign w:val="top"/>
          </w:tcPr>
          <w:p w14:paraId="76E71C8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灌木为主</w:t>
            </w:r>
          </w:p>
        </w:tc>
      </w:tr>
      <w:tr w14:paraId="5E095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28" w:type="pct"/>
            <w:tcBorders>
              <w:top w:val="nil"/>
              <w:left w:val="single" w:color="000000" w:sz="8" w:space="0"/>
              <w:bottom w:val="nil"/>
              <w:right w:val="single" w:color="000000" w:sz="8" w:space="0"/>
            </w:tcBorders>
            <w:shd w:val="clear" w:color="auto" w:fill="auto"/>
            <w:noWrap/>
            <w:vAlign w:val="center"/>
          </w:tcPr>
          <w:p w14:paraId="2675BA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4</w:t>
            </w:r>
          </w:p>
        </w:tc>
        <w:tc>
          <w:tcPr>
            <w:tcW w:w="1143" w:type="pct"/>
            <w:tcBorders>
              <w:top w:val="nil"/>
              <w:left w:val="single" w:color="000000" w:sz="8" w:space="0"/>
              <w:bottom w:val="nil"/>
              <w:right w:val="single" w:color="000000" w:sz="8" w:space="0"/>
            </w:tcBorders>
            <w:shd w:val="clear" w:color="auto" w:fill="auto"/>
            <w:noWrap/>
            <w:vAlign w:val="center"/>
          </w:tcPr>
          <w:p w14:paraId="523686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人行道开挖及恢复</w:t>
            </w:r>
          </w:p>
        </w:tc>
        <w:tc>
          <w:tcPr>
            <w:tcW w:w="1093" w:type="pct"/>
            <w:tcBorders>
              <w:top w:val="nil"/>
              <w:left w:val="single" w:color="000000" w:sz="8" w:space="0"/>
              <w:bottom w:val="nil"/>
              <w:right w:val="single" w:color="000000" w:sz="8" w:space="0"/>
            </w:tcBorders>
            <w:shd w:val="clear" w:color="auto" w:fill="auto"/>
            <w:noWrap/>
            <w:vAlign w:val="top"/>
          </w:tcPr>
          <w:p w14:paraId="1841AC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nil"/>
              <w:left w:val="single" w:color="000000" w:sz="8" w:space="0"/>
              <w:bottom w:val="nil"/>
              <w:right w:val="single" w:color="000000" w:sz="8" w:space="0"/>
            </w:tcBorders>
            <w:shd w:val="clear" w:color="auto" w:fill="auto"/>
            <w:noWrap/>
            <w:vAlign w:val="center"/>
          </w:tcPr>
          <w:p w14:paraId="4B352B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12</w:t>
            </w:r>
          </w:p>
        </w:tc>
        <w:tc>
          <w:tcPr>
            <w:tcW w:w="328" w:type="pct"/>
            <w:tcBorders>
              <w:top w:val="nil"/>
              <w:left w:val="single" w:color="000000" w:sz="8" w:space="0"/>
              <w:bottom w:val="nil"/>
              <w:right w:val="single" w:color="000000" w:sz="8" w:space="0"/>
            </w:tcBorders>
            <w:shd w:val="clear" w:color="auto" w:fill="auto"/>
            <w:noWrap/>
            <w:vAlign w:val="center"/>
          </w:tcPr>
          <w:p w14:paraId="115C10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m2</w:t>
            </w:r>
          </w:p>
        </w:tc>
        <w:tc>
          <w:tcPr>
            <w:tcW w:w="1557" w:type="pct"/>
            <w:tcBorders>
              <w:top w:val="nil"/>
              <w:left w:val="single" w:color="000000" w:sz="8" w:space="0"/>
              <w:bottom w:val="nil"/>
              <w:right w:val="single" w:color="000000" w:sz="8" w:space="0"/>
            </w:tcBorders>
            <w:shd w:val="clear" w:color="auto" w:fill="auto"/>
            <w:noWrap/>
            <w:vAlign w:val="top"/>
          </w:tcPr>
          <w:p w14:paraId="3F6D407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透水砖</w:t>
            </w:r>
          </w:p>
        </w:tc>
      </w:tr>
      <w:tr w14:paraId="4DDC1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tcBorders>
              <w:top w:val="nil"/>
              <w:left w:val="single" w:color="000000" w:sz="8" w:space="0"/>
              <w:bottom w:val="nil"/>
              <w:right w:val="single" w:color="000000" w:sz="8" w:space="0"/>
            </w:tcBorders>
            <w:shd w:val="clear" w:color="auto" w:fill="auto"/>
            <w:noWrap/>
            <w:vAlign w:val="center"/>
          </w:tcPr>
          <w:p w14:paraId="5BCAC8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5</w:t>
            </w:r>
          </w:p>
        </w:tc>
        <w:tc>
          <w:tcPr>
            <w:tcW w:w="1143" w:type="pct"/>
            <w:tcBorders>
              <w:top w:val="nil"/>
              <w:left w:val="single" w:color="000000" w:sz="8" w:space="0"/>
              <w:bottom w:val="nil"/>
              <w:right w:val="single" w:color="000000" w:sz="8" w:space="0"/>
            </w:tcBorders>
            <w:shd w:val="clear" w:color="auto" w:fill="auto"/>
            <w:noWrap/>
            <w:vAlign w:val="center"/>
          </w:tcPr>
          <w:p w14:paraId="04BE5B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施工期间临时排水</w:t>
            </w:r>
          </w:p>
        </w:tc>
        <w:tc>
          <w:tcPr>
            <w:tcW w:w="1093" w:type="pct"/>
            <w:tcBorders>
              <w:top w:val="nil"/>
              <w:left w:val="single" w:color="000000" w:sz="8" w:space="0"/>
              <w:bottom w:val="nil"/>
              <w:right w:val="single" w:color="000000" w:sz="8" w:space="0"/>
            </w:tcBorders>
            <w:shd w:val="clear" w:color="auto" w:fill="auto"/>
            <w:noWrap/>
            <w:vAlign w:val="top"/>
          </w:tcPr>
          <w:p w14:paraId="18024A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c>
          <w:tcPr>
            <w:tcW w:w="549" w:type="pct"/>
            <w:tcBorders>
              <w:top w:val="nil"/>
              <w:left w:val="single" w:color="000000" w:sz="8" w:space="0"/>
              <w:bottom w:val="nil"/>
              <w:right w:val="single" w:color="000000" w:sz="8" w:space="0"/>
            </w:tcBorders>
            <w:shd w:val="clear" w:color="auto" w:fill="auto"/>
            <w:noWrap/>
            <w:vAlign w:val="center"/>
          </w:tcPr>
          <w:p w14:paraId="7F7E2C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328" w:type="pct"/>
            <w:tcBorders>
              <w:top w:val="nil"/>
              <w:left w:val="single" w:color="000000" w:sz="8" w:space="0"/>
              <w:bottom w:val="nil"/>
              <w:right w:val="single" w:color="000000" w:sz="8" w:space="0"/>
            </w:tcBorders>
            <w:shd w:val="clear" w:color="auto" w:fill="auto"/>
            <w:noWrap/>
            <w:vAlign w:val="center"/>
          </w:tcPr>
          <w:p w14:paraId="3FF6E6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项</w:t>
            </w:r>
          </w:p>
        </w:tc>
        <w:tc>
          <w:tcPr>
            <w:tcW w:w="1557" w:type="pct"/>
            <w:tcBorders>
              <w:top w:val="nil"/>
              <w:left w:val="single" w:color="000000" w:sz="8" w:space="0"/>
              <w:bottom w:val="nil"/>
              <w:right w:val="single" w:color="000000" w:sz="8" w:space="0"/>
            </w:tcBorders>
            <w:shd w:val="clear" w:color="auto" w:fill="auto"/>
            <w:noWrap/>
            <w:vAlign w:val="top"/>
          </w:tcPr>
          <w:p w14:paraId="1AE17DE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rPr>
            </w:pPr>
          </w:p>
        </w:tc>
      </w:tr>
      <w:tr w14:paraId="787F91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vMerge w:val="restart"/>
            <w:tcBorders>
              <w:top w:val="nil"/>
              <w:left w:val="single" w:color="000000" w:sz="8" w:space="0"/>
              <w:right w:val="single" w:color="000000" w:sz="8" w:space="0"/>
            </w:tcBorders>
            <w:shd w:val="clear" w:color="auto" w:fill="auto"/>
            <w:noWrap/>
            <w:vAlign w:val="center"/>
          </w:tcPr>
          <w:p w14:paraId="3C87A6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6</w:t>
            </w:r>
          </w:p>
        </w:tc>
        <w:tc>
          <w:tcPr>
            <w:tcW w:w="1143" w:type="pct"/>
            <w:tcBorders>
              <w:top w:val="nil"/>
              <w:left w:val="single" w:color="000000" w:sz="8" w:space="0"/>
              <w:bottom w:val="nil"/>
              <w:right w:val="single" w:color="000000" w:sz="8" w:space="0"/>
            </w:tcBorders>
            <w:shd w:val="clear" w:color="auto" w:fill="auto"/>
            <w:noWrap/>
            <w:vAlign w:val="center"/>
          </w:tcPr>
          <w:p w14:paraId="5736A7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现状排水沟破除</w:t>
            </w:r>
          </w:p>
        </w:tc>
        <w:tc>
          <w:tcPr>
            <w:tcW w:w="1093" w:type="pct"/>
            <w:tcBorders>
              <w:top w:val="nil"/>
              <w:left w:val="single" w:color="000000" w:sz="8" w:space="0"/>
              <w:bottom w:val="nil"/>
              <w:right w:val="single" w:color="000000" w:sz="8" w:space="0"/>
            </w:tcBorders>
            <w:shd w:val="clear" w:color="auto" w:fill="auto"/>
            <w:noWrap/>
            <w:vAlign w:val="top"/>
          </w:tcPr>
          <w:p w14:paraId="0087E1F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沟底破除</w:t>
            </w:r>
          </w:p>
        </w:tc>
        <w:tc>
          <w:tcPr>
            <w:tcW w:w="549" w:type="pct"/>
            <w:tcBorders>
              <w:top w:val="nil"/>
              <w:left w:val="single" w:color="000000" w:sz="8" w:space="0"/>
              <w:bottom w:val="nil"/>
              <w:right w:val="single" w:color="000000" w:sz="8" w:space="0"/>
            </w:tcBorders>
            <w:shd w:val="clear" w:color="auto" w:fill="auto"/>
            <w:noWrap/>
            <w:vAlign w:val="center"/>
          </w:tcPr>
          <w:p w14:paraId="09280A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200</w:t>
            </w:r>
          </w:p>
        </w:tc>
        <w:tc>
          <w:tcPr>
            <w:tcW w:w="328" w:type="pct"/>
            <w:tcBorders>
              <w:top w:val="nil"/>
              <w:left w:val="single" w:color="000000" w:sz="8" w:space="0"/>
              <w:bottom w:val="nil"/>
              <w:right w:val="single" w:color="000000" w:sz="8" w:space="0"/>
            </w:tcBorders>
            <w:shd w:val="clear" w:color="auto" w:fill="auto"/>
            <w:noWrap/>
            <w:vAlign w:val="center"/>
          </w:tcPr>
          <w:p w14:paraId="2AF38D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w:t>
            </w:r>
          </w:p>
        </w:tc>
        <w:tc>
          <w:tcPr>
            <w:tcW w:w="1557" w:type="pct"/>
            <w:tcBorders>
              <w:top w:val="nil"/>
              <w:left w:val="single" w:color="000000" w:sz="8" w:space="0"/>
              <w:bottom w:val="nil"/>
              <w:right w:val="single" w:color="000000" w:sz="8" w:space="0"/>
            </w:tcBorders>
            <w:shd w:val="clear" w:color="auto" w:fill="auto"/>
            <w:noWrap/>
            <w:vAlign w:val="top"/>
          </w:tcPr>
          <w:p w14:paraId="7C7DD6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破除厚度20cm（人工破除）暂估，按实计</w:t>
            </w:r>
          </w:p>
        </w:tc>
      </w:tr>
      <w:tr w14:paraId="5D427D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vMerge w:val="continue"/>
            <w:tcBorders>
              <w:left w:val="single" w:color="000000" w:sz="8" w:space="0"/>
              <w:right w:val="single" w:color="000000" w:sz="8" w:space="0"/>
            </w:tcBorders>
            <w:shd w:val="clear" w:color="auto" w:fill="auto"/>
            <w:noWrap/>
            <w:vAlign w:val="center"/>
          </w:tcPr>
          <w:p w14:paraId="6375CA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p>
        </w:tc>
        <w:tc>
          <w:tcPr>
            <w:tcW w:w="1143" w:type="pct"/>
            <w:tcBorders>
              <w:top w:val="nil"/>
              <w:left w:val="single" w:color="000000" w:sz="8" w:space="0"/>
              <w:bottom w:val="nil"/>
              <w:right w:val="single" w:color="000000" w:sz="8" w:space="0"/>
            </w:tcBorders>
            <w:shd w:val="clear" w:color="auto" w:fill="auto"/>
            <w:noWrap/>
            <w:vAlign w:val="center"/>
          </w:tcPr>
          <w:p w14:paraId="09AB53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现状排水沟恢复</w:t>
            </w:r>
          </w:p>
        </w:tc>
        <w:tc>
          <w:tcPr>
            <w:tcW w:w="1093" w:type="pct"/>
            <w:tcBorders>
              <w:top w:val="nil"/>
              <w:left w:val="single" w:color="000000" w:sz="8" w:space="0"/>
              <w:bottom w:val="nil"/>
              <w:right w:val="single" w:color="000000" w:sz="8" w:space="0"/>
            </w:tcBorders>
            <w:shd w:val="clear" w:color="auto" w:fill="auto"/>
            <w:noWrap/>
            <w:vAlign w:val="top"/>
          </w:tcPr>
          <w:p w14:paraId="2F26067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沟底恢复</w:t>
            </w:r>
          </w:p>
        </w:tc>
        <w:tc>
          <w:tcPr>
            <w:tcW w:w="549" w:type="pct"/>
            <w:tcBorders>
              <w:top w:val="nil"/>
              <w:left w:val="single" w:color="000000" w:sz="8" w:space="0"/>
              <w:bottom w:val="nil"/>
              <w:right w:val="single" w:color="000000" w:sz="8" w:space="0"/>
            </w:tcBorders>
            <w:shd w:val="clear" w:color="auto" w:fill="auto"/>
            <w:noWrap/>
            <w:vAlign w:val="center"/>
          </w:tcPr>
          <w:p w14:paraId="00BD67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200</w:t>
            </w:r>
          </w:p>
        </w:tc>
        <w:tc>
          <w:tcPr>
            <w:tcW w:w="328" w:type="pct"/>
            <w:tcBorders>
              <w:top w:val="nil"/>
              <w:left w:val="single" w:color="000000" w:sz="8" w:space="0"/>
              <w:bottom w:val="nil"/>
              <w:right w:val="single" w:color="000000" w:sz="8" w:space="0"/>
            </w:tcBorders>
            <w:shd w:val="clear" w:color="auto" w:fill="auto"/>
            <w:noWrap/>
            <w:vAlign w:val="center"/>
          </w:tcPr>
          <w:p w14:paraId="3E20D7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w:t>
            </w:r>
          </w:p>
        </w:tc>
        <w:tc>
          <w:tcPr>
            <w:tcW w:w="1557" w:type="pct"/>
            <w:tcBorders>
              <w:top w:val="nil"/>
              <w:left w:val="single" w:color="000000" w:sz="8" w:space="0"/>
              <w:bottom w:val="nil"/>
              <w:right w:val="single" w:color="000000" w:sz="8" w:space="0"/>
            </w:tcBorders>
            <w:shd w:val="clear" w:color="auto" w:fill="auto"/>
            <w:noWrap/>
            <w:vAlign w:val="top"/>
          </w:tcPr>
          <w:p w14:paraId="5AD8D7C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sz w:val="24"/>
                <w:szCs w:val="24"/>
                <w:u w:val="none"/>
                <w:lang w:val="en-US" w:eastAsia="zh-CN"/>
              </w:rPr>
              <w:t>C25混凝土，恢复厚度10cm暂估，按实计</w:t>
            </w:r>
          </w:p>
        </w:tc>
      </w:tr>
      <w:tr w14:paraId="118DB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28" w:type="pct"/>
            <w:tcBorders>
              <w:left w:val="single" w:color="000000" w:sz="8" w:space="0"/>
              <w:bottom w:val="single" w:color="auto" w:sz="4" w:space="0"/>
              <w:right w:val="single" w:color="000000" w:sz="8" w:space="0"/>
            </w:tcBorders>
            <w:shd w:val="clear" w:color="auto" w:fill="auto"/>
            <w:noWrap/>
            <w:vAlign w:val="center"/>
          </w:tcPr>
          <w:p w14:paraId="5FA584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7</w:t>
            </w:r>
          </w:p>
        </w:tc>
        <w:tc>
          <w:tcPr>
            <w:tcW w:w="1143" w:type="pct"/>
            <w:tcBorders>
              <w:top w:val="nil"/>
              <w:left w:val="single" w:color="000000" w:sz="8" w:space="0"/>
              <w:bottom w:val="single" w:color="auto" w:sz="4" w:space="0"/>
              <w:right w:val="single" w:color="000000" w:sz="8" w:space="0"/>
            </w:tcBorders>
            <w:shd w:val="clear" w:color="auto" w:fill="auto"/>
            <w:noWrap/>
            <w:vAlign w:val="center"/>
          </w:tcPr>
          <w:p w14:paraId="60A3EF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现状排水沟恢复</w:t>
            </w:r>
          </w:p>
        </w:tc>
        <w:tc>
          <w:tcPr>
            <w:tcW w:w="1093" w:type="pct"/>
            <w:tcBorders>
              <w:top w:val="nil"/>
              <w:left w:val="single" w:color="000000" w:sz="8" w:space="0"/>
              <w:bottom w:val="single" w:color="auto" w:sz="4" w:space="0"/>
              <w:right w:val="single" w:color="000000" w:sz="8" w:space="0"/>
            </w:tcBorders>
            <w:shd w:val="clear" w:color="auto" w:fill="auto"/>
            <w:noWrap/>
            <w:vAlign w:val="top"/>
          </w:tcPr>
          <w:p w14:paraId="499DC1C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现状沟壁恢复</w:t>
            </w:r>
          </w:p>
        </w:tc>
        <w:tc>
          <w:tcPr>
            <w:tcW w:w="549" w:type="pct"/>
            <w:tcBorders>
              <w:top w:val="nil"/>
              <w:left w:val="single" w:color="000000" w:sz="8" w:space="0"/>
              <w:bottom w:val="single" w:color="auto" w:sz="4" w:space="0"/>
              <w:right w:val="single" w:color="000000" w:sz="8" w:space="0"/>
            </w:tcBorders>
            <w:shd w:val="clear" w:color="auto" w:fill="auto"/>
            <w:noWrap/>
            <w:vAlign w:val="center"/>
          </w:tcPr>
          <w:p w14:paraId="5CEA96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300</w:t>
            </w:r>
          </w:p>
        </w:tc>
        <w:tc>
          <w:tcPr>
            <w:tcW w:w="328" w:type="pct"/>
            <w:tcBorders>
              <w:top w:val="nil"/>
              <w:left w:val="single" w:color="000000" w:sz="8" w:space="0"/>
              <w:bottom w:val="single" w:color="auto" w:sz="4" w:space="0"/>
              <w:right w:val="single" w:color="000000" w:sz="8" w:space="0"/>
            </w:tcBorders>
            <w:shd w:val="clear" w:color="auto" w:fill="auto"/>
            <w:noWrap/>
            <w:vAlign w:val="center"/>
          </w:tcPr>
          <w:p w14:paraId="17795F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w:t>
            </w:r>
          </w:p>
        </w:tc>
        <w:tc>
          <w:tcPr>
            <w:tcW w:w="1557" w:type="pct"/>
            <w:tcBorders>
              <w:top w:val="nil"/>
              <w:left w:val="single" w:color="000000" w:sz="8" w:space="0"/>
              <w:bottom w:val="single" w:color="auto" w:sz="4" w:space="0"/>
              <w:right w:val="single" w:color="000000" w:sz="8" w:space="0"/>
            </w:tcBorders>
            <w:shd w:val="clear" w:color="auto" w:fill="auto"/>
            <w:noWrap/>
            <w:vAlign w:val="top"/>
          </w:tcPr>
          <w:p w14:paraId="3CFF1162">
            <w:pPr>
              <w:keepNext w:val="0"/>
              <w:keepLines w:val="0"/>
              <w:pageBreakBefore w:val="0"/>
              <w:widowControl/>
              <w:kinsoku/>
              <w:wordWrap/>
              <w:overflowPunct/>
              <w:topLinePunct w:val="0"/>
              <w:autoSpaceDE/>
              <w:autoSpaceDN/>
              <w:bidi w:val="0"/>
              <w:adjustRightInd/>
              <w:snapToGrid/>
              <w:spacing w:line="240" w:lineRule="auto"/>
              <w:ind w:firstLine="0" w:firstLineChars="0"/>
              <w:jc w:val="both"/>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C25混凝土，恢复厚度10cm暂估，按实计</w:t>
            </w:r>
          </w:p>
        </w:tc>
      </w:tr>
      <w:tr w14:paraId="72F14A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84B62D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kern w:val="0"/>
                <w:sz w:val="24"/>
                <w:szCs w:val="24"/>
                <w:u w:val="none"/>
                <w:lang w:val="en-US" w:eastAsia="zh-CN" w:bidi="ar"/>
              </w:rPr>
              <w:t>泵站电气</w:t>
            </w:r>
          </w:p>
        </w:tc>
      </w:tr>
      <w:tr w14:paraId="39B30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60F83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8285E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电力套管</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0CDBEAE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SC25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20C90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sz w:val="24"/>
                <w:szCs w:val="24"/>
                <w:u w:val="none"/>
                <w:lang w:val="en-US" w:eastAsia="zh-CN"/>
              </w:rPr>
              <w:t>30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E1B33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55E8F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p>
        </w:tc>
      </w:tr>
      <w:tr w14:paraId="30512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B48D3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7D03B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电力套管</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1ACB419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SC40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FA370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sz w:val="24"/>
                <w:szCs w:val="24"/>
                <w:u w:val="none"/>
                <w:lang w:val="en-US" w:eastAsia="zh-CN"/>
              </w:rPr>
              <w:t>320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8679F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73EB6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p>
        </w:tc>
      </w:tr>
      <w:tr w14:paraId="2234A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34F44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3</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95A14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电缆</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5DE0B82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YJV,5x10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57996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320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B9A6B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2384AA1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p>
        </w:tc>
      </w:tr>
      <w:tr w14:paraId="6647D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6DAA1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4</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EA2CC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控制柜</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320427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设备成套</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40F69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2569F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台</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519C8F7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p>
        </w:tc>
      </w:tr>
      <w:tr w14:paraId="2BD4B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FA653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42294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接地线</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0C806D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热镀锌扁钢40*4</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364E8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60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55F69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281EF17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p>
        </w:tc>
      </w:tr>
      <w:tr w14:paraId="1E7F3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358D5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6</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0AC06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避雷带</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208A8E6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热镀锌扁钢40*4</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DA226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12</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EE6BD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6FE9515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p>
        </w:tc>
      </w:tr>
      <w:tr w14:paraId="6A74B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BA54B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7</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8BE3D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引线</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4A31A74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热镀锌圆钢Φ12</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58159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20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F4768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422AC1D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p>
        </w:tc>
      </w:tr>
      <w:tr w14:paraId="1314D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28461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8</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A9FB0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总等电位端子箱</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71E4F8A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8A0AC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5D949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个</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5FB618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详15D502-29页</w:t>
            </w:r>
          </w:p>
        </w:tc>
      </w:tr>
      <w:tr w14:paraId="46679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EEAB5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9</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71941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钢筋混凝土预埋件</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3C30437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76648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9A904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个</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37D11C8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详15D502-42页</w:t>
            </w:r>
          </w:p>
        </w:tc>
      </w:tr>
      <w:tr w14:paraId="214CC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8B492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10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B2A69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断接卡（暗检点）</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0629ECE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kern w:val="2"/>
                <w:sz w:val="24"/>
                <w:szCs w:val="24"/>
                <w:u w:val="none"/>
                <w:lang w:val="en-US" w:eastAsia="zh-CN" w:bidi="ar-SA"/>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709A4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7A5BA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heme="minorEastAsia" w:hAnsiTheme="minorEastAsia" w:eastAsiaTheme="minorEastAsia" w:cstheme="minorEastAsia"/>
                <w:i w:val="0"/>
                <w:iCs w:val="0"/>
                <w:color w:val="000000"/>
                <w:kern w:val="0"/>
                <w:sz w:val="24"/>
                <w:szCs w:val="24"/>
                <w:u w:val="none"/>
                <w:lang w:val="en-US" w:eastAsia="zh-CN" w:bidi="ar"/>
              </w:rPr>
            </w:pPr>
            <w:r>
              <w:rPr>
                <w:rFonts w:hint="eastAsia" w:asciiTheme="minorEastAsia" w:hAnsiTheme="minorEastAsia" w:eastAsiaTheme="minorEastAsia" w:cstheme="minorEastAsia"/>
                <w:i w:val="0"/>
                <w:iCs w:val="0"/>
                <w:color w:val="000000"/>
                <w:kern w:val="0"/>
                <w:sz w:val="24"/>
                <w:szCs w:val="24"/>
                <w:u w:val="none"/>
                <w:lang w:val="en-US" w:eastAsia="zh-CN" w:bidi="ar"/>
              </w:rPr>
              <w:t>个</w:t>
            </w:r>
          </w:p>
        </w:tc>
        <w:tc>
          <w:tcPr>
            <w:tcW w:w="0" w:type="auto"/>
            <w:tcBorders>
              <w:top w:val="single" w:color="auto" w:sz="4" w:space="0"/>
              <w:left w:val="single" w:color="auto" w:sz="4" w:space="0"/>
              <w:bottom w:val="single" w:color="auto" w:sz="4" w:space="0"/>
              <w:right w:val="single" w:color="auto" w:sz="4" w:space="0"/>
            </w:tcBorders>
            <w:shd w:val="clear" w:color="auto" w:fill="auto"/>
            <w:vAlign w:val="top"/>
          </w:tcPr>
          <w:p w14:paraId="7BFB120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heme="minorEastAsia" w:hAnsiTheme="minorEastAsia" w:eastAsiaTheme="minorEastAsia" w:cstheme="minorEastAsia"/>
                <w:i w:val="0"/>
                <w:iCs w:val="0"/>
                <w:color w:val="000000"/>
                <w:sz w:val="24"/>
                <w:szCs w:val="24"/>
                <w:u w:val="none"/>
                <w:lang w:val="en-US" w:eastAsia="zh-CN"/>
              </w:rPr>
            </w:pPr>
            <w:r>
              <w:rPr>
                <w:rFonts w:hint="eastAsia" w:asciiTheme="minorEastAsia" w:hAnsiTheme="minorEastAsia" w:eastAsiaTheme="minorEastAsia" w:cstheme="minorEastAsia"/>
                <w:i w:val="0"/>
                <w:iCs w:val="0"/>
                <w:color w:val="000000"/>
                <w:sz w:val="24"/>
                <w:szCs w:val="24"/>
                <w:u w:val="none"/>
                <w:lang w:val="en-US" w:eastAsia="zh-CN"/>
              </w:rPr>
              <w:t>详15D501-29页</w:t>
            </w:r>
          </w:p>
        </w:tc>
      </w:tr>
    </w:tbl>
    <w:p w14:paraId="6BA4AD18">
      <w:pPr>
        <w:widowControl/>
        <w:rPr>
          <w:rFonts w:hint="eastAsia" w:ascii="宋体" w:hAnsi="宋体" w:eastAsia="宋体" w:cs="宋体"/>
        </w:rPr>
      </w:pPr>
    </w:p>
    <w:p w14:paraId="5F3004ED">
      <w:pPr>
        <w:widowControl/>
        <w:rPr>
          <w:rFonts w:hint="eastAsia" w:ascii="宋体" w:hAnsi="宋体" w:eastAsia="宋体" w:cs="宋体"/>
        </w:rPr>
      </w:pPr>
      <w:r>
        <w:rPr>
          <w:rFonts w:hint="eastAsia" w:ascii="宋体" w:hAnsi="宋体" w:eastAsia="宋体" w:cs="宋体"/>
        </w:rPr>
        <w:t>备注：本次工程量仅作为参考，具体以实际发生量计。</w:t>
      </w:r>
    </w:p>
    <w:sectPr>
      <w:headerReference r:id="rId11" w:type="default"/>
      <w:type w:val="continuous"/>
      <w:pgSz w:w="23814" w:h="16839" w:orient="landscape"/>
      <w:pgMar w:top="1701" w:right="1701" w:bottom="1701" w:left="1701" w:header="851" w:footer="992" w:gutter="567"/>
      <w:pgNumType w:start="1"/>
      <w:cols w:space="1134" w:num="2"/>
      <w:docGrid w:type="linesAndChars"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200247B" w:usb2="00000009" w:usb3="00000000" w:csb0="200001FF" w:csb1="0000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ˎ̥">
    <w:altName w:val="Times New Roman"/>
    <w:panose1 w:val="00000000000000000000"/>
    <w:charset w:val="00"/>
    <w:family w:val="roman"/>
    <w:pitch w:val="default"/>
    <w:sig w:usb0="00000000" w:usb1="00000000" w:usb2="00000000" w:usb3="00000000" w:csb0="00000000" w:csb1="00000000"/>
  </w:font>
  <w:font w:name="Garamond">
    <w:altName w:val="RomanS"/>
    <w:panose1 w:val="02020404030301010803"/>
    <w:charset w:val="00"/>
    <w:family w:val="roman"/>
    <w:pitch w:val="default"/>
    <w:sig w:usb0="00000000" w:usb1="00000000" w:usb2="00000000" w:usb3="00000000" w:csb0="0000009F" w:csb1="DFD70000"/>
  </w:font>
  <w:font w:name="RomanS">
    <w:panose1 w:val="02000400000000000000"/>
    <w:charset w:val="00"/>
    <w:family w:val="auto"/>
    <w:pitch w:val="default"/>
    <w:sig w:usb0="00000207" w:usb1="00000000" w:usb2="00000000" w:usb3="00000000" w:csb0="000001F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52729273"/>
    </w:sdtPr>
    <w:sdtEndPr>
      <w:rPr>
        <w:rFonts w:ascii="仿宋" w:hAnsi="仿宋"/>
        <w:sz w:val="21"/>
        <w:szCs w:val="21"/>
      </w:rPr>
    </w:sdtEndPr>
    <w:sdtContent>
      <w:p w14:paraId="4190DAFE">
        <w:pPr>
          <w:pStyle w:val="23"/>
          <w:ind w:right="900" w:firstLine="0" w:firstLineChars="0"/>
          <w:jc w:val="center"/>
          <w:rPr>
            <w:rFonts w:hint="eastAsia" w:ascii="仿宋" w:hAnsi="仿宋"/>
            <w:sz w:val="21"/>
            <w:szCs w:val="21"/>
          </w:rPr>
        </w:pPr>
        <w:r>
          <w:rPr>
            <w:rFonts w:hint="eastAsia"/>
          </w:rPr>
          <w:t>第</w:t>
        </w:r>
        <w:sdt>
          <w:sdtPr>
            <w:id w:val="402734697"/>
          </w:sdtPr>
          <w:sdtContent>
            <w:sdt>
              <w:sdtPr>
                <w:id w:val="1728636285"/>
              </w:sdtPr>
              <w:sdtContent>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sz w:val="24"/>
                    <w:szCs w:val="24"/>
                  </w:rPr>
                  <w:t>1</w:t>
                </w:r>
                <w:r>
                  <w:rPr>
                    <w:b/>
                    <w:bCs/>
                    <w:sz w:val="24"/>
                    <w:szCs w:val="24"/>
                  </w:rPr>
                  <w:fldChar w:fldCharType="end"/>
                </w:r>
                <w:r>
                  <w:rPr>
                    <w:lang w:val="zh-CN"/>
                  </w:rPr>
                  <w:t xml:space="preserve"> </w:t>
                </w:r>
                <w:r>
                  <w:rPr>
                    <w:rFonts w:hint="eastAsia"/>
                    <w:lang w:val="zh-CN"/>
                  </w:rPr>
                  <w:t>页</w:t>
                </w:r>
                <w:r>
                  <w:rPr>
                    <w:lang w:val="zh-CN"/>
                  </w:rPr>
                  <w:t xml:space="preserve">    </w:t>
                </w:r>
                <w:r>
                  <w:rPr>
                    <w:rFonts w:hint="eastAsia"/>
                    <w:lang w:val="zh-CN"/>
                  </w:rPr>
                  <w:t xml:space="preserve">共 </w:t>
                </w:r>
                <w:r>
                  <w:rPr>
                    <w:lang w:val="zh-CN"/>
                  </w:rPr>
                  <w:t xml:space="preserve"> </w:t>
                </w:r>
                <w:r>
                  <w:rPr>
                    <w:b/>
                    <w:bCs/>
                    <w:sz w:val="24"/>
                    <w:szCs w:val="24"/>
                  </w:rPr>
                  <w:fldChar w:fldCharType="begin"/>
                </w:r>
                <w:r>
                  <w:rPr>
                    <w:b/>
                    <w:bCs/>
                  </w:rPr>
                  <w:instrText xml:space="preserve">NUMPAGES</w:instrText>
                </w:r>
                <w:r>
                  <w:rPr>
                    <w:b/>
                    <w:bCs/>
                    <w:sz w:val="24"/>
                    <w:szCs w:val="24"/>
                  </w:rPr>
                  <w:fldChar w:fldCharType="separate"/>
                </w:r>
                <w:r>
                  <w:rPr>
                    <w:b/>
                    <w:bCs/>
                    <w:sz w:val="24"/>
                    <w:szCs w:val="24"/>
                  </w:rPr>
                  <w:t>39</w:t>
                </w:r>
                <w:r>
                  <w:rPr>
                    <w:b/>
                    <w:bCs/>
                    <w:sz w:val="24"/>
                    <w:szCs w:val="24"/>
                  </w:rPr>
                  <w:fldChar w:fldCharType="end"/>
                </w:r>
                <w:r>
                  <w:rPr>
                    <w:b/>
                    <w:bCs/>
                    <w:sz w:val="24"/>
                    <w:szCs w:val="24"/>
                  </w:rPr>
                  <w:t xml:space="preserve"> </w:t>
                </w:r>
                <w:r>
                  <w:rPr>
                    <w:rFonts w:hint="eastAsia"/>
                    <w:b/>
                    <w:bCs/>
                    <w:lang w:val="zh-CN"/>
                  </w:rPr>
                  <w:t>页</w:t>
                </w:r>
              </w:sdtContent>
            </w:sdt>
          </w:sdtContent>
        </w:sdt>
      </w:p>
    </w:sdtContent>
  </w:sdt>
  <w:p w14:paraId="6D2E125F">
    <w:pPr>
      <w:pStyle w:val="2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BE654">
    <w:pPr>
      <w:pStyle w:val="2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BB8F68">
    <w:pPr>
      <w:pStyle w:val="2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62DEC4">
    <w:pPr>
      <w:pStyle w:val="24"/>
      <w:pBdr>
        <w:bottom w:val="none" w:color="auto" w:sz="0" w:space="1"/>
      </w:pBdr>
      <w:ind w:firstLine="0" w:firstLineChars="0"/>
      <w:jc w:val="both"/>
      <w:rPr>
        <w:rFonts w:hint="eastAsia" w:ascii="宋体" w:hAnsi="宋体" w:eastAsia="宋体" w:cs="宋体"/>
        <w:lang w:eastAsia="zh-CN"/>
      </w:rPr>
    </w:pPr>
    <w:r>
      <w:rPr>
        <w:rFonts w:hint="eastAsia" w:ascii="宋体" w:hAnsi="宋体" w:eastAsia="宋体" w:cs="宋体"/>
        <w:lang w:eastAsia="zh-CN"/>
      </w:rPr>
      <w:drawing>
        <wp:anchor distT="0" distB="0" distL="114300" distR="114300" simplePos="0" relativeHeight="251659264" behindDoc="1" locked="0" layoutInCell="1" allowOverlap="1">
          <wp:simplePos x="0" y="0"/>
          <wp:positionH relativeFrom="column">
            <wp:posOffset>-1276985</wp:posOffset>
          </wp:positionH>
          <wp:positionV relativeFrom="paragraph">
            <wp:posOffset>-161925</wp:posOffset>
          </wp:positionV>
          <wp:extent cx="14961235" cy="10566400"/>
          <wp:effectExtent l="0" t="0" r="12065" b="6350"/>
          <wp:wrapNone/>
          <wp:docPr id="3" name="图片 3" descr="说明参照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说明参照01"/>
                  <pic:cNvPicPr>
                    <a:picLocks noChangeAspect="1"/>
                  </pic:cNvPicPr>
                </pic:nvPicPr>
                <pic:blipFill>
                  <a:blip r:embed="rId1"/>
                  <a:stretch>
                    <a:fillRect/>
                  </a:stretch>
                </pic:blipFill>
                <pic:spPr>
                  <a:xfrm>
                    <a:off x="0" y="0"/>
                    <a:ext cx="14961235" cy="10566400"/>
                  </a:xfrm>
                  <a:prstGeom prst="rect">
                    <a:avLst/>
                  </a:prstGeom>
                </pic:spPr>
              </pic:pic>
            </a:graphicData>
          </a:graphic>
        </wp:anchor>
      </w:drawing>
    </w:r>
  </w:p>
  <w:p w14:paraId="5A08CE08">
    <w:pPr>
      <w:pStyle w:val="24"/>
      <w:pBdr>
        <w:bottom w:val="none" w:color="auto" w:sz="0" w:space="0"/>
      </w:pBdr>
      <w:ind w:firstLine="360"/>
      <w:rPr>
        <w:rFonts w:hint="eastAsia" w:ascii="宋体" w:hAnsi="宋体" w:eastAsia="宋体" w:cs="宋体"/>
      </w:rPr>
    </w:pPr>
    <w:r>
      <w:rPr>
        <w:rFonts w:hint="eastAsia" w:ascii="宋体" w:hAnsi="宋体" w:eastAsia="宋体" w:cs="宋体"/>
      </w:rPr>
      <w:drawing>
        <wp:inline distT="0" distB="0" distL="114300" distR="114300">
          <wp:extent cx="12055475" cy="8524875"/>
          <wp:effectExtent l="0" t="0" r="3175" b="9525"/>
          <wp:docPr id="5" name="图片 5" descr="TK0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TK01_1"/>
                  <pic:cNvPicPr>
                    <a:picLocks noChangeAspect="1"/>
                  </pic:cNvPicPr>
                </pic:nvPicPr>
                <pic:blipFill>
                  <a:blip r:embed="rId2"/>
                  <a:stretch>
                    <a:fillRect/>
                  </a:stretch>
                </pic:blipFill>
                <pic:spPr>
                  <a:xfrm>
                    <a:off x="0" y="0"/>
                    <a:ext cx="12055475" cy="852487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12A93">
    <w:pPr>
      <w:pStyle w:val="2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AB42DC">
    <w:pPr>
      <w:pStyle w:val="2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2C301">
    <w:pPr>
      <w:pStyle w:val="24"/>
      <w:pBdr>
        <w:bottom w:val="none" w:color="auto" w:sz="0" w:space="1"/>
      </w:pBdr>
      <w:ind w:firstLine="0" w:firstLineChars="0"/>
      <w:rPr>
        <w:rFonts w:hint="eastAsia" w:ascii="宋体" w:hAnsi="宋体" w:eastAsia="宋体" w:cs="宋体"/>
        <w:lang w:eastAsia="zh-CN"/>
      </w:rPr>
    </w:pPr>
    <w:r>
      <w:rPr>
        <w:rFonts w:hint="eastAsia" w:ascii="宋体" w:hAnsi="宋体" w:eastAsia="宋体" w:cs="宋体"/>
        <w:lang w:eastAsia="zh-CN"/>
      </w:rPr>
      <w:drawing>
        <wp:anchor distT="0" distB="0" distL="114300" distR="114300" simplePos="0" relativeHeight="251660288" behindDoc="1" locked="0" layoutInCell="1" allowOverlap="1">
          <wp:simplePos x="0" y="0"/>
          <wp:positionH relativeFrom="column">
            <wp:posOffset>-1440180</wp:posOffset>
          </wp:positionH>
          <wp:positionV relativeFrom="paragraph">
            <wp:posOffset>-147955</wp:posOffset>
          </wp:positionV>
          <wp:extent cx="14961235" cy="10566400"/>
          <wp:effectExtent l="0" t="0" r="12065" b="6350"/>
          <wp:wrapNone/>
          <wp:docPr id="4" name="图片 4" descr="说明参照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说明参照01"/>
                  <pic:cNvPicPr>
                    <a:picLocks noChangeAspect="1"/>
                  </pic:cNvPicPr>
                </pic:nvPicPr>
                <pic:blipFill>
                  <a:blip r:embed="rId1"/>
                  <a:stretch>
                    <a:fillRect/>
                  </a:stretch>
                </pic:blipFill>
                <pic:spPr>
                  <a:xfrm>
                    <a:off x="0" y="0"/>
                    <a:ext cx="14961235" cy="10566400"/>
                  </a:xfrm>
                  <a:prstGeom prst="rect">
                    <a:avLst/>
                  </a:prstGeom>
                </pic:spPr>
              </pic:pic>
            </a:graphicData>
          </a:graphic>
        </wp:anchor>
      </w:drawing>
    </w:r>
    <w:r>
      <w:rPr>
        <w:rFonts w:hint="eastAsia" w:ascii="宋体" w:hAnsi="宋体" w:eastAsia="宋体" w:cs="宋体"/>
        <w:lang w:val="en-US" w:eastAsia="zh-CN"/>
      </w:rPr>
      <w:t>·</w:t>
    </w:r>
  </w:p>
  <w:p w14:paraId="1EEF9EC9">
    <w:pPr>
      <w:pStyle w:val="24"/>
      <w:pBdr>
        <w:bottom w:val="none" w:color="auto" w:sz="0" w:space="0"/>
      </w:pBdr>
      <w:ind w:firstLine="360"/>
      <w:rPr>
        <w:rFonts w:hint="eastAsia" w:ascii="宋体" w:hAnsi="宋体" w:eastAsia="宋体" w:cs="宋体"/>
      </w:rPr>
    </w:pPr>
    <w:r>
      <w:rPr>
        <w:rFonts w:hint="eastAsia" w:ascii="宋体" w:hAnsi="宋体" w:eastAsia="宋体" w:cs="宋体"/>
      </w:rPr>
      <w:drawing>
        <wp:inline distT="0" distB="0" distL="114300" distR="114300">
          <wp:extent cx="12055475" cy="8524875"/>
          <wp:effectExtent l="0" t="0" r="3175" b="9525"/>
          <wp:docPr id="8" name="图片 8" descr="TK0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TK01_1"/>
                  <pic:cNvPicPr>
                    <a:picLocks noChangeAspect="1"/>
                  </pic:cNvPicPr>
                </pic:nvPicPr>
                <pic:blipFill>
                  <a:blip r:embed="rId2"/>
                  <a:stretch>
                    <a:fillRect/>
                  </a:stretch>
                </pic:blipFill>
                <pic:spPr>
                  <a:xfrm>
                    <a:off x="0" y="0"/>
                    <a:ext cx="12055475" cy="852487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58913AF"/>
    <w:multiLevelType w:val="multilevel"/>
    <w:tmpl w:val="358913AF"/>
    <w:lvl w:ilvl="0" w:tentative="0">
      <w:start w:val="1"/>
      <w:numFmt w:val="decimal"/>
      <w:pStyle w:val="2"/>
      <w:suff w:val="space"/>
      <w:lvlText w:val="%1"/>
      <w:lvlJc w:val="left"/>
      <w:pPr>
        <w:ind w:left="0" w:firstLine="0"/>
      </w:pPr>
      <w:rPr>
        <w:rFonts w:hint="eastAsia"/>
      </w:rPr>
    </w:lvl>
    <w:lvl w:ilvl="1" w:tentative="0">
      <w:start w:val="1"/>
      <w:numFmt w:val="decimal"/>
      <w:pStyle w:val="3"/>
      <w:suff w:val="space"/>
      <w:lvlText w:val="%1.%2"/>
      <w:lvlJc w:val="left"/>
      <w:pPr>
        <w:ind w:left="0" w:firstLine="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decimal"/>
      <w:pStyle w:val="4"/>
      <w:suff w:val="space"/>
      <w:lvlText w:val="%1.%2.%3"/>
      <w:lvlJc w:val="left"/>
      <w:pPr>
        <w:ind w:left="0" w:firstLine="0"/>
      </w:pPr>
      <w:rPr>
        <w:rFonts w:hint="eastAsia"/>
      </w:rPr>
    </w:lvl>
    <w:lvl w:ilvl="3" w:tentative="0">
      <w:start w:val="1"/>
      <w:numFmt w:val="decimal"/>
      <w:pStyle w:val="5"/>
      <w:suff w:val="space"/>
      <w:lvlText w:val="%1.%2.%3.%4"/>
      <w:lvlJc w:val="left"/>
      <w:pPr>
        <w:ind w:left="0" w:firstLine="0"/>
      </w:pPr>
      <w:rPr>
        <w:rFonts w:hint="eastAsia"/>
      </w:rPr>
    </w:lvl>
    <w:lvl w:ilvl="4" w:tentative="0">
      <w:start w:val="1"/>
      <w:numFmt w:val="decimal"/>
      <w:pStyle w:val="6"/>
      <w:suff w:val="space"/>
      <w:lvlText w:val="%5）"/>
      <w:lvlJc w:val="left"/>
      <w:pPr>
        <w:ind w:left="0" w:firstLine="0"/>
      </w:pPr>
      <w:rPr>
        <w:rFonts w:hint="eastAsia"/>
      </w:rPr>
    </w:lvl>
    <w:lvl w:ilvl="5" w:tentative="0">
      <w:start w:val="1"/>
      <w:numFmt w:val="decimal"/>
      <w:pStyle w:val="7"/>
      <w:suff w:val="space"/>
      <w:lvlText w:val="（%6）"/>
      <w:lvlJc w:val="left"/>
      <w:pPr>
        <w:ind w:left="0" w:firstLine="0"/>
      </w:pPr>
      <w:rPr>
        <w:rFonts w:hint="eastAsia"/>
      </w:rPr>
    </w:lvl>
    <w:lvl w:ilvl="6" w:tentative="0">
      <w:start w:val="1"/>
      <w:numFmt w:val="lowerRoman"/>
      <w:pStyle w:val="8"/>
      <w:suff w:val="space"/>
      <w:lvlText w:val="%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1">
    <w:nsid w:val="5BD67C1C"/>
    <w:multiLevelType w:val="multilevel"/>
    <w:tmpl w:val="5BD67C1C"/>
    <w:lvl w:ilvl="0" w:tentative="0">
      <w:start w:val="1"/>
      <w:numFmt w:val="decimal"/>
      <w:suff w:val="space"/>
      <w:lvlText w:val="%1"/>
      <w:lvlJc w:val="left"/>
      <w:pPr>
        <w:ind w:left="0" w:firstLine="0"/>
      </w:pPr>
      <w:rPr>
        <w:rFonts w:hint="eastAsia"/>
      </w:rPr>
    </w:lvl>
    <w:lvl w:ilvl="1" w:tentative="0">
      <w:start w:val="1"/>
      <w:numFmt w:val="decimal"/>
      <w:pStyle w:val="63"/>
      <w:isLgl/>
      <w:suff w:val="space"/>
      <w:lvlText w:val="%1.%2"/>
      <w:lvlJc w:val="left"/>
      <w:pPr>
        <w:ind w:left="0" w:firstLine="0"/>
      </w:pPr>
      <w:rPr>
        <w:rFonts w:hint="eastAsia"/>
      </w:rPr>
    </w:lvl>
    <w:lvl w:ilvl="2" w:tentative="0">
      <w:start w:val="1"/>
      <w:numFmt w:val="decimal"/>
      <w:pStyle w:val="67"/>
      <w:isLgl/>
      <w:suff w:val="space"/>
      <w:lvlText w:val="%1.%2.%3"/>
      <w:lvlJc w:val="left"/>
      <w:pPr>
        <w:ind w:left="0" w:firstLine="0"/>
      </w:pPr>
      <w:rPr>
        <w:rFonts w:hint="eastAsia"/>
      </w:rPr>
    </w:lvl>
    <w:lvl w:ilvl="3" w:tentative="0">
      <w:start w:val="1"/>
      <w:numFmt w:val="decimal"/>
      <w:pStyle w:val="65"/>
      <w:isLgl/>
      <w:suff w:val="space"/>
      <w:lvlText w:val="%1.%2.%3.%4"/>
      <w:lvlJc w:val="left"/>
      <w:pPr>
        <w:ind w:left="0" w:firstLine="0"/>
      </w:pPr>
      <w:rPr>
        <w:rFonts w:hint="eastAsia"/>
      </w:rPr>
    </w:lvl>
    <w:lvl w:ilvl="4" w:tentative="0">
      <w:start w:val="1"/>
      <w:numFmt w:val="decimal"/>
      <w:lvlRestart w:val="1"/>
      <w:pStyle w:val="73"/>
      <w:isLgl/>
      <w:suff w:val="space"/>
      <w:lvlText w:val="%1.%5"/>
      <w:lvlJc w:val="left"/>
      <w:pPr>
        <w:ind w:left="0" w:firstLine="0"/>
      </w:pPr>
      <w:rPr>
        <w:rFonts w:hint="eastAsia"/>
      </w:rPr>
    </w:lvl>
    <w:lvl w:ilvl="5" w:tentative="0">
      <w:start w:val="1"/>
      <w:numFmt w:val="decimal"/>
      <w:pStyle w:val="71"/>
      <w:isLgl/>
      <w:suff w:val="space"/>
      <w:lvlText w:val="%6）"/>
      <w:lvlJc w:val="left"/>
      <w:pPr>
        <w:ind w:left="-57" w:firstLine="624"/>
      </w:pPr>
      <w:rPr>
        <w:rFonts w:hint="eastAsia"/>
        <w:color w:val="auto"/>
      </w:rPr>
    </w:lvl>
    <w:lvl w:ilvl="6" w:tentative="0">
      <w:start w:val="1"/>
      <w:numFmt w:val="decimal"/>
      <w:pStyle w:val="69"/>
      <w:suff w:val="nothing"/>
      <w:lvlText w:val="（%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2">
    <w:nsid w:val="67946377"/>
    <w:multiLevelType w:val="multilevel"/>
    <w:tmpl w:val="67946377"/>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567"/>
        </w:tabs>
        <w:ind w:left="567" w:hanging="567"/>
      </w:pPr>
      <w:rPr>
        <w:rFonts w:hint="eastAsia"/>
      </w:rPr>
    </w:lvl>
    <w:lvl w:ilvl="2" w:tentative="0">
      <w:start w:val="1"/>
      <w:numFmt w:val="decimal"/>
      <w:pStyle w:val="139"/>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bordersDoNotSurroundHeader w:val="0"/>
  <w:bordersDoNotSurroundFooter w:val="0"/>
  <w:hideSpellingErrors/>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Y0MTIxZmE4Y2VjMjRmMDhlYmNkY2E1MjZjOTQ2OTQifQ=="/>
  </w:docVars>
  <w:rsids>
    <w:rsidRoot w:val="006C5181"/>
    <w:rsid w:val="0001089D"/>
    <w:rsid w:val="0001475B"/>
    <w:rsid w:val="00022BBF"/>
    <w:rsid w:val="00023591"/>
    <w:rsid w:val="00023833"/>
    <w:rsid w:val="0003457D"/>
    <w:rsid w:val="00037579"/>
    <w:rsid w:val="00044987"/>
    <w:rsid w:val="000463D2"/>
    <w:rsid w:val="00050C1E"/>
    <w:rsid w:val="00051CB5"/>
    <w:rsid w:val="000530B5"/>
    <w:rsid w:val="0006122F"/>
    <w:rsid w:val="00072523"/>
    <w:rsid w:val="0008224A"/>
    <w:rsid w:val="00083C5B"/>
    <w:rsid w:val="00086394"/>
    <w:rsid w:val="00096C3B"/>
    <w:rsid w:val="000B12D1"/>
    <w:rsid w:val="000B1B07"/>
    <w:rsid w:val="000B35E8"/>
    <w:rsid w:val="000B365D"/>
    <w:rsid w:val="000B6F25"/>
    <w:rsid w:val="000B776A"/>
    <w:rsid w:val="000C0C69"/>
    <w:rsid w:val="000C2F9F"/>
    <w:rsid w:val="000C787A"/>
    <w:rsid w:val="000E2AF7"/>
    <w:rsid w:val="000F53C7"/>
    <w:rsid w:val="000F748A"/>
    <w:rsid w:val="00104F84"/>
    <w:rsid w:val="00116905"/>
    <w:rsid w:val="00121099"/>
    <w:rsid w:val="00123109"/>
    <w:rsid w:val="00127221"/>
    <w:rsid w:val="001403B7"/>
    <w:rsid w:val="00140533"/>
    <w:rsid w:val="00140E46"/>
    <w:rsid w:val="001617A0"/>
    <w:rsid w:val="00163406"/>
    <w:rsid w:val="00173ECF"/>
    <w:rsid w:val="00177376"/>
    <w:rsid w:val="00177D07"/>
    <w:rsid w:val="00181F24"/>
    <w:rsid w:val="00184965"/>
    <w:rsid w:val="001855FF"/>
    <w:rsid w:val="00187E84"/>
    <w:rsid w:val="00190A2A"/>
    <w:rsid w:val="001946E8"/>
    <w:rsid w:val="00197589"/>
    <w:rsid w:val="001A29B6"/>
    <w:rsid w:val="001A7BA0"/>
    <w:rsid w:val="001B37B2"/>
    <w:rsid w:val="001B4AC7"/>
    <w:rsid w:val="001C1FAA"/>
    <w:rsid w:val="001C2599"/>
    <w:rsid w:val="001D0123"/>
    <w:rsid w:val="001D2169"/>
    <w:rsid w:val="001D36E2"/>
    <w:rsid w:val="001D570E"/>
    <w:rsid w:val="001E259D"/>
    <w:rsid w:val="001E25DA"/>
    <w:rsid w:val="001E33B4"/>
    <w:rsid w:val="001E35AC"/>
    <w:rsid w:val="001E54A8"/>
    <w:rsid w:val="001F1895"/>
    <w:rsid w:val="001F65F3"/>
    <w:rsid w:val="00201C1F"/>
    <w:rsid w:val="0020320F"/>
    <w:rsid w:val="002054F4"/>
    <w:rsid w:val="00216503"/>
    <w:rsid w:val="00231873"/>
    <w:rsid w:val="00235934"/>
    <w:rsid w:val="00235B40"/>
    <w:rsid w:val="00246935"/>
    <w:rsid w:val="002502D8"/>
    <w:rsid w:val="002515AB"/>
    <w:rsid w:val="002631B9"/>
    <w:rsid w:val="0027158A"/>
    <w:rsid w:val="00272A51"/>
    <w:rsid w:val="002740AD"/>
    <w:rsid w:val="0027507A"/>
    <w:rsid w:val="0028450B"/>
    <w:rsid w:val="00286642"/>
    <w:rsid w:val="002A5431"/>
    <w:rsid w:val="002C02A5"/>
    <w:rsid w:val="002C7B42"/>
    <w:rsid w:val="002E585A"/>
    <w:rsid w:val="002F4A56"/>
    <w:rsid w:val="00302588"/>
    <w:rsid w:val="00302AEF"/>
    <w:rsid w:val="00303248"/>
    <w:rsid w:val="003059F3"/>
    <w:rsid w:val="0031108B"/>
    <w:rsid w:val="00311573"/>
    <w:rsid w:val="00311D04"/>
    <w:rsid w:val="003138FA"/>
    <w:rsid w:val="003169AE"/>
    <w:rsid w:val="00317B2F"/>
    <w:rsid w:val="00324781"/>
    <w:rsid w:val="003262ED"/>
    <w:rsid w:val="003317F8"/>
    <w:rsid w:val="00332FEA"/>
    <w:rsid w:val="003349F7"/>
    <w:rsid w:val="00335C2E"/>
    <w:rsid w:val="0034377D"/>
    <w:rsid w:val="00350FAE"/>
    <w:rsid w:val="0035170D"/>
    <w:rsid w:val="00351B08"/>
    <w:rsid w:val="00354217"/>
    <w:rsid w:val="00363471"/>
    <w:rsid w:val="003709B5"/>
    <w:rsid w:val="00372490"/>
    <w:rsid w:val="0037746D"/>
    <w:rsid w:val="00392CAA"/>
    <w:rsid w:val="00396A7F"/>
    <w:rsid w:val="003A3A62"/>
    <w:rsid w:val="003B4E42"/>
    <w:rsid w:val="003B7F24"/>
    <w:rsid w:val="003C09B3"/>
    <w:rsid w:val="003C2348"/>
    <w:rsid w:val="003C2E44"/>
    <w:rsid w:val="003C3F41"/>
    <w:rsid w:val="003C6918"/>
    <w:rsid w:val="003D436F"/>
    <w:rsid w:val="003D64AC"/>
    <w:rsid w:val="003D6B81"/>
    <w:rsid w:val="003E1C73"/>
    <w:rsid w:val="0040020C"/>
    <w:rsid w:val="004127A3"/>
    <w:rsid w:val="00414581"/>
    <w:rsid w:val="0041528E"/>
    <w:rsid w:val="00417B7D"/>
    <w:rsid w:val="00421BC3"/>
    <w:rsid w:val="0042421F"/>
    <w:rsid w:val="00424F82"/>
    <w:rsid w:val="0042594A"/>
    <w:rsid w:val="004305C5"/>
    <w:rsid w:val="00431A3A"/>
    <w:rsid w:val="00432C9A"/>
    <w:rsid w:val="00434A8D"/>
    <w:rsid w:val="0044237C"/>
    <w:rsid w:val="0044742F"/>
    <w:rsid w:val="00451C97"/>
    <w:rsid w:val="00453473"/>
    <w:rsid w:val="00454A6D"/>
    <w:rsid w:val="0046394F"/>
    <w:rsid w:val="00467334"/>
    <w:rsid w:val="00482895"/>
    <w:rsid w:val="004829F0"/>
    <w:rsid w:val="0049092E"/>
    <w:rsid w:val="00490BAD"/>
    <w:rsid w:val="00492379"/>
    <w:rsid w:val="00493804"/>
    <w:rsid w:val="00494DE1"/>
    <w:rsid w:val="004958A0"/>
    <w:rsid w:val="00495E69"/>
    <w:rsid w:val="004A0A55"/>
    <w:rsid w:val="004A0CB7"/>
    <w:rsid w:val="004A1988"/>
    <w:rsid w:val="004A4A2E"/>
    <w:rsid w:val="004A50FB"/>
    <w:rsid w:val="004B2E3E"/>
    <w:rsid w:val="004B39D8"/>
    <w:rsid w:val="004C0690"/>
    <w:rsid w:val="004C51D3"/>
    <w:rsid w:val="004C66F1"/>
    <w:rsid w:val="004D6342"/>
    <w:rsid w:val="004D64CA"/>
    <w:rsid w:val="004E68CC"/>
    <w:rsid w:val="004F6031"/>
    <w:rsid w:val="00500575"/>
    <w:rsid w:val="00500BCA"/>
    <w:rsid w:val="00506682"/>
    <w:rsid w:val="00517072"/>
    <w:rsid w:val="00526D9F"/>
    <w:rsid w:val="005373B2"/>
    <w:rsid w:val="00560363"/>
    <w:rsid w:val="00562DAB"/>
    <w:rsid w:val="00563599"/>
    <w:rsid w:val="00572D3A"/>
    <w:rsid w:val="00573623"/>
    <w:rsid w:val="00581332"/>
    <w:rsid w:val="00581DCD"/>
    <w:rsid w:val="00584D56"/>
    <w:rsid w:val="005911EF"/>
    <w:rsid w:val="005936C8"/>
    <w:rsid w:val="005A136F"/>
    <w:rsid w:val="005A57B4"/>
    <w:rsid w:val="005C375A"/>
    <w:rsid w:val="005C3769"/>
    <w:rsid w:val="005D04E6"/>
    <w:rsid w:val="005D3C50"/>
    <w:rsid w:val="005D4476"/>
    <w:rsid w:val="005D7597"/>
    <w:rsid w:val="005E08D4"/>
    <w:rsid w:val="005E0D6A"/>
    <w:rsid w:val="005E7A59"/>
    <w:rsid w:val="005F4673"/>
    <w:rsid w:val="005F4799"/>
    <w:rsid w:val="005F61D0"/>
    <w:rsid w:val="00603741"/>
    <w:rsid w:val="006219BB"/>
    <w:rsid w:val="006248EA"/>
    <w:rsid w:val="0062508C"/>
    <w:rsid w:val="00625C7C"/>
    <w:rsid w:val="006374C5"/>
    <w:rsid w:val="00645991"/>
    <w:rsid w:val="00645BF5"/>
    <w:rsid w:val="00653825"/>
    <w:rsid w:val="00653DB9"/>
    <w:rsid w:val="00654F50"/>
    <w:rsid w:val="0065611D"/>
    <w:rsid w:val="006646F9"/>
    <w:rsid w:val="00674264"/>
    <w:rsid w:val="00676BF9"/>
    <w:rsid w:val="00690C83"/>
    <w:rsid w:val="006A2E71"/>
    <w:rsid w:val="006A3137"/>
    <w:rsid w:val="006B393E"/>
    <w:rsid w:val="006B4714"/>
    <w:rsid w:val="006C3033"/>
    <w:rsid w:val="006C4541"/>
    <w:rsid w:val="006C5181"/>
    <w:rsid w:val="006C524D"/>
    <w:rsid w:val="006D01C7"/>
    <w:rsid w:val="006D1894"/>
    <w:rsid w:val="006D28A3"/>
    <w:rsid w:val="006D329B"/>
    <w:rsid w:val="006D650E"/>
    <w:rsid w:val="006E0A99"/>
    <w:rsid w:val="006F69C3"/>
    <w:rsid w:val="00706668"/>
    <w:rsid w:val="00712FDD"/>
    <w:rsid w:val="00715998"/>
    <w:rsid w:val="00721B0E"/>
    <w:rsid w:val="00722FD1"/>
    <w:rsid w:val="00731045"/>
    <w:rsid w:val="00737659"/>
    <w:rsid w:val="0074242B"/>
    <w:rsid w:val="00747170"/>
    <w:rsid w:val="007502DE"/>
    <w:rsid w:val="00750979"/>
    <w:rsid w:val="00753372"/>
    <w:rsid w:val="0075614F"/>
    <w:rsid w:val="00761E72"/>
    <w:rsid w:val="00767A0D"/>
    <w:rsid w:val="007746CC"/>
    <w:rsid w:val="00782237"/>
    <w:rsid w:val="00785406"/>
    <w:rsid w:val="00787B73"/>
    <w:rsid w:val="0079077B"/>
    <w:rsid w:val="00794087"/>
    <w:rsid w:val="007A5373"/>
    <w:rsid w:val="007B17D5"/>
    <w:rsid w:val="007B4624"/>
    <w:rsid w:val="007B478A"/>
    <w:rsid w:val="007B6981"/>
    <w:rsid w:val="007B6E9D"/>
    <w:rsid w:val="007C0073"/>
    <w:rsid w:val="007C1F34"/>
    <w:rsid w:val="007C3D79"/>
    <w:rsid w:val="007C7CA3"/>
    <w:rsid w:val="007D2F2F"/>
    <w:rsid w:val="007D616C"/>
    <w:rsid w:val="007E6A4F"/>
    <w:rsid w:val="007F7A45"/>
    <w:rsid w:val="00800EAD"/>
    <w:rsid w:val="008022BD"/>
    <w:rsid w:val="00802AF7"/>
    <w:rsid w:val="00802D53"/>
    <w:rsid w:val="008052A9"/>
    <w:rsid w:val="008073AE"/>
    <w:rsid w:val="008163EF"/>
    <w:rsid w:val="00816C99"/>
    <w:rsid w:val="0082007F"/>
    <w:rsid w:val="00821936"/>
    <w:rsid w:val="00823F54"/>
    <w:rsid w:val="008270C8"/>
    <w:rsid w:val="0083357E"/>
    <w:rsid w:val="00836B95"/>
    <w:rsid w:val="00844D69"/>
    <w:rsid w:val="00846BE0"/>
    <w:rsid w:val="00846DD2"/>
    <w:rsid w:val="0085066F"/>
    <w:rsid w:val="00851DE8"/>
    <w:rsid w:val="00852808"/>
    <w:rsid w:val="00853191"/>
    <w:rsid w:val="00855D19"/>
    <w:rsid w:val="00856A1A"/>
    <w:rsid w:val="0087582F"/>
    <w:rsid w:val="008902AD"/>
    <w:rsid w:val="00891784"/>
    <w:rsid w:val="00897E24"/>
    <w:rsid w:val="008A4C63"/>
    <w:rsid w:val="008B4B8E"/>
    <w:rsid w:val="008B72DD"/>
    <w:rsid w:val="008C1782"/>
    <w:rsid w:val="008C33DA"/>
    <w:rsid w:val="008C6F30"/>
    <w:rsid w:val="008D1014"/>
    <w:rsid w:val="008D3A0C"/>
    <w:rsid w:val="008D4B6F"/>
    <w:rsid w:val="008E05A4"/>
    <w:rsid w:val="008E575A"/>
    <w:rsid w:val="008E61E4"/>
    <w:rsid w:val="008E69EC"/>
    <w:rsid w:val="008F6DA3"/>
    <w:rsid w:val="009021FE"/>
    <w:rsid w:val="00902A39"/>
    <w:rsid w:val="0090632A"/>
    <w:rsid w:val="00915B8F"/>
    <w:rsid w:val="009177AB"/>
    <w:rsid w:val="009205A8"/>
    <w:rsid w:val="0093206C"/>
    <w:rsid w:val="0093620D"/>
    <w:rsid w:val="00936472"/>
    <w:rsid w:val="00936890"/>
    <w:rsid w:val="009373FA"/>
    <w:rsid w:val="00942F00"/>
    <w:rsid w:val="0094766C"/>
    <w:rsid w:val="0095454F"/>
    <w:rsid w:val="00960F81"/>
    <w:rsid w:val="00963F88"/>
    <w:rsid w:val="00991ACF"/>
    <w:rsid w:val="00996644"/>
    <w:rsid w:val="009A1684"/>
    <w:rsid w:val="009B2C1C"/>
    <w:rsid w:val="009B3FD2"/>
    <w:rsid w:val="009B75DB"/>
    <w:rsid w:val="009C08F0"/>
    <w:rsid w:val="009C29B3"/>
    <w:rsid w:val="009C2A1A"/>
    <w:rsid w:val="009C504A"/>
    <w:rsid w:val="009C7B2C"/>
    <w:rsid w:val="009D00A7"/>
    <w:rsid w:val="009D5C0E"/>
    <w:rsid w:val="009D623D"/>
    <w:rsid w:val="009E622B"/>
    <w:rsid w:val="009F2EC0"/>
    <w:rsid w:val="009F33F0"/>
    <w:rsid w:val="009F44DC"/>
    <w:rsid w:val="009F688E"/>
    <w:rsid w:val="009F7CD6"/>
    <w:rsid w:val="00A01D33"/>
    <w:rsid w:val="00A02BC9"/>
    <w:rsid w:val="00A06199"/>
    <w:rsid w:val="00A075E8"/>
    <w:rsid w:val="00A10B30"/>
    <w:rsid w:val="00A23BA4"/>
    <w:rsid w:val="00A251F1"/>
    <w:rsid w:val="00A32347"/>
    <w:rsid w:val="00A35A44"/>
    <w:rsid w:val="00A5101B"/>
    <w:rsid w:val="00A533FB"/>
    <w:rsid w:val="00A547CB"/>
    <w:rsid w:val="00A55F85"/>
    <w:rsid w:val="00A57061"/>
    <w:rsid w:val="00A6282C"/>
    <w:rsid w:val="00A6792F"/>
    <w:rsid w:val="00A67A73"/>
    <w:rsid w:val="00A7037E"/>
    <w:rsid w:val="00A713E1"/>
    <w:rsid w:val="00A74896"/>
    <w:rsid w:val="00A8735E"/>
    <w:rsid w:val="00A87B4C"/>
    <w:rsid w:val="00AB5525"/>
    <w:rsid w:val="00AB688B"/>
    <w:rsid w:val="00AB6FBD"/>
    <w:rsid w:val="00AB7822"/>
    <w:rsid w:val="00AC0711"/>
    <w:rsid w:val="00AC5E0E"/>
    <w:rsid w:val="00AC6AE1"/>
    <w:rsid w:val="00AD15C0"/>
    <w:rsid w:val="00AD17E2"/>
    <w:rsid w:val="00AD30B2"/>
    <w:rsid w:val="00AE4EA3"/>
    <w:rsid w:val="00AE5DA3"/>
    <w:rsid w:val="00AF1537"/>
    <w:rsid w:val="00AF1650"/>
    <w:rsid w:val="00AF2282"/>
    <w:rsid w:val="00AF71C6"/>
    <w:rsid w:val="00B03D17"/>
    <w:rsid w:val="00B07056"/>
    <w:rsid w:val="00B14C95"/>
    <w:rsid w:val="00B17840"/>
    <w:rsid w:val="00B24548"/>
    <w:rsid w:val="00B25B59"/>
    <w:rsid w:val="00B328C3"/>
    <w:rsid w:val="00B35959"/>
    <w:rsid w:val="00B36A65"/>
    <w:rsid w:val="00B418C8"/>
    <w:rsid w:val="00B5101C"/>
    <w:rsid w:val="00B51DBE"/>
    <w:rsid w:val="00B52141"/>
    <w:rsid w:val="00B56726"/>
    <w:rsid w:val="00B6140E"/>
    <w:rsid w:val="00B73D94"/>
    <w:rsid w:val="00B75A1B"/>
    <w:rsid w:val="00B92E67"/>
    <w:rsid w:val="00B935F3"/>
    <w:rsid w:val="00B9785A"/>
    <w:rsid w:val="00BA19D2"/>
    <w:rsid w:val="00BA2352"/>
    <w:rsid w:val="00BB14B0"/>
    <w:rsid w:val="00BB44A4"/>
    <w:rsid w:val="00BC030F"/>
    <w:rsid w:val="00BC3C13"/>
    <w:rsid w:val="00BC7A62"/>
    <w:rsid w:val="00BD0CA4"/>
    <w:rsid w:val="00BE07B1"/>
    <w:rsid w:val="00BE3A6A"/>
    <w:rsid w:val="00BE54CF"/>
    <w:rsid w:val="00BF0C0B"/>
    <w:rsid w:val="00BF1344"/>
    <w:rsid w:val="00BF7059"/>
    <w:rsid w:val="00BF7F55"/>
    <w:rsid w:val="00C02348"/>
    <w:rsid w:val="00C05E1F"/>
    <w:rsid w:val="00C131C0"/>
    <w:rsid w:val="00C14E87"/>
    <w:rsid w:val="00C14F6F"/>
    <w:rsid w:val="00C1701C"/>
    <w:rsid w:val="00C208EF"/>
    <w:rsid w:val="00C23AD0"/>
    <w:rsid w:val="00C33C24"/>
    <w:rsid w:val="00C3734D"/>
    <w:rsid w:val="00C43E33"/>
    <w:rsid w:val="00C4500B"/>
    <w:rsid w:val="00C517D9"/>
    <w:rsid w:val="00C5307B"/>
    <w:rsid w:val="00C558F4"/>
    <w:rsid w:val="00C67B31"/>
    <w:rsid w:val="00C70173"/>
    <w:rsid w:val="00C81350"/>
    <w:rsid w:val="00C86980"/>
    <w:rsid w:val="00CB0131"/>
    <w:rsid w:val="00CB026B"/>
    <w:rsid w:val="00CB02CF"/>
    <w:rsid w:val="00CB4F41"/>
    <w:rsid w:val="00CD1867"/>
    <w:rsid w:val="00CE3863"/>
    <w:rsid w:val="00CF021F"/>
    <w:rsid w:val="00CF3E17"/>
    <w:rsid w:val="00D030EF"/>
    <w:rsid w:val="00D03766"/>
    <w:rsid w:val="00D03AE6"/>
    <w:rsid w:val="00D05C40"/>
    <w:rsid w:val="00D07796"/>
    <w:rsid w:val="00D128FE"/>
    <w:rsid w:val="00D1474D"/>
    <w:rsid w:val="00D17F72"/>
    <w:rsid w:val="00D209D8"/>
    <w:rsid w:val="00D20A6A"/>
    <w:rsid w:val="00D2181C"/>
    <w:rsid w:val="00D31643"/>
    <w:rsid w:val="00D52182"/>
    <w:rsid w:val="00D52AE7"/>
    <w:rsid w:val="00D54803"/>
    <w:rsid w:val="00D54B67"/>
    <w:rsid w:val="00D62E39"/>
    <w:rsid w:val="00D77497"/>
    <w:rsid w:val="00D84414"/>
    <w:rsid w:val="00D8699E"/>
    <w:rsid w:val="00D90C00"/>
    <w:rsid w:val="00D90E5D"/>
    <w:rsid w:val="00D93867"/>
    <w:rsid w:val="00D97AEC"/>
    <w:rsid w:val="00D97DCC"/>
    <w:rsid w:val="00DA02A0"/>
    <w:rsid w:val="00DA5CB5"/>
    <w:rsid w:val="00DA7383"/>
    <w:rsid w:val="00DB5E5A"/>
    <w:rsid w:val="00DD16CA"/>
    <w:rsid w:val="00DD5414"/>
    <w:rsid w:val="00DD6F05"/>
    <w:rsid w:val="00DD6F8C"/>
    <w:rsid w:val="00DE3BC8"/>
    <w:rsid w:val="00DE7948"/>
    <w:rsid w:val="00DE7B9F"/>
    <w:rsid w:val="00DF184A"/>
    <w:rsid w:val="00DF19C2"/>
    <w:rsid w:val="00E01046"/>
    <w:rsid w:val="00E03D76"/>
    <w:rsid w:val="00E11BC6"/>
    <w:rsid w:val="00E11F2F"/>
    <w:rsid w:val="00E139FF"/>
    <w:rsid w:val="00E1470B"/>
    <w:rsid w:val="00E1493D"/>
    <w:rsid w:val="00E14B59"/>
    <w:rsid w:val="00E25B73"/>
    <w:rsid w:val="00E27434"/>
    <w:rsid w:val="00E34007"/>
    <w:rsid w:val="00E428DC"/>
    <w:rsid w:val="00E502C5"/>
    <w:rsid w:val="00E50DD7"/>
    <w:rsid w:val="00E74721"/>
    <w:rsid w:val="00E75BA6"/>
    <w:rsid w:val="00E84404"/>
    <w:rsid w:val="00E86502"/>
    <w:rsid w:val="00E86ECA"/>
    <w:rsid w:val="00E8703F"/>
    <w:rsid w:val="00E939A1"/>
    <w:rsid w:val="00EA13A8"/>
    <w:rsid w:val="00EA3549"/>
    <w:rsid w:val="00EA79EF"/>
    <w:rsid w:val="00EB6777"/>
    <w:rsid w:val="00EC1531"/>
    <w:rsid w:val="00EC26DB"/>
    <w:rsid w:val="00EC4AA2"/>
    <w:rsid w:val="00EC4B21"/>
    <w:rsid w:val="00EC6FDF"/>
    <w:rsid w:val="00ED5E75"/>
    <w:rsid w:val="00ED73FC"/>
    <w:rsid w:val="00EE0567"/>
    <w:rsid w:val="00EF0A8D"/>
    <w:rsid w:val="00EF1C60"/>
    <w:rsid w:val="00EF521C"/>
    <w:rsid w:val="00EF5ABF"/>
    <w:rsid w:val="00F01006"/>
    <w:rsid w:val="00F025FB"/>
    <w:rsid w:val="00F02A8C"/>
    <w:rsid w:val="00F04F47"/>
    <w:rsid w:val="00F06BC3"/>
    <w:rsid w:val="00F06DDE"/>
    <w:rsid w:val="00F11F11"/>
    <w:rsid w:val="00F17F29"/>
    <w:rsid w:val="00F22319"/>
    <w:rsid w:val="00F22B10"/>
    <w:rsid w:val="00F30FAC"/>
    <w:rsid w:val="00F3250C"/>
    <w:rsid w:val="00F40DFF"/>
    <w:rsid w:val="00F40E98"/>
    <w:rsid w:val="00F45A6D"/>
    <w:rsid w:val="00F470CD"/>
    <w:rsid w:val="00F50562"/>
    <w:rsid w:val="00F51497"/>
    <w:rsid w:val="00F54599"/>
    <w:rsid w:val="00F57059"/>
    <w:rsid w:val="00F607BD"/>
    <w:rsid w:val="00F70E25"/>
    <w:rsid w:val="00F72EFF"/>
    <w:rsid w:val="00F755A8"/>
    <w:rsid w:val="00F810A9"/>
    <w:rsid w:val="00F81855"/>
    <w:rsid w:val="00F82C09"/>
    <w:rsid w:val="00F8466A"/>
    <w:rsid w:val="00F954C5"/>
    <w:rsid w:val="00F959D3"/>
    <w:rsid w:val="00F9769F"/>
    <w:rsid w:val="00FA0FB4"/>
    <w:rsid w:val="00FA1C45"/>
    <w:rsid w:val="00FA264A"/>
    <w:rsid w:val="00FA63EA"/>
    <w:rsid w:val="00FA76F8"/>
    <w:rsid w:val="00FB55A5"/>
    <w:rsid w:val="00FB7D97"/>
    <w:rsid w:val="00FD09E1"/>
    <w:rsid w:val="00FD508C"/>
    <w:rsid w:val="00FE2E93"/>
    <w:rsid w:val="00FE6AEB"/>
    <w:rsid w:val="00FF2E8A"/>
    <w:rsid w:val="00FF3718"/>
    <w:rsid w:val="00FF442B"/>
    <w:rsid w:val="0193160F"/>
    <w:rsid w:val="022017F6"/>
    <w:rsid w:val="02927650"/>
    <w:rsid w:val="029C1412"/>
    <w:rsid w:val="03A55365"/>
    <w:rsid w:val="045B39AD"/>
    <w:rsid w:val="04AB3155"/>
    <w:rsid w:val="04BE0758"/>
    <w:rsid w:val="055E6E53"/>
    <w:rsid w:val="05833CE1"/>
    <w:rsid w:val="05F30F69"/>
    <w:rsid w:val="06114084"/>
    <w:rsid w:val="06367F2D"/>
    <w:rsid w:val="067A2C30"/>
    <w:rsid w:val="06F320C4"/>
    <w:rsid w:val="07497F37"/>
    <w:rsid w:val="074B6245"/>
    <w:rsid w:val="075D27C0"/>
    <w:rsid w:val="079C2D91"/>
    <w:rsid w:val="07FF198F"/>
    <w:rsid w:val="08040741"/>
    <w:rsid w:val="09075E7E"/>
    <w:rsid w:val="092D144C"/>
    <w:rsid w:val="096C575B"/>
    <w:rsid w:val="09BC4A90"/>
    <w:rsid w:val="0A845572"/>
    <w:rsid w:val="0BC653EC"/>
    <w:rsid w:val="0DEC1725"/>
    <w:rsid w:val="0E2A3CED"/>
    <w:rsid w:val="0EBD5965"/>
    <w:rsid w:val="0FD0658C"/>
    <w:rsid w:val="10815BFE"/>
    <w:rsid w:val="11494E5B"/>
    <w:rsid w:val="121C431D"/>
    <w:rsid w:val="124E5AE4"/>
    <w:rsid w:val="12D64801"/>
    <w:rsid w:val="13903734"/>
    <w:rsid w:val="143E4A1F"/>
    <w:rsid w:val="14863A19"/>
    <w:rsid w:val="15917077"/>
    <w:rsid w:val="179E338D"/>
    <w:rsid w:val="17DF02C7"/>
    <w:rsid w:val="19973E6A"/>
    <w:rsid w:val="1A962918"/>
    <w:rsid w:val="1AED0FBB"/>
    <w:rsid w:val="1B1078AE"/>
    <w:rsid w:val="1C5C52AF"/>
    <w:rsid w:val="1CC15E4F"/>
    <w:rsid w:val="1D7017A8"/>
    <w:rsid w:val="1F0E7B13"/>
    <w:rsid w:val="1F1A3993"/>
    <w:rsid w:val="1F887E91"/>
    <w:rsid w:val="1F941A2B"/>
    <w:rsid w:val="1FE510D8"/>
    <w:rsid w:val="203F5AAF"/>
    <w:rsid w:val="22C30108"/>
    <w:rsid w:val="230D59FE"/>
    <w:rsid w:val="23CF036E"/>
    <w:rsid w:val="23D33BC9"/>
    <w:rsid w:val="23F724F4"/>
    <w:rsid w:val="24173743"/>
    <w:rsid w:val="25592F3A"/>
    <w:rsid w:val="256665A4"/>
    <w:rsid w:val="25A466AC"/>
    <w:rsid w:val="25C93808"/>
    <w:rsid w:val="260E064C"/>
    <w:rsid w:val="266D2F42"/>
    <w:rsid w:val="272C1219"/>
    <w:rsid w:val="275555D9"/>
    <w:rsid w:val="27E707C8"/>
    <w:rsid w:val="28200699"/>
    <w:rsid w:val="2879797C"/>
    <w:rsid w:val="2A0561E3"/>
    <w:rsid w:val="2B17716E"/>
    <w:rsid w:val="2C672AF3"/>
    <w:rsid w:val="2C7038B7"/>
    <w:rsid w:val="2D4519C1"/>
    <w:rsid w:val="2D462F1F"/>
    <w:rsid w:val="2D917D08"/>
    <w:rsid w:val="2D991072"/>
    <w:rsid w:val="2E202808"/>
    <w:rsid w:val="2EEE62E4"/>
    <w:rsid w:val="30056253"/>
    <w:rsid w:val="3018567F"/>
    <w:rsid w:val="30317867"/>
    <w:rsid w:val="3077074C"/>
    <w:rsid w:val="30EB0406"/>
    <w:rsid w:val="32AC0EAB"/>
    <w:rsid w:val="334253C9"/>
    <w:rsid w:val="3360375E"/>
    <w:rsid w:val="33E12879"/>
    <w:rsid w:val="34311C4A"/>
    <w:rsid w:val="349478AC"/>
    <w:rsid w:val="34E57E44"/>
    <w:rsid w:val="34EA39B0"/>
    <w:rsid w:val="35E75884"/>
    <w:rsid w:val="361E3C1C"/>
    <w:rsid w:val="3627141B"/>
    <w:rsid w:val="371134BE"/>
    <w:rsid w:val="375D3030"/>
    <w:rsid w:val="388C54AA"/>
    <w:rsid w:val="38D02653"/>
    <w:rsid w:val="3A1E3A03"/>
    <w:rsid w:val="3B28511A"/>
    <w:rsid w:val="3B4F0A10"/>
    <w:rsid w:val="3C270B51"/>
    <w:rsid w:val="3D2D6616"/>
    <w:rsid w:val="3E1C72DB"/>
    <w:rsid w:val="3E300027"/>
    <w:rsid w:val="3F8A0542"/>
    <w:rsid w:val="40142821"/>
    <w:rsid w:val="409D1E00"/>
    <w:rsid w:val="40C46E52"/>
    <w:rsid w:val="40F17F83"/>
    <w:rsid w:val="41404692"/>
    <w:rsid w:val="41B27879"/>
    <w:rsid w:val="41F522B0"/>
    <w:rsid w:val="422D0E5C"/>
    <w:rsid w:val="42D87BE0"/>
    <w:rsid w:val="43600C36"/>
    <w:rsid w:val="43955208"/>
    <w:rsid w:val="44083EBA"/>
    <w:rsid w:val="4484193C"/>
    <w:rsid w:val="44A740DA"/>
    <w:rsid w:val="44D9647A"/>
    <w:rsid w:val="456B2675"/>
    <w:rsid w:val="45985BB9"/>
    <w:rsid w:val="45A255BE"/>
    <w:rsid w:val="46082591"/>
    <w:rsid w:val="468D04DD"/>
    <w:rsid w:val="471A45C8"/>
    <w:rsid w:val="47B6609F"/>
    <w:rsid w:val="47E10C42"/>
    <w:rsid w:val="48495454"/>
    <w:rsid w:val="488A5622"/>
    <w:rsid w:val="48AC1250"/>
    <w:rsid w:val="48E94252"/>
    <w:rsid w:val="49897E05"/>
    <w:rsid w:val="49D14436"/>
    <w:rsid w:val="4A331F20"/>
    <w:rsid w:val="4A500186"/>
    <w:rsid w:val="4B570E4A"/>
    <w:rsid w:val="4BB81688"/>
    <w:rsid w:val="4C0F0A77"/>
    <w:rsid w:val="4C147838"/>
    <w:rsid w:val="4C89318D"/>
    <w:rsid w:val="4E107EEA"/>
    <w:rsid w:val="4E6413E1"/>
    <w:rsid w:val="4EE00CAA"/>
    <w:rsid w:val="4F4C39C9"/>
    <w:rsid w:val="4F7A354F"/>
    <w:rsid w:val="50C86E43"/>
    <w:rsid w:val="51691C26"/>
    <w:rsid w:val="519670ED"/>
    <w:rsid w:val="51C87991"/>
    <w:rsid w:val="522A71B4"/>
    <w:rsid w:val="53E3128F"/>
    <w:rsid w:val="546C08AE"/>
    <w:rsid w:val="54B62A51"/>
    <w:rsid w:val="54D22044"/>
    <w:rsid w:val="55DF2C65"/>
    <w:rsid w:val="56FF6F7D"/>
    <w:rsid w:val="57127201"/>
    <w:rsid w:val="572F5AD1"/>
    <w:rsid w:val="57577B6D"/>
    <w:rsid w:val="57711FE2"/>
    <w:rsid w:val="57873BBF"/>
    <w:rsid w:val="57925A17"/>
    <w:rsid w:val="5830427D"/>
    <w:rsid w:val="587847F6"/>
    <w:rsid w:val="59060509"/>
    <w:rsid w:val="59FB5B93"/>
    <w:rsid w:val="5AC00E31"/>
    <w:rsid w:val="5B1909C7"/>
    <w:rsid w:val="5C762FFE"/>
    <w:rsid w:val="5C9D73D6"/>
    <w:rsid w:val="5CBA3AE4"/>
    <w:rsid w:val="5CEE79A0"/>
    <w:rsid w:val="5D0735CC"/>
    <w:rsid w:val="5E160396"/>
    <w:rsid w:val="5E4F57B1"/>
    <w:rsid w:val="5E565943"/>
    <w:rsid w:val="5EEF00C4"/>
    <w:rsid w:val="5F387A36"/>
    <w:rsid w:val="5FA5772A"/>
    <w:rsid w:val="61BD2427"/>
    <w:rsid w:val="62EC076F"/>
    <w:rsid w:val="631853C6"/>
    <w:rsid w:val="639C6F53"/>
    <w:rsid w:val="651D1D08"/>
    <w:rsid w:val="66326DE1"/>
    <w:rsid w:val="68112A26"/>
    <w:rsid w:val="684D1CB0"/>
    <w:rsid w:val="68D234AB"/>
    <w:rsid w:val="692302CF"/>
    <w:rsid w:val="694875E9"/>
    <w:rsid w:val="6AEF6222"/>
    <w:rsid w:val="6B7620B1"/>
    <w:rsid w:val="6BF43737"/>
    <w:rsid w:val="6C973BDF"/>
    <w:rsid w:val="6CF501B7"/>
    <w:rsid w:val="6E1B27A2"/>
    <w:rsid w:val="6F7D70F9"/>
    <w:rsid w:val="70812E3F"/>
    <w:rsid w:val="70C945C8"/>
    <w:rsid w:val="70CC23F3"/>
    <w:rsid w:val="71264024"/>
    <w:rsid w:val="72596438"/>
    <w:rsid w:val="72CE7E91"/>
    <w:rsid w:val="72FF1268"/>
    <w:rsid w:val="7375030D"/>
    <w:rsid w:val="745148AB"/>
    <w:rsid w:val="74E90C95"/>
    <w:rsid w:val="74FB360B"/>
    <w:rsid w:val="751C1388"/>
    <w:rsid w:val="751D3917"/>
    <w:rsid w:val="75AD2EAE"/>
    <w:rsid w:val="75BF5802"/>
    <w:rsid w:val="769629BA"/>
    <w:rsid w:val="78323D56"/>
    <w:rsid w:val="783631FA"/>
    <w:rsid w:val="78CC3B49"/>
    <w:rsid w:val="79A45285"/>
    <w:rsid w:val="79EF1D01"/>
    <w:rsid w:val="7B024C82"/>
    <w:rsid w:val="7B200871"/>
    <w:rsid w:val="7B361899"/>
    <w:rsid w:val="7BF24BF0"/>
    <w:rsid w:val="7C15766A"/>
    <w:rsid w:val="7C4274FA"/>
    <w:rsid w:val="7CD04806"/>
    <w:rsid w:val="7D0A0F9D"/>
    <w:rsid w:val="7D3806E9"/>
    <w:rsid w:val="7D965E00"/>
    <w:rsid w:val="7DB722F6"/>
    <w:rsid w:val="7DFB0170"/>
    <w:rsid w:val="7E626611"/>
    <w:rsid w:val="7F471BAA"/>
    <w:rsid w:val="7F875779"/>
    <w:rsid w:val="7FA541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9" w:semiHidden="0" w:name="heading 5"/>
    <w:lsdException w:qFormat="1" w:uiPriority="9" w:semiHidden="0" w:name="heading 6"/>
    <w:lsdException w:qFormat="1" w:uiPriority="9" w:semiHidden="0" w:name="heading 7"/>
    <w:lsdException w:uiPriority="9" w:name="heading 8"/>
    <w:lsdException w:qFormat="1" w:uiPriority="9" w:name="heading 9"/>
    <w:lsdException w:uiPriority="99" w:name="index 1"/>
    <w:lsdException w:qFormat="1" w:unhideWhenUsed="0" w:uiPriority="0" w:semiHidden="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0" w:semiHidden="0" w:name="toc 1"/>
    <w:lsdException w:qFormat="1" w:uiPriority="0" w:semiHidden="0" w:name="toc 2"/>
    <w:lsdException w:qFormat="1" w:uiPriority="0" w:semiHidden="0" w:name="toc 3"/>
    <w:lsdException w:qFormat="1" w:uiPriority="0" w:semiHidden="0" w:name="toc 4"/>
    <w:lsdException w:qFormat="1" w:uiPriority="0" w:semiHidden="0" w:name="toc 5"/>
    <w:lsdException w:qFormat="1" w:uiPriority="0" w:semiHidden="0" w:name="toc 6"/>
    <w:lsdException w:qFormat="1" w:uiPriority="0" w:semiHidden="0" w:name="toc 7"/>
    <w:lsdException w:qFormat="1" w:uiPriority="0" w:semiHidden="0" w:name="toc 8"/>
    <w:lsdException w:qFormat="1" w:uiPriority="0" w:semiHidden="0" w:name="toc 9"/>
    <w:lsdException w:qFormat="1" w:unhideWhenUsed="0" w:uiPriority="0" w:semiHidden="0" w:name="Normal Indent"/>
    <w:lsdException w:qFormat="1" w:uiPriority="99" w:name="footnote text"/>
    <w:lsdException w:qFormat="1" w:uiPriority="0" w:semiHidden="0" w:name="annotation text"/>
    <w:lsdException w:qFormat="1" w:uiPriority="0" w:semiHidden="0" w:name="header"/>
    <w:lsdException w:qFormat="1" w:uiPriority="0"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qFormat="1" w:uiPriority="0" w:semiHidden="0" w:name="Date"/>
    <w:lsdException w:uiPriority="99"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iPriority="99" w:semiHidden="0" w:name="Hyperlink"/>
    <w:lsdException w:qFormat="1" w:unhideWhenUsed="0" w:uiPriority="99" w:semiHidden="0" w:name="FollowedHyperlink"/>
    <w:lsdException w:qFormat="1" w:unhideWhenUsed="0" w:uiPriority="22" w:semiHidden="0" w:name="Strong"/>
    <w:lsdException w:unhideWhenUsed="0" w:uiPriority="20" w:semiHidden="0" w:name="Emphasis"/>
    <w:lsdException w:qFormat="1" w:uiPriority="0" w:semiHidden="0"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ascii="仿宋_GB2312" w:eastAsia="仿宋_GB2312" w:hAnsiTheme="minorHAnsi" w:cstheme="minorBidi"/>
      <w:kern w:val="2"/>
      <w:sz w:val="28"/>
      <w:szCs w:val="28"/>
      <w:lang w:val="en-US" w:eastAsia="zh-CN" w:bidi="ar-SA"/>
    </w:rPr>
  </w:style>
  <w:style w:type="paragraph" w:styleId="2">
    <w:name w:val="heading 1"/>
    <w:basedOn w:val="1"/>
    <w:next w:val="1"/>
    <w:link w:val="48"/>
    <w:qFormat/>
    <w:uiPriority w:val="0"/>
    <w:pPr>
      <w:numPr>
        <w:ilvl w:val="0"/>
        <w:numId w:val="1"/>
      </w:numPr>
      <w:ind w:firstLineChars="0"/>
      <w:jc w:val="left"/>
      <w:outlineLvl w:val="0"/>
    </w:pPr>
    <w:rPr>
      <w:b/>
      <w:bCs/>
      <w:kern w:val="44"/>
    </w:rPr>
  </w:style>
  <w:style w:type="paragraph" w:styleId="3">
    <w:name w:val="heading 2"/>
    <w:basedOn w:val="1"/>
    <w:next w:val="1"/>
    <w:link w:val="50"/>
    <w:unhideWhenUsed/>
    <w:qFormat/>
    <w:uiPriority w:val="0"/>
    <w:pPr>
      <w:numPr>
        <w:ilvl w:val="1"/>
        <w:numId w:val="1"/>
      </w:numPr>
      <w:ind w:firstLineChars="0"/>
      <w:jc w:val="left"/>
      <w:outlineLvl w:val="1"/>
    </w:pPr>
    <w:rPr>
      <w:b/>
    </w:rPr>
  </w:style>
  <w:style w:type="paragraph" w:styleId="4">
    <w:name w:val="heading 3"/>
    <w:basedOn w:val="1"/>
    <w:next w:val="1"/>
    <w:link w:val="51"/>
    <w:unhideWhenUsed/>
    <w:qFormat/>
    <w:uiPriority w:val="0"/>
    <w:pPr>
      <w:numPr>
        <w:ilvl w:val="2"/>
        <w:numId w:val="1"/>
      </w:numPr>
      <w:ind w:firstLineChars="0"/>
      <w:outlineLvl w:val="2"/>
    </w:pPr>
  </w:style>
  <w:style w:type="paragraph" w:styleId="5">
    <w:name w:val="heading 4"/>
    <w:basedOn w:val="1"/>
    <w:next w:val="1"/>
    <w:link w:val="52"/>
    <w:unhideWhenUsed/>
    <w:qFormat/>
    <w:uiPriority w:val="0"/>
    <w:pPr>
      <w:numPr>
        <w:ilvl w:val="3"/>
        <w:numId w:val="1"/>
      </w:numPr>
      <w:outlineLvl w:val="3"/>
    </w:pPr>
  </w:style>
  <w:style w:type="paragraph" w:styleId="6">
    <w:name w:val="heading 5"/>
    <w:basedOn w:val="1"/>
    <w:next w:val="1"/>
    <w:link w:val="53"/>
    <w:unhideWhenUsed/>
    <w:qFormat/>
    <w:uiPriority w:val="9"/>
    <w:pPr>
      <w:numPr>
        <w:ilvl w:val="4"/>
        <w:numId w:val="1"/>
      </w:numPr>
      <w:ind w:firstLineChars="0"/>
      <w:outlineLvl w:val="4"/>
    </w:pPr>
  </w:style>
  <w:style w:type="paragraph" w:styleId="7">
    <w:name w:val="heading 6"/>
    <w:basedOn w:val="1"/>
    <w:next w:val="1"/>
    <w:link w:val="54"/>
    <w:unhideWhenUsed/>
    <w:qFormat/>
    <w:uiPriority w:val="9"/>
    <w:pPr>
      <w:numPr>
        <w:ilvl w:val="5"/>
        <w:numId w:val="1"/>
      </w:numPr>
      <w:outlineLvl w:val="5"/>
    </w:pPr>
  </w:style>
  <w:style w:type="paragraph" w:styleId="8">
    <w:name w:val="heading 7"/>
    <w:basedOn w:val="1"/>
    <w:next w:val="1"/>
    <w:link w:val="55"/>
    <w:unhideWhenUsed/>
    <w:qFormat/>
    <w:uiPriority w:val="9"/>
    <w:pPr>
      <w:numPr>
        <w:ilvl w:val="6"/>
        <w:numId w:val="1"/>
      </w:numPr>
      <w:outlineLvl w:val="6"/>
    </w:pPr>
    <w:rPr>
      <w:bCs/>
      <w:sz w:val="24"/>
      <w:szCs w:val="24"/>
    </w:rPr>
  </w:style>
  <w:style w:type="character" w:default="1" w:styleId="41">
    <w:name w:val="Default Paragraph Font"/>
    <w:semiHidden/>
    <w:unhideWhenUsed/>
    <w:qFormat/>
    <w:uiPriority w:val="1"/>
  </w:style>
  <w:style w:type="table" w:default="1" w:styleId="39">
    <w:name w:val="Normal Table"/>
    <w:semiHidden/>
    <w:unhideWhenUsed/>
    <w:qFormat/>
    <w:uiPriority w:val="99"/>
    <w:tblPr>
      <w:tblCellMar>
        <w:top w:w="0" w:type="dxa"/>
        <w:left w:w="108" w:type="dxa"/>
        <w:bottom w:w="0" w:type="dxa"/>
        <w:right w:w="108" w:type="dxa"/>
      </w:tblCellMar>
    </w:tblPr>
  </w:style>
  <w:style w:type="paragraph" w:styleId="9">
    <w:name w:val="toc 7"/>
    <w:basedOn w:val="1"/>
    <w:next w:val="1"/>
    <w:unhideWhenUsed/>
    <w:qFormat/>
    <w:uiPriority w:val="0"/>
    <w:pPr>
      <w:spacing w:line="240" w:lineRule="auto"/>
      <w:ind w:left="2520" w:leftChars="1200" w:firstLine="0" w:firstLineChars="0"/>
    </w:pPr>
    <w:rPr>
      <w:rFonts w:asciiTheme="minorHAnsi" w:eastAsiaTheme="minorEastAsia"/>
      <w:sz w:val="21"/>
      <w:szCs w:val="22"/>
    </w:rPr>
  </w:style>
  <w:style w:type="paragraph" w:styleId="10">
    <w:name w:val="Normal Indent"/>
    <w:basedOn w:val="1"/>
    <w:link w:val="81"/>
    <w:qFormat/>
    <w:uiPriority w:val="0"/>
    <w:pPr>
      <w:adjustRightInd w:val="0"/>
      <w:ind w:firstLine="561" w:firstLineChars="0"/>
      <w:textAlignment w:val="baseline"/>
    </w:pPr>
    <w:rPr>
      <w:rFonts w:ascii="Times New Roman" w:hAnsi="Times New Roman" w:eastAsia="宋体" w:cs="Times New Roman"/>
      <w:kern w:val="0"/>
      <w:szCs w:val="20"/>
    </w:rPr>
  </w:style>
  <w:style w:type="paragraph" w:styleId="11">
    <w:name w:val="caption"/>
    <w:basedOn w:val="1"/>
    <w:next w:val="1"/>
    <w:link w:val="207"/>
    <w:qFormat/>
    <w:uiPriority w:val="35"/>
    <w:pPr>
      <w:spacing w:after="80" w:line="240" w:lineRule="auto"/>
      <w:ind w:firstLine="0" w:firstLineChars="0"/>
      <w:jc w:val="center"/>
    </w:pPr>
    <w:rPr>
      <w:rFonts w:ascii="Times New Roman" w:hAnsi="Times New Roman" w:eastAsia="宋体" w:cs="Arial"/>
      <w:b/>
    </w:rPr>
  </w:style>
  <w:style w:type="paragraph" w:styleId="12">
    <w:name w:val="Document Map"/>
    <w:basedOn w:val="1"/>
    <w:link w:val="80"/>
    <w:unhideWhenUsed/>
    <w:qFormat/>
    <w:uiPriority w:val="0"/>
    <w:rPr>
      <w:rFonts w:ascii="宋体" w:eastAsia="宋体"/>
      <w:sz w:val="18"/>
      <w:szCs w:val="18"/>
    </w:rPr>
  </w:style>
  <w:style w:type="paragraph" w:styleId="13">
    <w:name w:val="annotation text"/>
    <w:basedOn w:val="1"/>
    <w:link w:val="90"/>
    <w:unhideWhenUsed/>
    <w:qFormat/>
    <w:uiPriority w:val="0"/>
    <w:pPr>
      <w:ind w:firstLine="0" w:firstLineChars="0"/>
      <w:jc w:val="left"/>
      <w:textAlignment w:val="center"/>
    </w:pPr>
    <w:rPr>
      <w:rFonts w:ascii="Times New Roman" w:hAnsi="Times New Roman" w:eastAsia="宋体" w:cs="Times New Roman"/>
      <w:szCs w:val="24"/>
    </w:rPr>
  </w:style>
  <w:style w:type="paragraph" w:styleId="14">
    <w:name w:val="Body Text"/>
    <w:basedOn w:val="1"/>
    <w:link w:val="83"/>
    <w:qFormat/>
    <w:uiPriority w:val="0"/>
    <w:pPr>
      <w:spacing w:line="520" w:lineRule="exact"/>
      <w:ind w:firstLine="0" w:firstLineChars="0"/>
      <w:textAlignment w:val="center"/>
    </w:pPr>
    <w:rPr>
      <w:rFonts w:ascii="宋体" w:hAnsi="宋体" w:eastAsia="宋体" w:cs="Times New Roman"/>
      <w:bCs/>
      <w:sz w:val="32"/>
      <w:szCs w:val="24"/>
    </w:rPr>
  </w:style>
  <w:style w:type="paragraph" w:styleId="15">
    <w:name w:val="Body Text Indent"/>
    <w:basedOn w:val="1"/>
    <w:link w:val="86"/>
    <w:unhideWhenUsed/>
    <w:qFormat/>
    <w:uiPriority w:val="0"/>
    <w:pPr>
      <w:spacing w:after="120"/>
      <w:ind w:left="420" w:leftChars="200" w:firstLine="0" w:firstLineChars="0"/>
      <w:textAlignment w:val="center"/>
    </w:pPr>
    <w:rPr>
      <w:rFonts w:ascii="Times New Roman" w:hAnsi="Times New Roman" w:eastAsia="宋体" w:cs="Times New Roman"/>
      <w:szCs w:val="24"/>
    </w:rPr>
  </w:style>
  <w:style w:type="paragraph" w:styleId="16">
    <w:name w:val="toc 5"/>
    <w:basedOn w:val="1"/>
    <w:next w:val="1"/>
    <w:unhideWhenUsed/>
    <w:qFormat/>
    <w:uiPriority w:val="0"/>
    <w:pPr>
      <w:spacing w:line="240" w:lineRule="auto"/>
      <w:ind w:left="1680" w:leftChars="800" w:firstLine="0" w:firstLineChars="0"/>
    </w:pPr>
    <w:rPr>
      <w:rFonts w:asciiTheme="minorHAnsi" w:eastAsiaTheme="minorEastAsia"/>
      <w:sz w:val="21"/>
      <w:szCs w:val="22"/>
    </w:rPr>
  </w:style>
  <w:style w:type="paragraph" w:styleId="17">
    <w:name w:val="toc 3"/>
    <w:basedOn w:val="1"/>
    <w:next w:val="1"/>
    <w:unhideWhenUsed/>
    <w:qFormat/>
    <w:uiPriority w:val="0"/>
    <w:pPr>
      <w:widowControl/>
      <w:spacing w:after="100" w:line="259" w:lineRule="auto"/>
      <w:ind w:left="440" w:firstLine="0" w:firstLineChars="0"/>
      <w:jc w:val="left"/>
    </w:pPr>
    <w:rPr>
      <w:rFonts w:cs="Times New Roman" w:asciiTheme="minorHAnsi" w:eastAsiaTheme="minorEastAsia"/>
      <w:kern w:val="0"/>
      <w:sz w:val="22"/>
      <w:szCs w:val="22"/>
    </w:rPr>
  </w:style>
  <w:style w:type="paragraph" w:styleId="18">
    <w:name w:val="Plain Text"/>
    <w:basedOn w:val="1"/>
    <w:link w:val="82"/>
    <w:qFormat/>
    <w:uiPriority w:val="0"/>
    <w:pPr>
      <w:spacing w:line="240" w:lineRule="auto"/>
      <w:ind w:firstLine="0" w:firstLineChars="0"/>
    </w:pPr>
    <w:rPr>
      <w:rFonts w:ascii="宋体" w:hAnsi="Courier New" w:eastAsia="宋体" w:cs="Times New Roman"/>
      <w:sz w:val="21"/>
      <w:szCs w:val="20"/>
    </w:rPr>
  </w:style>
  <w:style w:type="paragraph" w:styleId="19">
    <w:name w:val="toc 8"/>
    <w:basedOn w:val="1"/>
    <w:next w:val="1"/>
    <w:unhideWhenUsed/>
    <w:qFormat/>
    <w:uiPriority w:val="0"/>
    <w:pPr>
      <w:spacing w:line="240" w:lineRule="auto"/>
      <w:ind w:left="2940" w:leftChars="1400" w:firstLine="0" w:firstLineChars="0"/>
    </w:pPr>
    <w:rPr>
      <w:rFonts w:asciiTheme="minorHAnsi" w:eastAsiaTheme="minorEastAsia"/>
      <w:sz w:val="21"/>
      <w:szCs w:val="22"/>
    </w:rPr>
  </w:style>
  <w:style w:type="paragraph" w:styleId="20">
    <w:name w:val="Date"/>
    <w:basedOn w:val="1"/>
    <w:next w:val="1"/>
    <w:link w:val="49"/>
    <w:unhideWhenUsed/>
    <w:qFormat/>
    <w:uiPriority w:val="0"/>
    <w:pPr>
      <w:ind w:left="100" w:leftChars="2500"/>
    </w:pPr>
  </w:style>
  <w:style w:type="paragraph" w:styleId="21">
    <w:name w:val="Body Text Indent 2"/>
    <w:basedOn w:val="1"/>
    <w:link w:val="133"/>
    <w:qFormat/>
    <w:uiPriority w:val="0"/>
    <w:pPr>
      <w:spacing w:line="240" w:lineRule="auto"/>
      <w:ind w:firstLine="570" w:firstLineChars="0"/>
    </w:pPr>
    <w:rPr>
      <w:rFonts w:ascii="Times New Roman" w:hAnsi="Times New Roman" w:eastAsia="宋体" w:cs="Times New Roman"/>
      <w:szCs w:val="24"/>
    </w:rPr>
  </w:style>
  <w:style w:type="paragraph" w:styleId="22">
    <w:name w:val="Balloon Text"/>
    <w:basedOn w:val="1"/>
    <w:link w:val="59"/>
    <w:unhideWhenUsed/>
    <w:qFormat/>
    <w:uiPriority w:val="0"/>
    <w:pPr>
      <w:spacing w:line="240" w:lineRule="auto"/>
    </w:pPr>
    <w:rPr>
      <w:sz w:val="18"/>
      <w:szCs w:val="18"/>
    </w:rPr>
  </w:style>
  <w:style w:type="paragraph" w:styleId="23">
    <w:name w:val="footer"/>
    <w:basedOn w:val="1"/>
    <w:link w:val="58"/>
    <w:unhideWhenUsed/>
    <w:qFormat/>
    <w:uiPriority w:val="0"/>
    <w:pPr>
      <w:tabs>
        <w:tab w:val="center" w:pos="4153"/>
        <w:tab w:val="right" w:pos="8306"/>
      </w:tabs>
      <w:snapToGrid w:val="0"/>
      <w:spacing w:line="240" w:lineRule="auto"/>
      <w:jc w:val="left"/>
    </w:pPr>
    <w:rPr>
      <w:sz w:val="18"/>
      <w:szCs w:val="18"/>
    </w:rPr>
  </w:style>
  <w:style w:type="paragraph" w:styleId="24">
    <w:name w:val="header"/>
    <w:basedOn w:val="1"/>
    <w:link w:val="57"/>
    <w:unhideWhenUsed/>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25">
    <w:name w:val="toc 1"/>
    <w:basedOn w:val="1"/>
    <w:next w:val="1"/>
    <w:unhideWhenUsed/>
    <w:qFormat/>
    <w:uiPriority w:val="0"/>
    <w:pPr>
      <w:widowControl/>
      <w:spacing w:after="100" w:line="259" w:lineRule="auto"/>
      <w:ind w:firstLine="0" w:firstLineChars="0"/>
      <w:jc w:val="left"/>
    </w:pPr>
    <w:rPr>
      <w:rFonts w:cs="Times New Roman" w:asciiTheme="minorHAnsi" w:eastAsiaTheme="minorEastAsia"/>
      <w:kern w:val="0"/>
      <w:sz w:val="22"/>
      <w:szCs w:val="22"/>
    </w:rPr>
  </w:style>
  <w:style w:type="paragraph" w:styleId="26">
    <w:name w:val="toc 4"/>
    <w:basedOn w:val="1"/>
    <w:next w:val="1"/>
    <w:unhideWhenUsed/>
    <w:qFormat/>
    <w:uiPriority w:val="0"/>
    <w:pPr>
      <w:spacing w:line="240" w:lineRule="auto"/>
      <w:ind w:left="1260" w:leftChars="600" w:firstLine="0" w:firstLineChars="0"/>
    </w:pPr>
    <w:rPr>
      <w:rFonts w:asciiTheme="minorHAnsi" w:eastAsiaTheme="minorEastAsia"/>
      <w:sz w:val="21"/>
      <w:szCs w:val="22"/>
    </w:rPr>
  </w:style>
  <w:style w:type="paragraph" w:styleId="27">
    <w:name w:val="footnote text"/>
    <w:basedOn w:val="1"/>
    <w:link w:val="92"/>
    <w:semiHidden/>
    <w:unhideWhenUsed/>
    <w:qFormat/>
    <w:uiPriority w:val="99"/>
    <w:pPr>
      <w:snapToGrid w:val="0"/>
      <w:ind w:firstLine="0" w:firstLineChars="0"/>
      <w:jc w:val="left"/>
      <w:textAlignment w:val="center"/>
    </w:pPr>
    <w:rPr>
      <w:rFonts w:ascii="Times New Roman" w:hAnsi="Times New Roman" w:eastAsia="宋体" w:cs="Times New Roman"/>
      <w:sz w:val="18"/>
      <w:szCs w:val="18"/>
    </w:rPr>
  </w:style>
  <w:style w:type="paragraph" w:styleId="28">
    <w:name w:val="toc 6"/>
    <w:basedOn w:val="1"/>
    <w:next w:val="1"/>
    <w:unhideWhenUsed/>
    <w:qFormat/>
    <w:uiPriority w:val="0"/>
    <w:pPr>
      <w:spacing w:line="240" w:lineRule="auto"/>
      <w:ind w:left="2100" w:leftChars="1000" w:firstLine="0" w:firstLineChars="0"/>
    </w:pPr>
    <w:rPr>
      <w:rFonts w:asciiTheme="minorHAnsi" w:eastAsiaTheme="minorEastAsia"/>
      <w:sz w:val="21"/>
      <w:szCs w:val="22"/>
    </w:rPr>
  </w:style>
  <w:style w:type="paragraph" w:styleId="29">
    <w:name w:val="Body Text Indent 3"/>
    <w:basedOn w:val="1"/>
    <w:link w:val="135"/>
    <w:qFormat/>
    <w:uiPriority w:val="0"/>
    <w:pPr>
      <w:spacing w:line="600" w:lineRule="exact"/>
      <w:ind w:firstLine="570" w:firstLineChars="0"/>
    </w:pPr>
    <w:rPr>
      <w:rFonts w:ascii="宋体" w:hAnsi="宋体" w:eastAsia="宋体" w:cs="Times New Roman"/>
      <w:snapToGrid w:val="0"/>
      <w:w w:val="90"/>
      <w:kern w:val="0"/>
      <w:sz w:val="30"/>
      <w:szCs w:val="24"/>
    </w:rPr>
  </w:style>
  <w:style w:type="paragraph" w:styleId="30">
    <w:name w:val="toc 2"/>
    <w:basedOn w:val="1"/>
    <w:next w:val="1"/>
    <w:unhideWhenUsed/>
    <w:qFormat/>
    <w:uiPriority w:val="0"/>
    <w:pPr>
      <w:widowControl/>
      <w:spacing w:after="100" w:line="259" w:lineRule="auto"/>
      <w:ind w:left="220" w:firstLine="0" w:firstLineChars="0"/>
      <w:jc w:val="left"/>
    </w:pPr>
    <w:rPr>
      <w:rFonts w:cs="Times New Roman" w:asciiTheme="minorHAnsi" w:eastAsiaTheme="minorEastAsia"/>
      <w:kern w:val="0"/>
      <w:sz w:val="22"/>
      <w:szCs w:val="22"/>
    </w:rPr>
  </w:style>
  <w:style w:type="paragraph" w:styleId="31">
    <w:name w:val="toc 9"/>
    <w:basedOn w:val="1"/>
    <w:next w:val="1"/>
    <w:unhideWhenUsed/>
    <w:qFormat/>
    <w:uiPriority w:val="0"/>
    <w:pPr>
      <w:spacing w:line="240" w:lineRule="auto"/>
      <w:ind w:left="3360" w:leftChars="1600" w:firstLine="0" w:firstLineChars="0"/>
    </w:pPr>
    <w:rPr>
      <w:rFonts w:asciiTheme="minorHAnsi" w:eastAsiaTheme="minorEastAsia"/>
      <w:sz w:val="21"/>
      <w:szCs w:val="22"/>
    </w:rPr>
  </w:style>
  <w:style w:type="paragraph" w:styleId="32">
    <w:name w:val="Body Text 2"/>
    <w:basedOn w:val="1"/>
    <w:link w:val="159"/>
    <w:qFormat/>
    <w:uiPriority w:val="0"/>
    <w:pPr>
      <w:spacing w:after="120" w:line="480" w:lineRule="auto"/>
      <w:ind w:firstLine="0" w:firstLineChars="0"/>
    </w:pPr>
    <w:rPr>
      <w:rFonts w:ascii="Times New Roman" w:hAnsi="Times New Roman" w:eastAsia="宋体" w:cs="Times New Roman"/>
      <w:sz w:val="21"/>
      <w:szCs w:val="24"/>
    </w:rPr>
  </w:style>
  <w:style w:type="paragraph" w:styleId="33">
    <w:name w:val="HTML Preformatted"/>
    <w:basedOn w:val="1"/>
    <w:link w:val="190"/>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0" w:lineRule="atLeast"/>
      <w:ind w:firstLine="0" w:firstLineChars="0"/>
      <w:jc w:val="left"/>
    </w:pPr>
    <w:rPr>
      <w:rFonts w:ascii="Arial" w:hAnsi="Arial" w:eastAsia="宋体" w:cs="Arial"/>
      <w:kern w:val="0"/>
      <w:sz w:val="14"/>
      <w:szCs w:val="14"/>
    </w:rPr>
  </w:style>
  <w:style w:type="paragraph" w:styleId="34">
    <w:name w:val="Normal (Web)"/>
    <w:basedOn w:val="1"/>
    <w:unhideWhenUsed/>
    <w:qFormat/>
    <w:uiPriority w:val="0"/>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styleId="35">
    <w:name w:val="index 2"/>
    <w:basedOn w:val="1"/>
    <w:next w:val="1"/>
    <w:qFormat/>
    <w:uiPriority w:val="0"/>
    <w:pPr>
      <w:spacing w:line="240" w:lineRule="auto"/>
      <w:ind w:left="200" w:leftChars="200" w:firstLine="0" w:firstLineChars="0"/>
    </w:pPr>
    <w:rPr>
      <w:rFonts w:ascii="Times New Roman" w:hAnsi="Times New Roman" w:eastAsia="宋体" w:cs="Times New Roman"/>
      <w:sz w:val="21"/>
      <w:szCs w:val="24"/>
    </w:rPr>
  </w:style>
  <w:style w:type="paragraph" w:styleId="36">
    <w:name w:val="Title"/>
    <w:basedOn w:val="1"/>
    <w:next w:val="1"/>
    <w:link w:val="202"/>
    <w:qFormat/>
    <w:uiPriority w:val="99"/>
    <w:pPr>
      <w:spacing w:after="300"/>
      <w:ind w:firstLine="200"/>
      <w:contextualSpacing/>
    </w:pPr>
    <w:rPr>
      <w:rFonts w:hAnsi="宋体" w:cs="Times New Roman"/>
      <w:smallCaps/>
      <w:color w:val="993300"/>
      <w:kern w:val="0"/>
      <w:sz w:val="52"/>
      <w:szCs w:val="52"/>
      <w:lang w:val="zh-CN"/>
    </w:rPr>
  </w:style>
  <w:style w:type="paragraph" w:styleId="37">
    <w:name w:val="annotation subject"/>
    <w:basedOn w:val="13"/>
    <w:next w:val="13"/>
    <w:link w:val="91"/>
    <w:unhideWhenUsed/>
    <w:qFormat/>
    <w:uiPriority w:val="0"/>
    <w:rPr>
      <w:b/>
      <w:bCs/>
    </w:rPr>
  </w:style>
  <w:style w:type="paragraph" w:styleId="38">
    <w:name w:val="Body Text First Indent 2"/>
    <w:basedOn w:val="15"/>
    <w:link w:val="211"/>
    <w:semiHidden/>
    <w:unhideWhenUsed/>
    <w:qFormat/>
    <w:uiPriority w:val="99"/>
    <w:pPr>
      <w:ind w:firstLine="420" w:firstLineChars="200"/>
      <w:textAlignment w:val="auto"/>
    </w:pPr>
    <w:rPr>
      <w:rFonts w:ascii="仿宋_GB2312" w:eastAsia="仿宋_GB2312" w:hAnsiTheme="minorHAnsi" w:cstheme="minorBidi"/>
      <w:szCs w:val="28"/>
    </w:rPr>
  </w:style>
  <w:style w:type="table" w:styleId="40">
    <w:name w:val="Table Grid"/>
    <w:basedOn w:val="3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2">
    <w:name w:val="Strong"/>
    <w:basedOn w:val="41"/>
    <w:qFormat/>
    <w:uiPriority w:val="22"/>
    <w:rPr>
      <w:b/>
    </w:rPr>
  </w:style>
  <w:style w:type="character" w:styleId="43">
    <w:name w:val="page number"/>
    <w:basedOn w:val="41"/>
    <w:qFormat/>
    <w:uiPriority w:val="0"/>
  </w:style>
  <w:style w:type="character" w:styleId="44">
    <w:name w:val="FollowedHyperlink"/>
    <w:qFormat/>
    <w:uiPriority w:val="99"/>
    <w:rPr>
      <w:color w:val="800080"/>
      <w:u w:val="single"/>
    </w:rPr>
  </w:style>
  <w:style w:type="character" w:styleId="45">
    <w:name w:val="Hyperlink"/>
    <w:basedOn w:val="41"/>
    <w:unhideWhenUsed/>
    <w:qFormat/>
    <w:uiPriority w:val="99"/>
    <w:rPr>
      <w:color w:val="0563C1" w:themeColor="hyperlink"/>
      <w:u w:val="single"/>
      <w14:textFill>
        <w14:solidFill>
          <w14:schemeClr w14:val="hlink"/>
        </w14:solidFill>
      </w14:textFill>
    </w:rPr>
  </w:style>
  <w:style w:type="character" w:styleId="46">
    <w:name w:val="annotation reference"/>
    <w:basedOn w:val="41"/>
    <w:unhideWhenUsed/>
    <w:qFormat/>
    <w:uiPriority w:val="0"/>
    <w:rPr>
      <w:sz w:val="21"/>
      <w:szCs w:val="21"/>
    </w:rPr>
  </w:style>
  <w:style w:type="paragraph" w:customStyle="1" w:styleId="47">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48">
    <w:name w:val="标题 1 字符"/>
    <w:basedOn w:val="41"/>
    <w:link w:val="2"/>
    <w:qFormat/>
    <w:uiPriority w:val="0"/>
    <w:rPr>
      <w:rFonts w:ascii="仿宋_GB2312" w:eastAsia="仿宋_GB2312"/>
      <w:b/>
      <w:bCs/>
      <w:kern w:val="44"/>
      <w:sz w:val="28"/>
      <w:szCs w:val="28"/>
    </w:rPr>
  </w:style>
  <w:style w:type="character" w:customStyle="1" w:styleId="49">
    <w:name w:val="日期 字符"/>
    <w:basedOn w:val="41"/>
    <w:link w:val="20"/>
    <w:qFormat/>
    <w:uiPriority w:val="0"/>
  </w:style>
  <w:style w:type="character" w:customStyle="1" w:styleId="50">
    <w:name w:val="标题 2 字符"/>
    <w:basedOn w:val="41"/>
    <w:link w:val="3"/>
    <w:qFormat/>
    <w:uiPriority w:val="0"/>
    <w:rPr>
      <w:rFonts w:ascii="仿宋_GB2312" w:eastAsia="仿宋_GB2312"/>
      <w:b/>
      <w:kern w:val="2"/>
      <w:sz w:val="28"/>
      <w:szCs w:val="28"/>
    </w:rPr>
  </w:style>
  <w:style w:type="character" w:customStyle="1" w:styleId="51">
    <w:name w:val="标题 3 字符"/>
    <w:basedOn w:val="41"/>
    <w:link w:val="4"/>
    <w:qFormat/>
    <w:uiPriority w:val="0"/>
    <w:rPr>
      <w:rFonts w:ascii="仿宋_GB2312" w:eastAsia="仿宋_GB2312"/>
      <w:kern w:val="2"/>
      <w:sz w:val="28"/>
      <w:szCs w:val="28"/>
    </w:rPr>
  </w:style>
  <w:style w:type="character" w:customStyle="1" w:styleId="52">
    <w:name w:val="标题 4 字符"/>
    <w:basedOn w:val="41"/>
    <w:link w:val="5"/>
    <w:qFormat/>
    <w:uiPriority w:val="0"/>
    <w:rPr>
      <w:rFonts w:ascii="仿宋_GB2312" w:eastAsia="仿宋_GB2312"/>
      <w:kern w:val="2"/>
      <w:sz w:val="28"/>
      <w:szCs w:val="28"/>
    </w:rPr>
  </w:style>
  <w:style w:type="character" w:customStyle="1" w:styleId="53">
    <w:name w:val="标题 5 字符"/>
    <w:basedOn w:val="41"/>
    <w:link w:val="6"/>
    <w:qFormat/>
    <w:uiPriority w:val="9"/>
    <w:rPr>
      <w:rFonts w:ascii="仿宋_GB2312" w:eastAsia="仿宋_GB2312"/>
      <w:kern w:val="2"/>
      <w:sz w:val="28"/>
      <w:szCs w:val="28"/>
    </w:rPr>
  </w:style>
  <w:style w:type="character" w:customStyle="1" w:styleId="54">
    <w:name w:val="标题 6 字符"/>
    <w:basedOn w:val="41"/>
    <w:link w:val="7"/>
    <w:qFormat/>
    <w:uiPriority w:val="9"/>
    <w:rPr>
      <w:rFonts w:ascii="仿宋_GB2312" w:eastAsia="仿宋_GB2312"/>
      <w:kern w:val="2"/>
      <w:sz w:val="28"/>
      <w:szCs w:val="28"/>
    </w:rPr>
  </w:style>
  <w:style w:type="character" w:customStyle="1" w:styleId="55">
    <w:name w:val="标题 7 字符"/>
    <w:basedOn w:val="41"/>
    <w:link w:val="8"/>
    <w:qFormat/>
    <w:uiPriority w:val="9"/>
    <w:rPr>
      <w:rFonts w:ascii="仿宋_GB2312" w:eastAsia="仿宋_GB2312"/>
      <w:bCs/>
      <w:kern w:val="2"/>
      <w:sz w:val="24"/>
      <w:szCs w:val="24"/>
    </w:rPr>
  </w:style>
  <w:style w:type="paragraph" w:customStyle="1" w:styleId="56">
    <w:name w:val="TOC 标题1"/>
    <w:basedOn w:val="2"/>
    <w:next w:val="1"/>
    <w:unhideWhenUsed/>
    <w:qFormat/>
    <w:uiPriority w:val="39"/>
    <w:pPr>
      <w:keepNext/>
      <w:keepLines/>
      <w:widowControl/>
      <w:numPr>
        <w:numId w:val="0"/>
      </w:numPr>
      <w:spacing w:before="24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57">
    <w:name w:val="页眉 字符"/>
    <w:basedOn w:val="41"/>
    <w:link w:val="24"/>
    <w:qFormat/>
    <w:uiPriority w:val="0"/>
    <w:rPr>
      <w:rFonts w:ascii="仿宋_GB2312" w:eastAsia="仿宋_GB2312"/>
      <w:sz w:val="18"/>
      <w:szCs w:val="18"/>
    </w:rPr>
  </w:style>
  <w:style w:type="character" w:customStyle="1" w:styleId="58">
    <w:name w:val="页脚 字符"/>
    <w:basedOn w:val="41"/>
    <w:link w:val="23"/>
    <w:qFormat/>
    <w:uiPriority w:val="0"/>
    <w:rPr>
      <w:rFonts w:ascii="仿宋_GB2312" w:eastAsia="仿宋_GB2312"/>
      <w:sz w:val="18"/>
      <w:szCs w:val="18"/>
    </w:rPr>
  </w:style>
  <w:style w:type="character" w:customStyle="1" w:styleId="59">
    <w:name w:val="批注框文本 字符"/>
    <w:basedOn w:val="41"/>
    <w:link w:val="22"/>
    <w:qFormat/>
    <w:uiPriority w:val="0"/>
    <w:rPr>
      <w:rFonts w:ascii="仿宋_GB2312" w:eastAsia="仿宋_GB2312"/>
      <w:sz w:val="18"/>
      <w:szCs w:val="18"/>
    </w:rPr>
  </w:style>
  <w:style w:type="paragraph" w:customStyle="1" w:styleId="60">
    <w:name w:val="Char Char Char Char Char Char Char"/>
    <w:basedOn w:val="1"/>
    <w:qFormat/>
    <w:uiPriority w:val="0"/>
    <w:pPr>
      <w:widowControl/>
      <w:spacing w:after="160" w:line="240" w:lineRule="exact"/>
      <w:ind w:firstLine="0" w:firstLineChars="0"/>
      <w:jc w:val="left"/>
    </w:pPr>
    <w:rPr>
      <w:rFonts w:ascii="Times New Roman" w:hAnsi="Times New Roman" w:eastAsia="宋体" w:cs="Times New Roman"/>
      <w:sz w:val="21"/>
      <w:szCs w:val="20"/>
    </w:rPr>
  </w:style>
  <w:style w:type="paragraph" w:customStyle="1" w:styleId="61">
    <w:name w:val="文本"/>
    <w:basedOn w:val="1"/>
    <w:link w:val="62"/>
    <w:qFormat/>
    <w:uiPriority w:val="0"/>
    <w:pPr>
      <w:ind w:firstLine="480"/>
    </w:pPr>
    <w:rPr>
      <w:rFonts w:ascii="宋体" w:hAnsi="宋体" w:eastAsia="宋体" w:cs="Times New Roman"/>
      <w:color w:val="000000"/>
      <w:sz w:val="24"/>
      <w:szCs w:val="24"/>
      <w:lang w:val="zh-CN"/>
    </w:rPr>
  </w:style>
  <w:style w:type="character" w:customStyle="1" w:styleId="62">
    <w:name w:val="文本 Char"/>
    <w:link w:val="61"/>
    <w:qFormat/>
    <w:uiPriority w:val="0"/>
    <w:rPr>
      <w:rFonts w:ascii="宋体" w:hAnsi="宋体" w:eastAsia="宋体" w:cs="Times New Roman"/>
      <w:color w:val="000000"/>
      <w:sz w:val="24"/>
      <w:szCs w:val="24"/>
      <w:lang w:val="zh-CN" w:eastAsia="zh-CN"/>
    </w:rPr>
  </w:style>
  <w:style w:type="paragraph" w:customStyle="1" w:styleId="63">
    <w:name w:val="标题1"/>
    <w:basedOn w:val="1"/>
    <w:next w:val="1"/>
    <w:link w:val="64"/>
    <w:qFormat/>
    <w:uiPriority w:val="0"/>
    <w:pPr>
      <w:numPr>
        <w:ilvl w:val="1"/>
        <w:numId w:val="2"/>
      </w:numPr>
      <w:ind w:firstLineChars="0"/>
    </w:pPr>
    <w:rPr>
      <w:b/>
      <w:szCs w:val="22"/>
    </w:rPr>
  </w:style>
  <w:style w:type="character" w:customStyle="1" w:styleId="64">
    <w:name w:val="标题1 Char"/>
    <w:basedOn w:val="41"/>
    <w:link w:val="63"/>
    <w:qFormat/>
    <w:uiPriority w:val="0"/>
    <w:rPr>
      <w:rFonts w:ascii="仿宋_GB2312" w:eastAsia="仿宋_GB2312"/>
      <w:b/>
      <w:kern w:val="2"/>
      <w:sz w:val="28"/>
      <w:szCs w:val="22"/>
    </w:rPr>
  </w:style>
  <w:style w:type="paragraph" w:customStyle="1" w:styleId="65">
    <w:name w:val="标题2"/>
    <w:basedOn w:val="63"/>
    <w:next w:val="1"/>
    <w:link w:val="66"/>
    <w:qFormat/>
    <w:uiPriority w:val="0"/>
    <w:pPr>
      <w:numPr>
        <w:ilvl w:val="3"/>
      </w:numPr>
    </w:pPr>
  </w:style>
  <w:style w:type="character" w:customStyle="1" w:styleId="66">
    <w:name w:val="标题2 Char"/>
    <w:basedOn w:val="64"/>
    <w:link w:val="65"/>
    <w:qFormat/>
    <w:uiPriority w:val="0"/>
    <w:rPr>
      <w:rFonts w:ascii="仿宋_GB2312" w:eastAsia="仿宋_GB2312"/>
      <w:kern w:val="2"/>
      <w:sz w:val="28"/>
      <w:szCs w:val="22"/>
    </w:rPr>
  </w:style>
  <w:style w:type="paragraph" w:customStyle="1" w:styleId="67">
    <w:name w:val="标题3"/>
    <w:basedOn w:val="65"/>
    <w:next w:val="1"/>
    <w:link w:val="68"/>
    <w:qFormat/>
    <w:uiPriority w:val="0"/>
    <w:pPr>
      <w:numPr>
        <w:ilvl w:val="2"/>
      </w:numPr>
    </w:pPr>
  </w:style>
  <w:style w:type="character" w:customStyle="1" w:styleId="68">
    <w:name w:val="标题3 Char"/>
    <w:basedOn w:val="66"/>
    <w:link w:val="67"/>
    <w:qFormat/>
    <w:uiPriority w:val="0"/>
    <w:rPr>
      <w:rFonts w:ascii="仿宋_GB2312" w:eastAsia="仿宋_GB2312"/>
      <w:kern w:val="2"/>
      <w:sz w:val="28"/>
      <w:szCs w:val="22"/>
    </w:rPr>
  </w:style>
  <w:style w:type="paragraph" w:customStyle="1" w:styleId="69">
    <w:name w:val="标题4"/>
    <w:basedOn w:val="67"/>
    <w:next w:val="1"/>
    <w:link w:val="70"/>
    <w:qFormat/>
    <w:uiPriority w:val="0"/>
    <w:pPr>
      <w:numPr>
        <w:ilvl w:val="6"/>
      </w:numPr>
    </w:pPr>
  </w:style>
  <w:style w:type="character" w:customStyle="1" w:styleId="70">
    <w:name w:val="标题4 Char"/>
    <w:basedOn w:val="68"/>
    <w:link w:val="69"/>
    <w:qFormat/>
    <w:uiPriority w:val="0"/>
    <w:rPr>
      <w:rFonts w:ascii="仿宋_GB2312" w:eastAsia="仿宋_GB2312"/>
      <w:kern w:val="2"/>
      <w:sz w:val="28"/>
      <w:szCs w:val="22"/>
    </w:rPr>
  </w:style>
  <w:style w:type="paragraph" w:customStyle="1" w:styleId="71">
    <w:name w:val="小点1"/>
    <w:basedOn w:val="69"/>
    <w:next w:val="1"/>
    <w:link w:val="72"/>
    <w:qFormat/>
    <w:uiPriority w:val="0"/>
    <w:pPr>
      <w:numPr>
        <w:ilvl w:val="5"/>
      </w:numPr>
    </w:pPr>
    <w:rPr>
      <w:b w:val="0"/>
    </w:rPr>
  </w:style>
  <w:style w:type="character" w:customStyle="1" w:styleId="72">
    <w:name w:val="小点1 Char"/>
    <w:basedOn w:val="70"/>
    <w:link w:val="71"/>
    <w:qFormat/>
    <w:uiPriority w:val="0"/>
    <w:rPr>
      <w:rFonts w:ascii="仿宋_GB2312" w:eastAsia="仿宋_GB2312"/>
      <w:b w:val="0"/>
      <w:kern w:val="2"/>
      <w:sz w:val="28"/>
      <w:szCs w:val="22"/>
    </w:rPr>
  </w:style>
  <w:style w:type="paragraph" w:customStyle="1" w:styleId="73">
    <w:name w:val="小点2"/>
    <w:basedOn w:val="71"/>
    <w:next w:val="1"/>
    <w:link w:val="74"/>
    <w:qFormat/>
    <w:uiPriority w:val="0"/>
    <w:pPr>
      <w:numPr>
        <w:ilvl w:val="4"/>
      </w:numPr>
    </w:pPr>
  </w:style>
  <w:style w:type="character" w:customStyle="1" w:styleId="74">
    <w:name w:val="小点2 Char"/>
    <w:basedOn w:val="72"/>
    <w:link w:val="73"/>
    <w:qFormat/>
    <w:uiPriority w:val="0"/>
    <w:rPr>
      <w:rFonts w:ascii="仿宋_GB2312" w:eastAsia="仿宋_GB2312"/>
      <w:kern w:val="2"/>
      <w:sz w:val="28"/>
      <w:szCs w:val="22"/>
    </w:rPr>
  </w:style>
  <w:style w:type="paragraph" w:customStyle="1" w:styleId="75">
    <w:name w:val="表格文字"/>
    <w:basedOn w:val="73"/>
    <w:link w:val="76"/>
    <w:qFormat/>
    <w:uiPriority w:val="0"/>
  </w:style>
  <w:style w:type="character" w:customStyle="1" w:styleId="76">
    <w:name w:val="表格文字 Char"/>
    <w:basedOn w:val="74"/>
    <w:link w:val="75"/>
    <w:qFormat/>
    <w:uiPriority w:val="0"/>
    <w:rPr>
      <w:rFonts w:ascii="仿宋_GB2312" w:eastAsia="仿宋_GB2312"/>
      <w:kern w:val="2"/>
      <w:sz w:val="28"/>
      <w:szCs w:val="22"/>
    </w:rPr>
  </w:style>
  <w:style w:type="paragraph" w:customStyle="1" w:styleId="77">
    <w:name w:val="表格标题"/>
    <w:basedOn w:val="75"/>
    <w:link w:val="78"/>
    <w:qFormat/>
    <w:uiPriority w:val="0"/>
    <w:pPr>
      <w:numPr>
        <w:ilvl w:val="0"/>
        <w:numId w:val="0"/>
      </w:numPr>
    </w:pPr>
  </w:style>
  <w:style w:type="character" w:customStyle="1" w:styleId="78">
    <w:name w:val="表格标题 Char"/>
    <w:basedOn w:val="76"/>
    <w:link w:val="77"/>
    <w:qFormat/>
    <w:uiPriority w:val="0"/>
    <w:rPr>
      <w:rFonts w:ascii="仿宋_GB2312" w:eastAsia="仿宋_GB2312"/>
      <w:kern w:val="2"/>
      <w:sz w:val="28"/>
      <w:szCs w:val="22"/>
    </w:rPr>
  </w:style>
  <w:style w:type="paragraph" w:styleId="79">
    <w:name w:val="List Paragraph"/>
    <w:basedOn w:val="1"/>
    <w:qFormat/>
    <w:uiPriority w:val="34"/>
    <w:pPr>
      <w:ind w:firstLine="420"/>
    </w:pPr>
    <w:rPr>
      <w:szCs w:val="22"/>
    </w:rPr>
  </w:style>
  <w:style w:type="character" w:customStyle="1" w:styleId="80">
    <w:name w:val="文档结构图 字符"/>
    <w:basedOn w:val="41"/>
    <w:link w:val="12"/>
    <w:qFormat/>
    <w:uiPriority w:val="0"/>
    <w:rPr>
      <w:rFonts w:ascii="宋体" w:eastAsia="宋体"/>
      <w:sz w:val="18"/>
      <w:szCs w:val="18"/>
    </w:rPr>
  </w:style>
  <w:style w:type="character" w:customStyle="1" w:styleId="81">
    <w:name w:val="正文缩进 字符"/>
    <w:link w:val="10"/>
    <w:qFormat/>
    <w:uiPriority w:val="0"/>
    <w:rPr>
      <w:rFonts w:ascii="Times New Roman" w:hAnsi="Times New Roman" w:eastAsia="宋体" w:cs="Times New Roman"/>
      <w:kern w:val="0"/>
      <w:sz w:val="28"/>
      <w:szCs w:val="20"/>
    </w:rPr>
  </w:style>
  <w:style w:type="character" w:customStyle="1" w:styleId="82">
    <w:name w:val="纯文本 字符"/>
    <w:basedOn w:val="41"/>
    <w:link w:val="18"/>
    <w:qFormat/>
    <w:uiPriority w:val="0"/>
    <w:rPr>
      <w:rFonts w:ascii="宋体" w:hAnsi="Courier New" w:eastAsia="宋体" w:cs="Times New Roman"/>
      <w:szCs w:val="20"/>
    </w:rPr>
  </w:style>
  <w:style w:type="character" w:customStyle="1" w:styleId="83">
    <w:name w:val="正文文本 字符"/>
    <w:basedOn w:val="41"/>
    <w:link w:val="14"/>
    <w:qFormat/>
    <w:uiPriority w:val="0"/>
    <w:rPr>
      <w:rFonts w:ascii="宋体" w:hAnsi="宋体" w:eastAsia="宋体" w:cs="Times New Roman"/>
      <w:bCs/>
      <w:sz w:val="32"/>
      <w:szCs w:val="24"/>
    </w:rPr>
  </w:style>
  <w:style w:type="paragraph" w:customStyle="1" w:styleId="84">
    <w:name w:val="表格居中"/>
    <w:basedOn w:val="1"/>
    <w:link w:val="85"/>
    <w:qFormat/>
    <w:uiPriority w:val="0"/>
    <w:pPr>
      <w:spacing w:line="240" w:lineRule="auto"/>
      <w:ind w:firstLine="0" w:firstLineChars="0"/>
      <w:jc w:val="center"/>
      <w:textAlignment w:val="center"/>
    </w:pPr>
    <w:rPr>
      <w:rFonts w:ascii="Times New Roman" w:hAnsi="Times New Roman" w:eastAsia="宋体" w:cs="Times New Roman"/>
      <w:sz w:val="24"/>
      <w:szCs w:val="21"/>
    </w:rPr>
  </w:style>
  <w:style w:type="character" w:customStyle="1" w:styleId="85">
    <w:name w:val="表格居中 Char"/>
    <w:basedOn w:val="41"/>
    <w:link w:val="84"/>
    <w:qFormat/>
    <w:uiPriority w:val="0"/>
    <w:rPr>
      <w:rFonts w:ascii="Times New Roman" w:hAnsi="Times New Roman" w:eastAsia="宋体" w:cs="Times New Roman"/>
      <w:sz w:val="24"/>
      <w:szCs w:val="21"/>
    </w:rPr>
  </w:style>
  <w:style w:type="character" w:customStyle="1" w:styleId="86">
    <w:name w:val="正文文本缩进 字符"/>
    <w:basedOn w:val="41"/>
    <w:link w:val="15"/>
    <w:qFormat/>
    <w:uiPriority w:val="0"/>
    <w:rPr>
      <w:rFonts w:ascii="Times New Roman" w:hAnsi="Times New Roman" w:eastAsia="宋体" w:cs="Times New Roman"/>
      <w:sz w:val="28"/>
      <w:szCs w:val="24"/>
    </w:rPr>
  </w:style>
  <w:style w:type="paragraph" w:customStyle="1" w:styleId="87">
    <w:name w:val="00000"/>
    <w:basedOn w:val="1"/>
    <w:link w:val="88"/>
    <w:qFormat/>
    <w:uiPriority w:val="0"/>
    <w:pPr>
      <w:ind w:firstLine="566" w:firstLineChars="202"/>
    </w:pPr>
    <w:rPr>
      <w:rFonts w:hAnsi="Times New Roman" w:cs="Times New Roman"/>
      <w:kern w:val="0"/>
    </w:rPr>
  </w:style>
  <w:style w:type="character" w:customStyle="1" w:styleId="88">
    <w:name w:val="00000 Char"/>
    <w:link w:val="87"/>
    <w:qFormat/>
    <w:uiPriority w:val="0"/>
    <w:rPr>
      <w:rFonts w:ascii="仿宋_GB2312" w:hAnsi="Times New Roman" w:eastAsia="仿宋_GB2312" w:cs="Times New Roman"/>
      <w:kern w:val="0"/>
      <w:sz w:val="28"/>
      <w:szCs w:val="28"/>
    </w:rPr>
  </w:style>
  <w:style w:type="paragraph" w:customStyle="1" w:styleId="89">
    <w:name w:val="_Style 76"/>
    <w:basedOn w:val="1"/>
    <w:qFormat/>
    <w:uiPriority w:val="0"/>
    <w:pPr>
      <w:autoSpaceDE w:val="0"/>
      <w:autoSpaceDN w:val="0"/>
      <w:adjustRightInd w:val="0"/>
      <w:snapToGrid w:val="0"/>
      <w:spacing w:before="50" w:after="50"/>
      <w:ind w:firstLine="0" w:firstLineChars="0"/>
    </w:pPr>
    <w:rPr>
      <w:rFonts w:ascii="Times New Roman" w:hAnsi="Times New Roman" w:cs="Times New Roman"/>
      <w:color w:val="000000"/>
      <w:sz w:val="24"/>
      <w:szCs w:val="24"/>
    </w:rPr>
  </w:style>
  <w:style w:type="character" w:customStyle="1" w:styleId="90">
    <w:name w:val="批注文字 字符"/>
    <w:basedOn w:val="41"/>
    <w:link w:val="13"/>
    <w:qFormat/>
    <w:uiPriority w:val="0"/>
    <w:rPr>
      <w:rFonts w:ascii="Times New Roman" w:hAnsi="Times New Roman" w:eastAsia="宋体" w:cs="Times New Roman"/>
      <w:sz w:val="28"/>
      <w:szCs w:val="24"/>
    </w:rPr>
  </w:style>
  <w:style w:type="character" w:customStyle="1" w:styleId="91">
    <w:name w:val="批注主题 字符"/>
    <w:basedOn w:val="90"/>
    <w:link w:val="37"/>
    <w:qFormat/>
    <w:uiPriority w:val="0"/>
    <w:rPr>
      <w:rFonts w:ascii="Times New Roman" w:hAnsi="Times New Roman" w:eastAsia="宋体" w:cs="Times New Roman"/>
      <w:b/>
      <w:bCs/>
      <w:sz w:val="28"/>
      <w:szCs w:val="24"/>
    </w:rPr>
  </w:style>
  <w:style w:type="character" w:customStyle="1" w:styleId="92">
    <w:name w:val="脚注文本 字符"/>
    <w:basedOn w:val="41"/>
    <w:link w:val="27"/>
    <w:semiHidden/>
    <w:qFormat/>
    <w:uiPriority w:val="99"/>
    <w:rPr>
      <w:rFonts w:ascii="Times New Roman" w:hAnsi="Times New Roman" w:eastAsia="宋体" w:cs="Times New Roman"/>
      <w:sz w:val="18"/>
      <w:szCs w:val="18"/>
    </w:rPr>
  </w:style>
  <w:style w:type="character" w:customStyle="1" w:styleId="93">
    <w:name w:val="脚注文本 Char1"/>
    <w:basedOn w:val="41"/>
    <w:semiHidden/>
    <w:qFormat/>
    <w:uiPriority w:val="99"/>
    <w:rPr>
      <w:rFonts w:ascii="仿宋_GB2312" w:eastAsia="仿宋_GB2312"/>
      <w:sz w:val="18"/>
      <w:szCs w:val="18"/>
    </w:rPr>
  </w:style>
  <w:style w:type="paragraph" w:customStyle="1" w:styleId="94">
    <w:name w:val="正文（样式）"/>
    <w:basedOn w:val="1"/>
    <w:link w:val="95"/>
    <w:qFormat/>
    <w:uiPriority w:val="0"/>
    <w:pPr>
      <w:ind w:firstLine="0" w:firstLineChars="0"/>
      <w:textAlignment w:val="center"/>
    </w:pPr>
    <w:rPr>
      <w:rFonts w:ascii="Times New Roman" w:hAnsi="仿宋" w:eastAsia="宋体" w:cs="Times New Roman"/>
      <w:szCs w:val="24"/>
    </w:rPr>
  </w:style>
  <w:style w:type="character" w:customStyle="1" w:styleId="95">
    <w:name w:val="正文（样式） Char"/>
    <w:basedOn w:val="41"/>
    <w:link w:val="94"/>
    <w:qFormat/>
    <w:uiPriority w:val="0"/>
    <w:rPr>
      <w:rFonts w:ascii="Times New Roman" w:hAnsi="仿宋" w:eastAsia="宋体" w:cs="Times New Roman"/>
      <w:sz w:val="28"/>
      <w:szCs w:val="24"/>
    </w:rPr>
  </w:style>
  <w:style w:type="character" w:customStyle="1" w:styleId="96">
    <w:name w:val="标题 3 Char1"/>
    <w:qFormat/>
    <w:uiPriority w:val="0"/>
    <w:rPr>
      <w:rFonts w:eastAsia="宋体"/>
      <w:b/>
      <w:bCs/>
      <w:kern w:val="2"/>
      <w:sz w:val="32"/>
      <w:szCs w:val="32"/>
      <w:lang w:val="en-US" w:eastAsia="zh-CN" w:bidi="ar-SA"/>
    </w:rPr>
  </w:style>
  <w:style w:type="paragraph" w:customStyle="1" w:styleId="97">
    <w:name w:val="Char"/>
    <w:basedOn w:val="1"/>
    <w:qFormat/>
    <w:uiPriority w:val="0"/>
    <w:pPr>
      <w:spacing w:line="240" w:lineRule="auto"/>
      <w:ind w:firstLine="0" w:firstLineChars="0"/>
    </w:pPr>
    <w:rPr>
      <w:rFonts w:ascii="Times New Roman" w:hAnsi="Times New Roman" w:eastAsia="宋体" w:cs="Times New Roman"/>
      <w:sz w:val="21"/>
      <w:szCs w:val="24"/>
    </w:rPr>
  </w:style>
  <w:style w:type="paragraph" w:customStyle="1" w:styleId="98">
    <w:name w:val="xl28"/>
    <w:basedOn w:val="99"/>
    <w:qFormat/>
    <w:uiPriority w:val="0"/>
    <w:pPr>
      <w:jc w:val="center"/>
      <w:textAlignment w:val="auto"/>
    </w:pPr>
    <w:rPr>
      <w:rFonts w:ascii="宋体" w:hAnsi="宋体"/>
    </w:rPr>
  </w:style>
  <w:style w:type="paragraph" w:customStyle="1" w:styleId="99">
    <w:name w:val="style0"/>
    <w:basedOn w:val="1"/>
    <w:qFormat/>
    <w:uiPriority w:val="0"/>
    <w:pPr>
      <w:widowControl/>
      <w:spacing w:before="100" w:beforeAutospacing="1" w:after="100" w:afterAutospacing="1" w:line="240" w:lineRule="auto"/>
      <w:ind w:firstLine="0" w:firstLineChars="0"/>
      <w:jc w:val="left"/>
      <w:textAlignment w:val="bottom"/>
    </w:pPr>
    <w:rPr>
      <w:rFonts w:ascii="Times New Roman" w:hAnsi="Times New Roman" w:eastAsia="宋体" w:cs="Times New Roman"/>
      <w:kern w:val="0"/>
      <w:sz w:val="24"/>
      <w:szCs w:val="24"/>
    </w:rPr>
  </w:style>
  <w:style w:type="paragraph" w:customStyle="1" w:styleId="100">
    <w:name w:val="xl29"/>
    <w:basedOn w:val="99"/>
    <w:qFormat/>
    <w:uiPriority w:val="0"/>
    <w:pPr>
      <w:jc w:val="center"/>
      <w:textAlignment w:val="center"/>
    </w:pPr>
    <w:rPr>
      <w:rFonts w:ascii="宋体" w:hAnsi="宋体"/>
      <w:b/>
      <w:bCs/>
      <w:sz w:val="28"/>
      <w:szCs w:val="28"/>
    </w:rPr>
  </w:style>
  <w:style w:type="paragraph" w:customStyle="1" w:styleId="101">
    <w:name w:val="font1"/>
    <w:basedOn w:val="1"/>
    <w:qFormat/>
    <w:uiPriority w:val="0"/>
    <w:pPr>
      <w:widowControl/>
      <w:spacing w:before="100" w:beforeAutospacing="1" w:after="100" w:afterAutospacing="1" w:line="240" w:lineRule="auto"/>
      <w:ind w:firstLine="0" w:firstLineChars="0"/>
      <w:jc w:val="left"/>
    </w:pPr>
    <w:rPr>
      <w:rFonts w:hint="eastAsia" w:ascii="宋体" w:hAnsi="宋体" w:eastAsia="宋体" w:cs="Times New Roman"/>
      <w:kern w:val="0"/>
      <w:sz w:val="24"/>
      <w:szCs w:val="24"/>
    </w:rPr>
  </w:style>
  <w:style w:type="paragraph" w:customStyle="1" w:styleId="102">
    <w:name w:val="font5"/>
    <w:basedOn w:val="1"/>
    <w:qFormat/>
    <w:uiPriority w:val="0"/>
    <w:pPr>
      <w:widowControl/>
      <w:spacing w:before="100" w:beforeAutospacing="1" w:after="100" w:afterAutospacing="1" w:line="240" w:lineRule="auto"/>
      <w:ind w:firstLine="0" w:firstLineChars="0"/>
      <w:jc w:val="left"/>
    </w:pPr>
    <w:rPr>
      <w:rFonts w:hint="eastAsia" w:ascii="黑体" w:hAnsi="宋体" w:eastAsia="黑体" w:cs="Times New Roman"/>
      <w:kern w:val="0"/>
      <w:sz w:val="32"/>
      <w:szCs w:val="32"/>
    </w:rPr>
  </w:style>
  <w:style w:type="paragraph" w:customStyle="1" w:styleId="103">
    <w:name w:val="font6"/>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cs="Times New Roman"/>
      <w:kern w:val="0"/>
      <w:sz w:val="32"/>
      <w:szCs w:val="32"/>
    </w:rPr>
  </w:style>
  <w:style w:type="paragraph" w:customStyle="1" w:styleId="104">
    <w:name w:val="font7"/>
    <w:basedOn w:val="1"/>
    <w:qFormat/>
    <w:uiPriority w:val="0"/>
    <w:pPr>
      <w:widowControl/>
      <w:spacing w:before="100" w:beforeAutospacing="1" w:after="100" w:afterAutospacing="1" w:line="240" w:lineRule="auto"/>
      <w:ind w:firstLine="0" w:firstLineChars="0"/>
      <w:jc w:val="left"/>
    </w:pPr>
    <w:rPr>
      <w:rFonts w:hint="eastAsia" w:ascii="宋体" w:hAnsi="宋体" w:eastAsia="宋体" w:cs="Times New Roman"/>
      <w:kern w:val="0"/>
      <w:sz w:val="18"/>
      <w:szCs w:val="18"/>
    </w:rPr>
  </w:style>
  <w:style w:type="paragraph" w:customStyle="1" w:styleId="105">
    <w:name w:val="font8"/>
    <w:basedOn w:val="1"/>
    <w:qFormat/>
    <w:uiPriority w:val="0"/>
    <w:pPr>
      <w:widowControl/>
      <w:spacing w:before="100" w:beforeAutospacing="1" w:after="100" w:afterAutospacing="1" w:line="240" w:lineRule="auto"/>
      <w:ind w:firstLine="0" w:firstLineChars="0"/>
      <w:jc w:val="left"/>
    </w:pPr>
    <w:rPr>
      <w:rFonts w:hint="eastAsia" w:ascii="黑体" w:hAnsi="宋体" w:eastAsia="黑体" w:cs="Times New Roman"/>
      <w:kern w:val="0"/>
      <w:sz w:val="20"/>
      <w:szCs w:val="20"/>
    </w:rPr>
  </w:style>
  <w:style w:type="paragraph" w:customStyle="1" w:styleId="106">
    <w:name w:val="font9"/>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cs="Times New Roman"/>
      <w:kern w:val="0"/>
      <w:sz w:val="20"/>
      <w:szCs w:val="20"/>
    </w:rPr>
  </w:style>
  <w:style w:type="paragraph" w:customStyle="1" w:styleId="107">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08">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09">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0">
    <w:name w:val="xl27"/>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1">
    <w:name w:val="xl30"/>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2">
    <w:name w:val="xl31"/>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3">
    <w:name w:val="xl32"/>
    <w:basedOn w:val="1"/>
    <w:qFormat/>
    <w:uiPriority w:val="0"/>
    <w:pPr>
      <w:widowControl/>
      <w:pBdr>
        <w:top w:val="single" w:color="auto" w:sz="4" w:space="0"/>
        <w:left w:val="single" w:color="auto" w:sz="4"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4">
    <w:name w:val="xl33"/>
    <w:basedOn w:val="1"/>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5">
    <w:name w:val="xl34"/>
    <w:basedOn w:val="1"/>
    <w:qFormat/>
    <w:uiPriority w:val="0"/>
    <w:pPr>
      <w:widowControl/>
      <w:pBdr>
        <w:top w:val="single" w:color="auto" w:sz="8"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6">
    <w:name w:val="xl35"/>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7">
    <w:name w:val="xl36"/>
    <w:basedOn w:val="1"/>
    <w:qFormat/>
    <w:uiPriority w:val="0"/>
    <w:pPr>
      <w:widowControl/>
      <w:pBdr>
        <w:top w:val="single" w:color="auto" w:sz="4" w:space="0"/>
        <w:lef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8">
    <w:name w:val="xl37"/>
    <w:basedOn w:val="1"/>
    <w:qFormat/>
    <w:uiPriority w:val="0"/>
    <w:pPr>
      <w:widowControl/>
      <w:pBdr>
        <w:top w:val="single" w:color="auto" w:sz="4" w:space="0"/>
        <w:left w:val="single" w:color="auto" w:sz="4" w:space="0"/>
        <w:bottom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9">
    <w:name w:val="xl38"/>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0">
    <w:name w:val="xl39"/>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ascii="Times New Roman" w:hAnsi="Times New Roman" w:eastAsia="宋体" w:cs="Times New Roman"/>
      <w:kern w:val="0"/>
      <w:sz w:val="20"/>
      <w:szCs w:val="20"/>
    </w:rPr>
  </w:style>
  <w:style w:type="paragraph" w:customStyle="1" w:styleId="121">
    <w:name w:val="xl40"/>
    <w:basedOn w:val="1"/>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2">
    <w:name w:val="xl41"/>
    <w:basedOn w:val="1"/>
    <w:qFormat/>
    <w:uiPriority w:val="0"/>
    <w:pPr>
      <w:widowControl/>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32"/>
      <w:szCs w:val="32"/>
    </w:rPr>
  </w:style>
  <w:style w:type="paragraph" w:customStyle="1" w:styleId="123">
    <w:name w:val="xl42"/>
    <w:basedOn w:val="1"/>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4">
    <w:name w:val="xl43"/>
    <w:basedOn w:val="1"/>
    <w:qFormat/>
    <w:uiPriority w:val="0"/>
    <w:pPr>
      <w:widowControl/>
      <w:pBdr>
        <w:top w:val="single" w:color="auto" w:sz="4" w:space="0"/>
        <w:left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5">
    <w:name w:val="xl44"/>
    <w:basedOn w:val="1"/>
    <w:qFormat/>
    <w:uiPriority w:val="0"/>
    <w:pPr>
      <w:widowControl/>
      <w:pBdr>
        <w:left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4"/>
      <w:szCs w:val="24"/>
    </w:rPr>
  </w:style>
  <w:style w:type="paragraph" w:customStyle="1" w:styleId="126">
    <w:name w:val="xl45"/>
    <w:basedOn w:val="1"/>
    <w:qFormat/>
    <w:uiPriority w:val="0"/>
    <w:pPr>
      <w:widowControl/>
      <w:pBdr>
        <w:left w:val="single" w:color="auto" w:sz="8" w:space="0"/>
        <w:bottom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4"/>
      <w:szCs w:val="24"/>
    </w:rPr>
  </w:style>
  <w:style w:type="paragraph" w:customStyle="1" w:styleId="127">
    <w:name w:val="xl46"/>
    <w:basedOn w:val="1"/>
    <w:qFormat/>
    <w:uiPriority w:val="0"/>
    <w:pPr>
      <w:widowControl/>
      <w:pBdr>
        <w:top w:val="single" w:color="auto" w:sz="4" w:space="0"/>
        <w:left w:val="single" w:color="auto" w:sz="8"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8">
    <w:name w:val="xl47"/>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Times New Roman"/>
      <w:kern w:val="0"/>
      <w:sz w:val="24"/>
      <w:szCs w:val="24"/>
    </w:rPr>
  </w:style>
  <w:style w:type="paragraph" w:customStyle="1" w:styleId="129">
    <w:name w:val="xl48"/>
    <w:basedOn w:val="1"/>
    <w:qFormat/>
    <w:uiPriority w:val="0"/>
    <w:pPr>
      <w:widowControl/>
      <w:pBdr>
        <w:left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30">
    <w:name w:val="xl49"/>
    <w:basedOn w:val="1"/>
    <w:qFormat/>
    <w:uiPriority w:val="0"/>
    <w:pPr>
      <w:widowControl/>
      <w:pBdr>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31">
    <w:name w:val="xl50"/>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32">
    <w:name w:val="xl51"/>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4"/>
      <w:szCs w:val="24"/>
    </w:rPr>
  </w:style>
  <w:style w:type="character" w:customStyle="1" w:styleId="133">
    <w:name w:val="正文文本缩进 2 字符"/>
    <w:basedOn w:val="41"/>
    <w:link w:val="21"/>
    <w:qFormat/>
    <w:uiPriority w:val="0"/>
    <w:rPr>
      <w:rFonts w:ascii="Times New Roman" w:hAnsi="Times New Roman" w:eastAsia="宋体" w:cs="Times New Roman"/>
      <w:sz w:val="28"/>
      <w:szCs w:val="24"/>
    </w:rPr>
  </w:style>
  <w:style w:type="paragraph" w:customStyle="1" w:styleId="134">
    <w:name w:val="节标题"/>
    <w:basedOn w:val="1"/>
    <w:next w:val="1"/>
    <w:qFormat/>
    <w:uiPriority w:val="0"/>
    <w:pPr>
      <w:widowControl/>
      <w:spacing w:line="289" w:lineRule="atLeast"/>
      <w:ind w:firstLine="0" w:firstLineChars="0"/>
      <w:jc w:val="center"/>
      <w:textAlignment w:val="baseline"/>
    </w:pPr>
    <w:rPr>
      <w:rFonts w:ascii="Times New Roman" w:hAnsi="Times New Roman" w:eastAsia="宋体" w:cs="Times New Roman"/>
      <w:color w:val="000000"/>
      <w:kern w:val="0"/>
      <w:szCs w:val="20"/>
      <w:u w:color="000000"/>
    </w:rPr>
  </w:style>
  <w:style w:type="character" w:customStyle="1" w:styleId="135">
    <w:name w:val="正文文本缩进 3 字符"/>
    <w:basedOn w:val="41"/>
    <w:link w:val="29"/>
    <w:qFormat/>
    <w:uiPriority w:val="0"/>
    <w:rPr>
      <w:rFonts w:ascii="宋体" w:hAnsi="宋体" w:eastAsia="宋体" w:cs="Times New Roman"/>
      <w:snapToGrid w:val="0"/>
      <w:w w:val="90"/>
      <w:kern w:val="0"/>
      <w:sz w:val="30"/>
      <w:szCs w:val="24"/>
    </w:rPr>
  </w:style>
  <w:style w:type="paragraph" w:customStyle="1" w:styleId="136">
    <w:name w:val="font0"/>
    <w:basedOn w:val="1"/>
    <w:qFormat/>
    <w:uiPriority w:val="0"/>
    <w:pPr>
      <w:widowControl/>
      <w:spacing w:before="100" w:beforeAutospacing="1" w:after="100" w:afterAutospacing="1" w:line="240" w:lineRule="auto"/>
      <w:ind w:firstLine="0" w:firstLineChars="0"/>
      <w:jc w:val="left"/>
    </w:pPr>
    <w:rPr>
      <w:rFonts w:hint="eastAsia" w:ascii="宋体" w:hAnsi="宋体" w:eastAsia="宋体" w:cs="Times New Roman"/>
      <w:kern w:val="0"/>
      <w:sz w:val="24"/>
      <w:szCs w:val="24"/>
    </w:rPr>
  </w:style>
  <w:style w:type="character" w:customStyle="1" w:styleId="137">
    <w:name w:val="style181"/>
    <w:qFormat/>
    <w:uiPriority w:val="0"/>
    <w:rPr>
      <w:color w:val="632203"/>
      <w:sz w:val="28"/>
      <w:szCs w:val="28"/>
    </w:rPr>
  </w:style>
  <w:style w:type="paragraph" w:customStyle="1" w:styleId="138">
    <w:name w:val="Char1"/>
    <w:basedOn w:val="1"/>
    <w:qFormat/>
    <w:uiPriority w:val="0"/>
    <w:pPr>
      <w:spacing w:beforeLines="50" w:afterLines="50" w:line="240" w:lineRule="auto"/>
      <w:ind w:firstLine="200"/>
    </w:pPr>
    <w:rPr>
      <w:rFonts w:ascii="宋体" w:hAnsi="宋体" w:eastAsia="宋体" w:cs="Courier New"/>
      <w:spacing w:val="-2"/>
      <w:sz w:val="22"/>
      <w:szCs w:val="32"/>
    </w:rPr>
  </w:style>
  <w:style w:type="paragraph" w:customStyle="1" w:styleId="139">
    <w:name w:val="样式 首行缩进:  2 字符"/>
    <w:basedOn w:val="1"/>
    <w:qFormat/>
    <w:uiPriority w:val="0"/>
    <w:pPr>
      <w:numPr>
        <w:ilvl w:val="2"/>
        <w:numId w:val="3"/>
      </w:numPr>
      <w:tabs>
        <w:tab w:val="clear" w:pos="709"/>
      </w:tabs>
      <w:spacing w:line="240" w:lineRule="auto"/>
      <w:ind w:left="0" w:firstLine="560"/>
    </w:pPr>
    <w:rPr>
      <w:rFonts w:ascii="Times New Roman" w:hAnsi="Times New Roman" w:eastAsia="宋体" w:cs="宋体"/>
      <w:szCs w:val="20"/>
    </w:rPr>
  </w:style>
  <w:style w:type="paragraph" w:customStyle="1" w:styleId="140">
    <w:name w:val="样式 标题 3 + 段后: 0.5 行"/>
    <w:basedOn w:val="4"/>
    <w:qFormat/>
    <w:uiPriority w:val="0"/>
    <w:pPr>
      <w:keepNext/>
      <w:keepLines/>
      <w:numPr>
        <w:numId w:val="0"/>
      </w:numPr>
      <w:tabs>
        <w:tab w:val="left" w:pos="709"/>
      </w:tabs>
      <w:spacing w:before="260" w:afterLines="50"/>
      <w:ind w:left="709" w:hanging="709" w:firstLineChars="101"/>
    </w:pPr>
    <w:rPr>
      <w:rFonts w:ascii="Times New Roman" w:hAnsi="Times New Roman" w:eastAsia="华文细黑" w:cs="宋体"/>
      <w:b/>
      <w:bCs/>
      <w:sz w:val="30"/>
      <w:szCs w:val="20"/>
    </w:rPr>
  </w:style>
  <w:style w:type="paragraph" w:customStyle="1" w:styleId="141">
    <w:name w:val="xl52"/>
    <w:basedOn w:val="1"/>
    <w:qFormat/>
    <w:uiPriority w:val="0"/>
    <w:pPr>
      <w:widowControl/>
      <w:pBdr>
        <w:top w:val="single" w:color="008080"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hAnsi="宋体" w:cs="宋体"/>
      <w:kern w:val="0"/>
      <w:sz w:val="16"/>
      <w:szCs w:val="16"/>
    </w:rPr>
  </w:style>
  <w:style w:type="paragraph" w:customStyle="1" w:styleId="142">
    <w:name w:val="xl53"/>
    <w:basedOn w:val="1"/>
    <w:qFormat/>
    <w:uiPriority w:val="0"/>
    <w:pPr>
      <w:widowControl/>
      <w:pBdr>
        <w:top w:val="single" w:color="auto" w:sz="4" w:space="0"/>
        <w:left w:val="single" w:color="008080" w:sz="8"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hAnsi="宋体" w:cs="宋体"/>
      <w:kern w:val="0"/>
      <w:sz w:val="16"/>
      <w:szCs w:val="16"/>
    </w:rPr>
  </w:style>
  <w:style w:type="paragraph" w:customStyle="1" w:styleId="14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hAnsi="宋体" w:cs="宋体"/>
      <w:kern w:val="0"/>
      <w:sz w:val="16"/>
      <w:szCs w:val="16"/>
    </w:rPr>
  </w:style>
  <w:style w:type="paragraph" w:customStyle="1" w:styleId="144">
    <w:name w:val="xl55"/>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5">
    <w:name w:val="xl56"/>
    <w:basedOn w:val="1"/>
    <w:qFormat/>
    <w:uiPriority w:val="0"/>
    <w:pPr>
      <w:widowControl/>
      <w:pBdr>
        <w:top w:val="single" w:color="008080"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6">
    <w:name w:val="xl57"/>
    <w:basedOn w:val="1"/>
    <w:qFormat/>
    <w:uiPriority w:val="0"/>
    <w:pPr>
      <w:widowControl/>
      <w:pBdr>
        <w:top w:val="single" w:color="008080"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7">
    <w:name w:val="xl58"/>
    <w:basedOn w:val="1"/>
    <w:qFormat/>
    <w:uiPriority w:val="0"/>
    <w:pPr>
      <w:widowControl/>
      <w:pBdr>
        <w:top w:val="single" w:color="008080" w:sz="8" w:space="0"/>
        <w:left w:val="single" w:color="auto" w:sz="4" w:space="0"/>
        <w:bottom w:val="single" w:color="auto" w:sz="4" w:space="0"/>
        <w:right w:val="single" w:color="008080" w:sz="8"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8">
    <w:name w:val="xl59"/>
    <w:basedOn w:val="1"/>
    <w:qFormat/>
    <w:uiPriority w:val="0"/>
    <w:pPr>
      <w:widowControl/>
      <w:spacing w:before="100" w:beforeAutospacing="1" w:after="100" w:afterAutospacing="1" w:line="240" w:lineRule="auto"/>
      <w:ind w:firstLine="0" w:firstLineChars="0"/>
      <w:jc w:val="center"/>
      <w:textAlignment w:val="center"/>
    </w:pPr>
    <w:rPr>
      <w:rFonts w:hAnsi="宋体" w:cs="宋体"/>
      <w:b/>
      <w:bCs/>
      <w:kern w:val="0"/>
      <w:sz w:val="32"/>
      <w:szCs w:val="32"/>
    </w:rPr>
  </w:style>
  <w:style w:type="character" w:customStyle="1" w:styleId="149">
    <w:name w:val="t11"/>
    <w:qFormat/>
    <w:uiPriority w:val="0"/>
    <w:rPr>
      <w:sz w:val="21"/>
      <w:szCs w:val="21"/>
    </w:rPr>
  </w:style>
  <w:style w:type="paragraph" w:customStyle="1" w:styleId="150">
    <w:name w:val="表格"/>
    <w:basedOn w:val="1"/>
    <w:link w:val="208"/>
    <w:qFormat/>
    <w:uiPriority w:val="0"/>
    <w:pPr>
      <w:adjustRightInd w:val="0"/>
      <w:snapToGrid w:val="0"/>
      <w:spacing w:before="120" w:line="240" w:lineRule="auto"/>
      <w:ind w:firstLine="0" w:firstLineChars="0"/>
      <w:jc w:val="center"/>
      <w:textAlignment w:val="baseline"/>
    </w:pPr>
    <w:rPr>
      <w:rFonts w:ascii="Times New Roman" w:hAnsi="Times New Roman" w:eastAsia="宋体" w:cs="Times New Roman"/>
      <w:kern w:val="0"/>
      <w:sz w:val="21"/>
      <w:szCs w:val="20"/>
    </w:rPr>
  </w:style>
  <w:style w:type="paragraph" w:customStyle="1" w:styleId="151">
    <w:name w:val="样式 行距: 固定值 18 磅 首行缩进:  2 字符"/>
    <w:basedOn w:val="1"/>
    <w:qFormat/>
    <w:uiPriority w:val="0"/>
    <w:pPr>
      <w:ind w:firstLine="420"/>
    </w:pPr>
    <w:rPr>
      <w:rFonts w:ascii="Times New Roman" w:hAnsi="Times New Roman" w:eastAsia="宋体" w:cs="Times New Roman"/>
      <w:sz w:val="24"/>
      <w:szCs w:val="20"/>
    </w:rPr>
  </w:style>
  <w:style w:type="character" w:customStyle="1" w:styleId="152">
    <w:name w:val="样式 (西文) ˎ̥ 四号"/>
    <w:qFormat/>
    <w:uiPriority w:val="0"/>
    <w:rPr>
      <w:rFonts w:ascii="ˎ̥" w:hAnsi="ˎ̥"/>
      <w:kern w:val="0"/>
      <w:sz w:val="24"/>
    </w:rPr>
  </w:style>
  <w:style w:type="paragraph" w:customStyle="1" w:styleId="153">
    <w:name w:val="Char Char Char Char Char Char Char Char Char Char"/>
    <w:basedOn w:val="1"/>
    <w:qFormat/>
    <w:uiPriority w:val="0"/>
    <w:pPr>
      <w:spacing w:beforeLines="50" w:afterLines="50" w:line="240" w:lineRule="auto"/>
      <w:ind w:firstLine="200"/>
    </w:pPr>
    <w:rPr>
      <w:rFonts w:ascii="宋体" w:hAnsi="宋体" w:eastAsia="宋体" w:cs="Courier New"/>
      <w:spacing w:val="-2"/>
      <w:sz w:val="22"/>
      <w:szCs w:val="32"/>
    </w:rPr>
  </w:style>
  <w:style w:type="paragraph" w:customStyle="1" w:styleId="154">
    <w:name w:val="文章"/>
    <w:basedOn w:val="10"/>
    <w:qFormat/>
    <w:uiPriority w:val="0"/>
    <w:pPr>
      <w:snapToGrid w:val="0"/>
      <w:spacing w:beforeLines="20" w:afterLines="20"/>
      <w:ind w:firstLine="520" w:firstLineChars="200"/>
      <w:textAlignment w:val="auto"/>
    </w:pPr>
    <w:rPr>
      <w:rFonts w:ascii="Garamond" w:hAnsi="Garamond"/>
      <w:kern w:val="2"/>
      <w:sz w:val="26"/>
      <w:szCs w:val="24"/>
    </w:rPr>
  </w:style>
  <w:style w:type="paragraph" w:customStyle="1" w:styleId="155">
    <w:name w:val="样式 标题 2 + 宋体 四号 加粗"/>
    <w:basedOn w:val="3"/>
    <w:qFormat/>
    <w:uiPriority w:val="0"/>
    <w:pPr>
      <w:keepNext/>
      <w:keepLines/>
      <w:numPr>
        <w:ilvl w:val="0"/>
        <w:numId w:val="0"/>
      </w:numPr>
      <w:tabs>
        <w:tab w:val="left" w:pos="1145"/>
      </w:tabs>
      <w:spacing w:before="260" w:after="260" w:line="120" w:lineRule="auto"/>
      <w:ind w:left="992" w:hanging="567"/>
    </w:pPr>
    <w:rPr>
      <w:rFonts w:ascii="宋体" w:hAnsi="宋体" w:eastAsia="宋体" w:cs="Times New Roman"/>
      <w:bCs/>
      <w:szCs w:val="30"/>
    </w:rPr>
  </w:style>
  <w:style w:type="paragraph" w:customStyle="1" w:styleId="156">
    <w:name w:val="正文 lsp"/>
    <w:basedOn w:val="1"/>
    <w:qFormat/>
    <w:uiPriority w:val="0"/>
    <w:pPr>
      <w:ind w:firstLine="480"/>
    </w:pPr>
    <w:rPr>
      <w:rFonts w:ascii="宋体" w:hAnsi="Times New Roman" w:eastAsia="宋体" w:cs="Times New Roman"/>
      <w:sz w:val="24"/>
      <w:szCs w:val="24"/>
    </w:rPr>
  </w:style>
  <w:style w:type="paragraph" w:customStyle="1" w:styleId="157">
    <w:name w:val="样式 样式 标题 1 + 左侧:  1 字符 右侧:  1 字符1 + 左侧:  1 字符 右侧:  1 字符"/>
    <w:basedOn w:val="1"/>
    <w:qFormat/>
    <w:uiPriority w:val="0"/>
    <w:pPr>
      <w:keepNext/>
      <w:pageBreakBefore/>
      <w:spacing w:before="220" w:after="210" w:line="120" w:lineRule="auto"/>
      <w:ind w:left="100" w:leftChars="100" w:right="100" w:rightChars="100" w:firstLine="0" w:firstLineChars="0"/>
      <w:jc w:val="center"/>
      <w:outlineLvl w:val="0"/>
    </w:pPr>
    <w:rPr>
      <w:rFonts w:ascii="Times New Roman" w:hAnsi="Times New Roman" w:eastAsia="黑体" w:cs="宋体"/>
      <w:kern w:val="44"/>
      <w:sz w:val="30"/>
      <w:szCs w:val="20"/>
    </w:rPr>
  </w:style>
  <w:style w:type="paragraph" w:customStyle="1" w:styleId="158">
    <w:name w:val="Char Char Char Char"/>
    <w:basedOn w:val="1"/>
    <w:qFormat/>
    <w:uiPriority w:val="0"/>
    <w:pPr>
      <w:spacing w:beforeLines="50" w:afterLines="50" w:line="240" w:lineRule="auto"/>
      <w:ind w:firstLine="200"/>
    </w:pPr>
    <w:rPr>
      <w:rFonts w:ascii="宋体" w:hAnsi="宋体" w:eastAsia="宋体" w:cs="Courier New"/>
      <w:spacing w:val="-2"/>
      <w:sz w:val="22"/>
      <w:szCs w:val="32"/>
    </w:rPr>
  </w:style>
  <w:style w:type="character" w:customStyle="1" w:styleId="159">
    <w:name w:val="正文文本 2 字符"/>
    <w:basedOn w:val="41"/>
    <w:link w:val="32"/>
    <w:qFormat/>
    <w:uiPriority w:val="0"/>
    <w:rPr>
      <w:rFonts w:ascii="Times New Roman" w:hAnsi="Times New Roman" w:eastAsia="宋体" w:cs="Times New Roman"/>
      <w:szCs w:val="24"/>
    </w:rPr>
  </w:style>
  <w:style w:type="paragraph" w:customStyle="1" w:styleId="160">
    <w:name w:val="表头"/>
    <w:basedOn w:val="11"/>
    <w:next w:val="150"/>
    <w:link w:val="161"/>
    <w:qFormat/>
    <w:uiPriority w:val="0"/>
    <w:pPr>
      <w:spacing w:after="0" w:line="520" w:lineRule="exact"/>
      <w:ind w:left="930"/>
    </w:pPr>
    <w:rPr>
      <w:rFonts w:ascii="Arial" w:hAnsi="Arial" w:cs="Times New Roman"/>
      <w:color w:val="000000"/>
      <w:sz w:val="24"/>
      <w:szCs w:val="24"/>
    </w:rPr>
  </w:style>
  <w:style w:type="character" w:customStyle="1" w:styleId="161">
    <w:name w:val="表头 Char"/>
    <w:link w:val="160"/>
    <w:qFormat/>
    <w:uiPriority w:val="0"/>
    <w:rPr>
      <w:rFonts w:ascii="Arial" w:hAnsi="Arial" w:eastAsia="宋体" w:cs="Times New Roman"/>
      <w:b/>
      <w:color w:val="000000"/>
      <w:sz w:val="24"/>
      <w:szCs w:val="24"/>
    </w:rPr>
  </w:style>
  <w:style w:type="paragraph" w:customStyle="1" w:styleId="162">
    <w:name w:val="写报告的样式一"/>
    <w:basedOn w:val="10"/>
    <w:link w:val="163"/>
    <w:qFormat/>
    <w:uiPriority w:val="0"/>
    <w:pPr>
      <w:adjustRightInd/>
      <w:ind w:firstLine="420"/>
      <w:textAlignment w:val="auto"/>
    </w:pPr>
    <w:rPr>
      <w:rFonts w:ascii="宋体" w:hAnsi="宋体"/>
      <w:color w:val="000000"/>
      <w:kern w:val="2"/>
      <w:szCs w:val="28"/>
    </w:rPr>
  </w:style>
  <w:style w:type="character" w:customStyle="1" w:styleId="163">
    <w:name w:val="写报告的样式一 Char"/>
    <w:link w:val="162"/>
    <w:qFormat/>
    <w:uiPriority w:val="0"/>
    <w:rPr>
      <w:rFonts w:ascii="宋体" w:hAnsi="宋体" w:eastAsia="宋体" w:cs="Times New Roman"/>
      <w:color w:val="000000"/>
      <w:sz w:val="28"/>
      <w:szCs w:val="28"/>
    </w:rPr>
  </w:style>
  <w:style w:type="character" w:customStyle="1" w:styleId="164">
    <w:name w:val="zhengwen Char"/>
    <w:link w:val="165"/>
    <w:qFormat/>
    <w:uiPriority w:val="0"/>
    <w:rPr>
      <w:rFonts w:eastAsia="仿宋_GB2312"/>
      <w:spacing w:val="4"/>
      <w:sz w:val="28"/>
      <w:szCs w:val="28"/>
    </w:rPr>
  </w:style>
  <w:style w:type="paragraph" w:customStyle="1" w:styleId="165">
    <w:name w:val="zhengwen"/>
    <w:basedOn w:val="1"/>
    <w:link w:val="164"/>
    <w:qFormat/>
    <w:uiPriority w:val="0"/>
    <w:pPr>
      <w:spacing w:line="500" w:lineRule="exact"/>
      <w:ind w:firstLine="576"/>
    </w:pPr>
    <w:rPr>
      <w:rFonts w:asciiTheme="minorHAnsi"/>
      <w:spacing w:val="4"/>
    </w:rPr>
  </w:style>
  <w:style w:type="paragraph" w:customStyle="1" w:styleId="166">
    <w:name w:val="标4"/>
    <w:basedOn w:val="1"/>
    <w:qFormat/>
    <w:uiPriority w:val="0"/>
    <w:pPr>
      <w:spacing w:line="500" w:lineRule="exact"/>
      <w:ind w:firstLine="200"/>
    </w:pPr>
    <w:rPr>
      <w:rFonts w:ascii="Times New Roman" w:hAnsi="Times New Roman" w:eastAsia="宋体" w:cs="宋体"/>
      <w:szCs w:val="20"/>
    </w:rPr>
  </w:style>
  <w:style w:type="character" w:customStyle="1" w:styleId="167">
    <w:name w:val="表内 Char"/>
    <w:link w:val="168"/>
    <w:qFormat/>
    <w:uiPriority w:val="0"/>
    <w:rPr>
      <w:rFonts w:ascii="仿宋_GB2312" w:eastAsia="仿宋_GB2312"/>
      <w:spacing w:val="-16"/>
      <w:sz w:val="24"/>
      <w:szCs w:val="24"/>
    </w:rPr>
  </w:style>
  <w:style w:type="paragraph" w:customStyle="1" w:styleId="168">
    <w:name w:val="表内"/>
    <w:basedOn w:val="1"/>
    <w:link w:val="167"/>
    <w:qFormat/>
    <w:uiPriority w:val="0"/>
    <w:pPr>
      <w:spacing w:line="240" w:lineRule="exact"/>
      <w:ind w:firstLine="0" w:firstLineChars="0"/>
      <w:jc w:val="center"/>
    </w:pPr>
    <w:rPr>
      <w:spacing w:val="-16"/>
      <w:sz w:val="24"/>
      <w:szCs w:val="24"/>
    </w:rPr>
  </w:style>
  <w:style w:type="character" w:customStyle="1" w:styleId="169">
    <w:name w:val="批注文字 Char1"/>
    <w:qFormat/>
    <w:uiPriority w:val="0"/>
    <w:rPr>
      <w:kern w:val="2"/>
      <w:sz w:val="21"/>
      <w:szCs w:val="24"/>
    </w:rPr>
  </w:style>
  <w:style w:type="character" w:customStyle="1" w:styleId="170">
    <w:name w:val="批注主题 Char1"/>
    <w:qFormat/>
    <w:uiPriority w:val="0"/>
    <w:rPr>
      <w:b/>
      <w:bCs/>
      <w:kern w:val="2"/>
      <w:sz w:val="21"/>
      <w:szCs w:val="24"/>
    </w:rPr>
  </w:style>
  <w:style w:type="character" w:customStyle="1" w:styleId="171">
    <w:name w:val="表底 Char"/>
    <w:link w:val="172"/>
    <w:qFormat/>
    <w:uiPriority w:val="0"/>
    <w:rPr>
      <w:rFonts w:hAnsi="宋体"/>
      <w:color w:val="000000"/>
      <w:sz w:val="24"/>
      <w:szCs w:val="24"/>
    </w:rPr>
  </w:style>
  <w:style w:type="paragraph" w:customStyle="1" w:styleId="172">
    <w:name w:val="表底"/>
    <w:basedOn w:val="1"/>
    <w:link w:val="171"/>
    <w:qFormat/>
    <w:uiPriority w:val="0"/>
    <w:pPr>
      <w:spacing w:afterLines="100" w:line="240" w:lineRule="exact"/>
      <w:ind w:left="17" w:firstLine="480"/>
    </w:pPr>
    <w:rPr>
      <w:rFonts w:hAnsi="宋体" w:asciiTheme="minorHAnsi" w:eastAsiaTheme="minorEastAsia"/>
      <w:color w:val="000000"/>
      <w:sz w:val="24"/>
      <w:szCs w:val="24"/>
    </w:rPr>
  </w:style>
  <w:style w:type="paragraph" w:customStyle="1" w:styleId="173">
    <w:name w:val="p17"/>
    <w:basedOn w:val="1"/>
    <w:qFormat/>
    <w:uiPriority w:val="0"/>
    <w:pPr>
      <w:widowControl/>
      <w:spacing w:line="480" w:lineRule="atLeast"/>
      <w:ind w:firstLine="0" w:firstLineChars="0"/>
      <w:jc w:val="center"/>
    </w:pPr>
    <w:rPr>
      <w:rFonts w:ascii="Times New Roman" w:hAnsi="Times New Roman" w:eastAsia="宋体" w:cs="Times New Roman"/>
      <w:kern w:val="0"/>
    </w:rPr>
  </w:style>
  <w:style w:type="paragraph" w:customStyle="1" w:styleId="174">
    <w:name w:val="p22"/>
    <w:basedOn w:val="1"/>
    <w:qFormat/>
    <w:uiPriority w:val="0"/>
    <w:pPr>
      <w:widowControl/>
      <w:spacing w:line="500" w:lineRule="atLeast"/>
      <w:ind w:firstLine="420" w:firstLineChars="0"/>
    </w:pPr>
    <w:rPr>
      <w:rFonts w:ascii="Times New Roman" w:hAnsi="Times New Roman" w:eastAsia="宋体" w:cs="Times New Roman"/>
      <w:kern w:val="0"/>
    </w:rPr>
  </w:style>
  <w:style w:type="paragraph" w:customStyle="1" w:styleId="175">
    <w:name w:val="p19"/>
    <w:basedOn w:val="1"/>
    <w:qFormat/>
    <w:uiPriority w:val="0"/>
    <w:pPr>
      <w:widowControl/>
      <w:spacing w:line="500" w:lineRule="atLeast"/>
      <w:ind w:firstLine="420" w:firstLineChars="0"/>
    </w:pPr>
    <w:rPr>
      <w:rFonts w:ascii="Times New Roman" w:hAnsi="Times New Roman" w:eastAsia="宋体" w:cs="Times New Roman"/>
      <w:spacing w:val="4"/>
      <w:kern w:val="0"/>
    </w:rPr>
  </w:style>
  <w:style w:type="paragraph" w:customStyle="1" w:styleId="176">
    <w:name w:val="样式 标题 3 + (西文) 仿宋_GB2312 (中文) 仿宋_GB2312"/>
    <w:basedOn w:val="4"/>
    <w:qFormat/>
    <w:uiPriority w:val="0"/>
    <w:pPr>
      <w:keepNext/>
      <w:keepLines/>
      <w:numPr>
        <w:ilvl w:val="0"/>
        <w:numId w:val="0"/>
      </w:numPr>
      <w:ind w:firstLine="200" w:firstLineChars="200"/>
      <w:jc w:val="left"/>
    </w:pPr>
    <w:rPr>
      <w:rFonts w:hAnsi="仿宋_GB2312" w:cs="Times New Roman"/>
      <w:b/>
      <w:bCs/>
      <w:szCs w:val="32"/>
    </w:rPr>
  </w:style>
  <w:style w:type="paragraph" w:customStyle="1" w:styleId="177">
    <w:name w:val="表文"/>
    <w:basedOn w:val="1"/>
    <w:qFormat/>
    <w:uiPriority w:val="0"/>
    <w:pPr>
      <w:spacing w:line="380" w:lineRule="exact"/>
      <w:ind w:firstLine="0" w:firstLineChars="0"/>
      <w:jc w:val="center"/>
    </w:pPr>
    <w:rPr>
      <w:rFonts w:ascii="Times New Roman" w:hAnsi="Times New Roman" w:eastAsia="宋体" w:cs="Times New Roman"/>
      <w:bCs/>
      <w:sz w:val="21"/>
      <w:szCs w:val="24"/>
    </w:rPr>
  </w:style>
  <w:style w:type="paragraph" w:customStyle="1" w:styleId="178">
    <w:name w:val="正文1"/>
    <w:basedOn w:val="1"/>
    <w:qFormat/>
    <w:uiPriority w:val="0"/>
    <w:pPr>
      <w:spacing w:line="500" w:lineRule="exact"/>
      <w:ind w:firstLine="200"/>
    </w:pPr>
    <w:rPr>
      <w:rFonts w:ascii="Times New Roman" w:hAnsi="Times New Roman" w:cs="宋体"/>
      <w:snapToGrid w:val="0"/>
      <w:kern w:val="28"/>
      <w:szCs w:val="20"/>
    </w:rPr>
  </w:style>
  <w:style w:type="paragraph" w:customStyle="1" w:styleId="179">
    <w:name w:val="p18"/>
    <w:basedOn w:val="1"/>
    <w:qFormat/>
    <w:uiPriority w:val="0"/>
    <w:pPr>
      <w:widowControl/>
      <w:spacing w:line="240" w:lineRule="atLeast"/>
      <w:ind w:firstLine="0" w:firstLineChars="0"/>
      <w:jc w:val="center"/>
    </w:pPr>
    <w:rPr>
      <w:rFonts w:hAnsi="宋体" w:cs="宋体"/>
      <w:spacing w:val="-16"/>
      <w:kern w:val="0"/>
      <w:sz w:val="24"/>
      <w:szCs w:val="24"/>
    </w:rPr>
  </w:style>
  <w:style w:type="paragraph" w:customStyle="1" w:styleId="180">
    <w:name w:val="样式 (符号) 宋体 居中 行距: 1.5 倍行距"/>
    <w:basedOn w:val="1"/>
    <w:qFormat/>
    <w:uiPriority w:val="0"/>
    <w:pPr>
      <w:ind w:firstLine="0" w:firstLineChars="0"/>
      <w:jc w:val="center"/>
    </w:pPr>
    <w:rPr>
      <w:rFonts w:ascii="Times New Roman" w:hAnsi="宋体" w:cs="宋体"/>
      <w:sz w:val="21"/>
      <w:szCs w:val="20"/>
    </w:rPr>
  </w:style>
  <w:style w:type="paragraph" w:customStyle="1" w:styleId="181">
    <w:name w:val="普通文字1"/>
    <w:basedOn w:val="18"/>
    <w:qFormat/>
    <w:uiPriority w:val="0"/>
    <w:pPr>
      <w:ind w:firstLine="560" w:firstLineChars="200"/>
    </w:pPr>
    <w:rPr>
      <w:rFonts w:hAnsi="宋体"/>
      <w:snapToGrid w:val="0"/>
      <w:kern w:val="10"/>
      <w:sz w:val="28"/>
    </w:rPr>
  </w:style>
  <w:style w:type="paragraph" w:customStyle="1" w:styleId="182">
    <w:name w:val="p0"/>
    <w:basedOn w:val="1"/>
    <w:qFormat/>
    <w:uiPriority w:val="0"/>
    <w:pPr>
      <w:widowControl/>
      <w:spacing w:line="240" w:lineRule="auto"/>
      <w:ind w:firstLine="0" w:firstLineChars="0"/>
    </w:pPr>
    <w:rPr>
      <w:rFonts w:ascii="Times New Roman" w:hAnsi="Times New Roman" w:eastAsia="宋体" w:cs="Times New Roman"/>
      <w:kern w:val="0"/>
      <w:sz w:val="21"/>
      <w:szCs w:val="21"/>
    </w:rPr>
  </w:style>
  <w:style w:type="paragraph" w:customStyle="1" w:styleId="183">
    <w:name w:val="p23"/>
    <w:basedOn w:val="1"/>
    <w:qFormat/>
    <w:uiPriority w:val="0"/>
    <w:pPr>
      <w:widowControl/>
      <w:spacing w:after="312" w:line="240" w:lineRule="atLeast"/>
      <w:ind w:left="17" w:firstLine="420" w:firstLineChars="0"/>
    </w:pPr>
    <w:rPr>
      <w:rFonts w:ascii="Times New Roman" w:hAnsi="Times New Roman" w:eastAsia="宋体" w:cs="Times New Roman"/>
      <w:color w:val="000000"/>
      <w:kern w:val="0"/>
      <w:sz w:val="24"/>
      <w:szCs w:val="24"/>
    </w:rPr>
  </w:style>
  <w:style w:type="paragraph" w:customStyle="1" w:styleId="184">
    <w:name w:val="p20"/>
    <w:basedOn w:val="1"/>
    <w:qFormat/>
    <w:uiPriority w:val="0"/>
    <w:pPr>
      <w:widowControl/>
      <w:spacing w:line="240" w:lineRule="auto"/>
      <w:ind w:firstLine="600" w:firstLineChars="0"/>
    </w:pPr>
    <w:rPr>
      <w:rFonts w:ascii="Times New Roman" w:hAnsi="Times New Roman" w:eastAsia="宋体" w:cs="Times New Roman"/>
      <w:kern w:val="0"/>
      <w:sz w:val="30"/>
      <w:szCs w:val="30"/>
    </w:rPr>
  </w:style>
  <w:style w:type="character" w:customStyle="1" w:styleId="185">
    <w:name w:val="表内 Char Char"/>
    <w:qFormat/>
    <w:uiPriority w:val="0"/>
    <w:rPr>
      <w:rFonts w:eastAsia="仿宋_GB2312"/>
      <w:spacing w:val="-16"/>
      <w:sz w:val="21"/>
      <w:szCs w:val="21"/>
      <w:lang w:val="en-US" w:eastAsia="zh-CN" w:bidi="ar-SA"/>
    </w:rPr>
  </w:style>
  <w:style w:type="character" w:customStyle="1" w:styleId="186">
    <w:name w:val="表头 Char Char"/>
    <w:qFormat/>
    <w:uiPriority w:val="0"/>
    <w:rPr>
      <w:rFonts w:ascii="仿宋_GB2312" w:hAnsi="宋体" w:eastAsia="仿宋_GB2312"/>
      <w:b/>
      <w:spacing w:val="20"/>
      <w:sz w:val="21"/>
      <w:szCs w:val="21"/>
      <w:lang w:val="en-US" w:eastAsia="zh-CN" w:bidi="ar-SA"/>
    </w:rPr>
  </w:style>
  <w:style w:type="character" w:customStyle="1" w:styleId="187">
    <w:name w:val="zhengwen Char Char"/>
    <w:qFormat/>
    <w:uiPriority w:val="0"/>
    <w:rPr>
      <w:rFonts w:eastAsia="仿宋_GB2312"/>
      <w:spacing w:val="-4"/>
      <w:kern w:val="2"/>
      <w:sz w:val="28"/>
      <w:szCs w:val="28"/>
      <w:lang w:eastAsia="zh-CN" w:bidi="ar-SA"/>
    </w:rPr>
  </w:style>
  <w:style w:type="paragraph" w:customStyle="1" w:styleId="188">
    <w:name w:val="样式 样式 样式 样式 标题 3 + 四号 段前: 0 磅 段后: 0 磅 行距: 1.5 倍行距 + 首行缩进:  2 字符 ..."/>
    <w:basedOn w:val="1"/>
    <w:qFormat/>
    <w:uiPriority w:val="0"/>
    <w:pPr>
      <w:keepLines/>
      <w:tabs>
        <w:tab w:val="left" w:pos="420"/>
      </w:tabs>
      <w:spacing w:beforeLines="50" w:afterLines="50"/>
      <w:ind w:firstLine="0" w:firstLineChars="0"/>
      <w:outlineLvl w:val="2"/>
    </w:pPr>
    <w:rPr>
      <w:rFonts w:ascii="Times New Roman" w:hAnsi="Times New Roman" w:eastAsia="黑体" w:cs="宋体"/>
      <w:b/>
      <w:bCs/>
    </w:rPr>
  </w:style>
  <w:style w:type="character" w:customStyle="1" w:styleId="189">
    <w:name w:val="Char Char4"/>
    <w:qFormat/>
    <w:uiPriority w:val="0"/>
    <w:rPr>
      <w:rFonts w:eastAsia="仿宋_GB2312"/>
      <w:bCs/>
      <w:kern w:val="2"/>
      <w:sz w:val="28"/>
      <w:szCs w:val="28"/>
      <w:lang w:val="en-US" w:eastAsia="zh-CN" w:bidi="ar-SA"/>
    </w:rPr>
  </w:style>
  <w:style w:type="character" w:customStyle="1" w:styleId="190">
    <w:name w:val="HTML 预设格式 字符"/>
    <w:basedOn w:val="41"/>
    <w:link w:val="33"/>
    <w:qFormat/>
    <w:uiPriority w:val="0"/>
    <w:rPr>
      <w:rFonts w:ascii="Arial" w:hAnsi="Arial" w:eastAsia="宋体" w:cs="Arial"/>
      <w:kern w:val="0"/>
      <w:sz w:val="14"/>
      <w:szCs w:val="14"/>
    </w:rPr>
  </w:style>
  <w:style w:type="paragraph" w:customStyle="1" w:styleId="191">
    <w:name w:val="样式 五号"/>
    <w:basedOn w:val="1"/>
    <w:next w:val="1"/>
    <w:qFormat/>
    <w:uiPriority w:val="0"/>
    <w:pPr>
      <w:spacing w:line="500" w:lineRule="exact"/>
      <w:ind w:firstLine="315" w:firstLineChars="150"/>
    </w:pPr>
    <w:rPr>
      <w:rFonts w:ascii="Times New Roman" w:hAnsi="Times New Roman" w:cs="宋体"/>
      <w:szCs w:val="20"/>
    </w:rPr>
  </w:style>
  <w:style w:type="paragraph" w:customStyle="1" w:styleId="192">
    <w:name w:val="样式 样式 五号 + 首行缩进:  1.5 字符"/>
    <w:basedOn w:val="191"/>
    <w:qFormat/>
    <w:uiPriority w:val="0"/>
    <w:pPr>
      <w:ind w:firstLine="200" w:firstLineChars="200"/>
    </w:pPr>
  </w:style>
  <w:style w:type="paragraph" w:customStyle="1" w:styleId="193">
    <w:name w:val="样式 首行缩进:  2 字符1"/>
    <w:basedOn w:val="1"/>
    <w:qFormat/>
    <w:uiPriority w:val="0"/>
    <w:rPr>
      <w:rFonts w:ascii="Times New Roman" w:hAnsi="Times New Roman" w:cs="宋体"/>
      <w:szCs w:val="20"/>
    </w:rPr>
  </w:style>
  <w:style w:type="paragraph" w:customStyle="1" w:styleId="194">
    <w:name w:val="Char Char Char Char Char Char Char Char Char Char1"/>
    <w:basedOn w:val="1"/>
    <w:qFormat/>
    <w:uiPriority w:val="0"/>
    <w:pPr>
      <w:widowControl/>
      <w:spacing w:after="160"/>
      <w:ind w:firstLine="0" w:firstLineChars="0"/>
      <w:jc w:val="left"/>
    </w:pPr>
    <w:rPr>
      <w:rFonts w:ascii="Verdana" w:hAnsi="Verdana" w:cs="Times New Roman"/>
      <w:kern w:val="0"/>
      <w:sz w:val="30"/>
      <w:szCs w:val="30"/>
      <w:lang w:eastAsia="en-US"/>
    </w:rPr>
  </w:style>
  <w:style w:type="paragraph" w:customStyle="1" w:styleId="195">
    <w:name w:val="Char Char Char Char Char Char Char Char Char Char Char Char Char"/>
    <w:basedOn w:val="1"/>
    <w:qFormat/>
    <w:uiPriority w:val="0"/>
    <w:pPr>
      <w:tabs>
        <w:tab w:val="left" w:pos="570"/>
      </w:tabs>
      <w:spacing w:line="240" w:lineRule="auto"/>
      <w:ind w:left="570" w:hanging="570" w:firstLineChars="0"/>
    </w:pPr>
    <w:rPr>
      <w:rFonts w:ascii="Times New Roman" w:hAnsi="Times New Roman" w:eastAsia="宋体" w:cs="Times New Roman"/>
      <w:sz w:val="21"/>
      <w:szCs w:val="24"/>
    </w:rPr>
  </w:style>
  <w:style w:type="paragraph" w:customStyle="1" w:styleId="196">
    <w:name w:val="南江表格正文"/>
    <w:basedOn w:val="1"/>
    <w:qFormat/>
    <w:uiPriority w:val="0"/>
    <w:pPr>
      <w:adjustRightInd w:val="0"/>
      <w:snapToGrid w:val="0"/>
      <w:spacing w:line="240" w:lineRule="auto"/>
      <w:ind w:firstLine="0" w:firstLineChars="0"/>
      <w:jc w:val="center"/>
    </w:pPr>
    <w:rPr>
      <w:rFonts w:ascii="Times New Roman" w:hAnsi="Times New Roman" w:eastAsia="宋体" w:cs="Times New Roman"/>
      <w:color w:val="000000"/>
      <w:sz w:val="21"/>
      <w:szCs w:val="21"/>
    </w:rPr>
  </w:style>
  <w:style w:type="paragraph" w:customStyle="1" w:styleId="197">
    <w:name w:val="1.1标题"/>
    <w:basedOn w:val="1"/>
    <w:link w:val="198"/>
    <w:qFormat/>
    <w:uiPriority w:val="0"/>
    <w:pPr>
      <w:spacing w:beforeLines="100"/>
      <w:ind w:firstLine="0" w:firstLineChars="0"/>
      <w:outlineLvl w:val="1"/>
    </w:pPr>
    <w:rPr>
      <w:rFonts w:ascii="宋体" w:hAnsi="宋体" w:eastAsia="宋体" w:cs="Times New Roman"/>
      <w:b/>
    </w:rPr>
  </w:style>
  <w:style w:type="character" w:customStyle="1" w:styleId="198">
    <w:name w:val="1.1标题 Char"/>
    <w:link w:val="197"/>
    <w:qFormat/>
    <w:uiPriority w:val="0"/>
    <w:rPr>
      <w:rFonts w:ascii="宋体" w:hAnsi="宋体" w:eastAsia="宋体" w:cs="Times New Roman"/>
      <w:b/>
      <w:sz w:val="28"/>
      <w:szCs w:val="28"/>
    </w:rPr>
  </w:style>
  <w:style w:type="paragraph" w:customStyle="1" w:styleId="199">
    <w:name w:val="4"/>
    <w:basedOn w:val="1"/>
    <w:link w:val="200"/>
    <w:qFormat/>
    <w:uiPriority w:val="0"/>
    <w:pPr>
      <w:adjustRightInd w:val="0"/>
      <w:snapToGrid w:val="0"/>
      <w:spacing w:line="480" w:lineRule="auto"/>
      <w:ind w:firstLine="200"/>
      <w:jc w:val="left"/>
    </w:pPr>
    <w:rPr>
      <w:rFonts w:ascii="宋体" w:hAnsi="宋体" w:eastAsia="宋体" w:cs="Times New Roman"/>
      <w:spacing w:val="-2"/>
    </w:rPr>
  </w:style>
  <w:style w:type="character" w:customStyle="1" w:styleId="200">
    <w:name w:val="4 Char"/>
    <w:link w:val="199"/>
    <w:qFormat/>
    <w:uiPriority w:val="0"/>
    <w:rPr>
      <w:rFonts w:ascii="宋体" w:hAnsi="宋体" w:eastAsia="宋体" w:cs="Times New Roman"/>
      <w:spacing w:val="-2"/>
      <w:sz w:val="28"/>
      <w:szCs w:val="28"/>
    </w:rPr>
  </w:style>
  <w:style w:type="paragraph" w:customStyle="1" w:styleId="201">
    <w:name w:val="默认段落字体 Para Char Char Char Char"/>
    <w:basedOn w:val="1"/>
    <w:qFormat/>
    <w:uiPriority w:val="0"/>
    <w:pPr>
      <w:spacing w:line="240" w:lineRule="auto"/>
      <w:ind w:firstLine="0" w:firstLineChars="0"/>
    </w:pPr>
    <w:rPr>
      <w:rFonts w:ascii="Times New Roman" w:hAnsi="Times New Roman" w:eastAsia="宋体" w:cs="Times New Roman"/>
      <w:sz w:val="21"/>
      <w:szCs w:val="21"/>
    </w:rPr>
  </w:style>
  <w:style w:type="character" w:customStyle="1" w:styleId="202">
    <w:name w:val="标题 字符"/>
    <w:basedOn w:val="41"/>
    <w:link w:val="36"/>
    <w:qFormat/>
    <w:uiPriority w:val="99"/>
    <w:rPr>
      <w:rFonts w:ascii="仿宋_GB2312" w:hAnsi="宋体" w:eastAsia="仿宋_GB2312" w:cs="Times New Roman"/>
      <w:smallCaps/>
      <w:color w:val="993300"/>
      <w:kern w:val="0"/>
      <w:sz w:val="52"/>
      <w:szCs w:val="52"/>
      <w:lang w:val="zh-CN" w:eastAsia="zh-CN"/>
    </w:rPr>
  </w:style>
  <w:style w:type="paragraph" w:customStyle="1" w:styleId="203">
    <w:name w:val="reader-word-layer reader-word-s3-12"/>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04">
    <w:name w:val="xl69"/>
    <w:basedOn w:val="1"/>
    <w:qFormat/>
    <w:uiPriority w:val="0"/>
    <w:pPr>
      <w:widowControl/>
      <w:pBdr>
        <w:top w:val="single" w:color="auto" w:sz="8" w:space="0"/>
        <w:bottom w:val="single" w:color="auto" w:sz="8" w:space="0"/>
        <w:right w:val="single" w:color="auto" w:sz="8" w:space="0"/>
      </w:pBdr>
      <w:spacing w:before="100" w:beforeAutospacing="1" w:after="100" w:afterAutospacing="1" w:line="240" w:lineRule="auto"/>
      <w:ind w:firstLine="0" w:firstLineChars="0"/>
      <w:jc w:val="center"/>
    </w:pPr>
    <w:rPr>
      <w:rFonts w:ascii="Times New Roman" w:hAnsi="Times New Roman" w:eastAsia="宋体" w:cs="Times New Roman"/>
      <w:color w:val="000000"/>
      <w:kern w:val="0"/>
      <w:sz w:val="21"/>
      <w:szCs w:val="21"/>
    </w:rPr>
  </w:style>
  <w:style w:type="character" w:customStyle="1" w:styleId="205">
    <w:name w:val="纯文本 Char2"/>
    <w:qFormat/>
    <w:uiPriority w:val="0"/>
    <w:rPr>
      <w:rFonts w:ascii="宋体" w:hAnsi="Courier New" w:eastAsia="宋体"/>
      <w:kern w:val="2"/>
      <w:sz w:val="21"/>
      <w:lang w:val="en-US" w:eastAsia="zh-CN" w:bidi="ar-SA"/>
    </w:rPr>
  </w:style>
  <w:style w:type="paragraph" w:customStyle="1" w:styleId="206">
    <w:name w:val="Table Paragraph"/>
    <w:basedOn w:val="1"/>
    <w:qFormat/>
    <w:uiPriority w:val="1"/>
    <w:pPr>
      <w:spacing w:line="240" w:lineRule="auto"/>
      <w:ind w:firstLine="0" w:firstLineChars="0"/>
      <w:jc w:val="left"/>
    </w:pPr>
    <w:rPr>
      <w:rFonts w:ascii="Times New Roman" w:hAnsi="Times New Roman" w:eastAsia="宋体" w:cs="Times New Roman"/>
      <w:kern w:val="0"/>
      <w:sz w:val="22"/>
      <w:szCs w:val="24"/>
      <w:lang w:eastAsia="en-US"/>
    </w:rPr>
  </w:style>
  <w:style w:type="character" w:customStyle="1" w:styleId="207">
    <w:name w:val="题注 字符"/>
    <w:link w:val="11"/>
    <w:qFormat/>
    <w:uiPriority w:val="0"/>
    <w:rPr>
      <w:rFonts w:ascii="Times New Roman" w:hAnsi="Times New Roman" w:eastAsia="宋体" w:cs="Arial"/>
      <w:b/>
      <w:sz w:val="28"/>
      <w:szCs w:val="28"/>
    </w:rPr>
  </w:style>
  <w:style w:type="character" w:customStyle="1" w:styleId="208">
    <w:name w:val="表格 Char"/>
    <w:link w:val="150"/>
    <w:qFormat/>
    <w:uiPriority w:val="0"/>
    <w:rPr>
      <w:rFonts w:ascii="Times New Roman" w:hAnsi="Times New Roman" w:eastAsia="宋体" w:cs="Times New Roman"/>
      <w:kern w:val="0"/>
      <w:szCs w:val="20"/>
    </w:rPr>
  </w:style>
  <w:style w:type="paragraph" w:customStyle="1" w:styleId="209">
    <w:name w:val="正文2"/>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210">
    <w:name w:val="样式 正文首行缩进 2 + 首行缩进:  2 字符"/>
    <w:basedOn w:val="38"/>
    <w:qFormat/>
    <w:uiPriority w:val="0"/>
    <w:pPr>
      <w:spacing w:after="0"/>
      <w:ind w:left="0" w:leftChars="0" w:firstLine="480"/>
    </w:pPr>
    <w:rPr>
      <w:rFonts w:ascii="Times New Roman" w:hAnsi="Times New Roman" w:eastAsia="宋体" w:cs="宋体"/>
      <w:sz w:val="24"/>
      <w:szCs w:val="20"/>
    </w:rPr>
  </w:style>
  <w:style w:type="character" w:customStyle="1" w:styleId="211">
    <w:name w:val="正文文本首行缩进 2 字符"/>
    <w:basedOn w:val="86"/>
    <w:link w:val="38"/>
    <w:semiHidden/>
    <w:qFormat/>
    <w:uiPriority w:val="99"/>
    <w:rPr>
      <w:rFonts w:ascii="仿宋_GB2312" w:hAnsi="Times New Roman" w:eastAsia="仿宋_GB2312" w:cs="Times New Roman"/>
      <w:kern w:val="2"/>
      <w:sz w:val="28"/>
      <w:szCs w:val="28"/>
    </w:rPr>
  </w:style>
  <w:style w:type="paragraph" w:customStyle="1" w:styleId="212">
    <w:name w:val="表格文字图表文字  ctrl+q"/>
    <w:basedOn w:val="1"/>
    <w:qFormat/>
    <w:uiPriority w:val="0"/>
    <w:pPr>
      <w:snapToGrid w:val="0"/>
      <w:spacing w:before="20" w:after="20" w:line="240" w:lineRule="auto"/>
      <w:ind w:firstLine="0" w:firstLineChars="0"/>
      <w:jc w:val="center"/>
    </w:pPr>
    <w:rPr>
      <w:rFonts w:ascii="Times New Roman" w:hAnsi="Times New Roman" w:eastAsia="宋体" w:cs="宋体"/>
      <w:color w:val="ED7D31"/>
      <w:sz w:val="21"/>
      <w:szCs w:val="20"/>
    </w:rPr>
  </w:style>
  <w:style w:type="paragraph" w:customStyle="1" w:styleId="213">
    <w:name w:val="msonormal"/>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14">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15">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Arial" w:hAnsi="Arial" w:eastAsia="宋体" w:cs="Arial"/>
      <w:kern w:val="0"/>
      <w:sz w:val="20"/>
      <w:szCs w:val="20"/>
    </w:rPr>
  </w:style>
  <w:style w:type="paragraph" w:customStyle="1" w:styleId="216">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w:hAnsi="Arial" w:eastAsia="宋体" w:cs="Arial"/>
      <w:kern w:val="0"/>
      <w:sz w:val="20"/>
      <w:szCs w:val="20"/>
    </w:rPr>
  </w:style>
  <w:style w:type="paragraph" w:customStyle="1" w:styleId="217">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18">
    <w:name w:val="xl70"/>
    <w:basedOn w:val="1"/>
    <w:qFormat/>
    <w:uiPriority w:val="0"/>
    <w:pPr>
      <w:widowControl/>
      <w:pBdr>
        <w:left w:val="single" w:color="auto" w:sz="4" w:space="0"/>
        <w:bottom w:val="single" w:color="auto" w:sz="4" w:space="0"/>
      </w:pBdr>
      <w:spacing w:before="100" w:beforeAutospacing="1" w:after="100" w:afterAutospacing="1" w:line="240" w:lineRule="auto"/>
      <w:ind w:firstLine="0" w:firstLineChars="0"/>
      <w:jc w:val="center"/>
    </w:pPr>
    <w:rPr>
      <w:rFonts w:ascii="宋体" w:hAnsi="宋体" w:eastAsia="宋体" w:cs="宋体"/>
      <w:kern w:val="0"/>
      <w:sz w:val="24"/>
      <w:szCs w:val="24"/>
    </w:rPr>
  </w:style>
  <w:style w:type="paragraph" w:customStyle="1" w:styleId="219">
    <w:name w:val="xl71"/>
    <w:basedOn w:val="1"/>
    <w:qFormat/>
    <w:uiPriority w:val="0"/>
    <w:pPr>
      <w:widowControl/>
      <w:pBdr>
        <w:bottom w:val="single" w:color="auto" w:sz="4" w:space="0"/>
      </w:pBdr>
      <w:spacing w:before="100" w:beforeAutospacing="1" w:after="100" w:afterAutospacing="1" w:line="240" w:lineRule="auto"/>
      <w:ind w:firstLine="0" w:firstLineChars="0"/>
      <w:jc w:val="center"/>
    </w:pPr>
    <w:rPr>
      <w:rFonts w:ascii="宋体" w:hAnsi="宋体" w:eastAsia="宋体" w:cs="宋体"/>
      <w:kern w:val="0"/>
      <w:sz w:val="24"/>
      <w:szCs w:val="24"/>
    </w:rPr>
  </w:style>
  <w:style w:type="paragraph" w:customStyle="1" w:styleId="220">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4"/>
      <w:szCs w:val="24"/>
    </w:rPr>
  </w:style>
  <w:style w:type="paragraph" w:customStyle="1" w:styleId="221">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eastAsia="宋体" w:cs="宋体"/>
      <w:kern w:val="0"/>
      <w:sz w:val="20"/>
      <w:szCs w:val="20"/>
    </w:rPr>
  </w:style>
  <w:style w:type="paragraph" w:customStyle="1" w:styleId="222">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23">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Arial" w:hAnsi="Arial" w:eastAsia="宋体" w:cs="Arial"/>
      <w:kern w:val="0"/>
      <w:sz w:val="20"/>
      <w:szCs w:val="20"/>
    </w:rPr>
  </w:style>
  <w:style w:type="paragraph" w:customStyle="1" w:styleId="224">
    <w:name w:val="xl77"/>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25">
    <w:name w:val="xl78"/>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26">
    <w:name w:val="xl79"/>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27">
    <w:name w:val="xl76"/>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4"/>
      <w:szCs w:val="24"/>
    </w:rPr>
  </w:style>
  <w:style w:type="paragraph" w:customStyle="1" w:styleId="228">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29">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Arial" w:hAnsi="Arial" w:eastAsia="宋体" w:cs="Arial"/>
      <w:kern w:val="0"/>
      <w:sz w:val="20"/>
      <w:szCs w:val="20"/>
    </w:rPr>
  </w:style>
  <w:style w:type="paragraph" w:customStyle="1" w:styleId="230">
    <w:name w:val="xl83"/>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31">
    <w:name w:val="xl84"/>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32">
    <w:name w:val="xl85"/>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character" w:customStyle="1" w:styleId="233">
    <w:name w:val="font21"/>
    <w:basedOn w:val="41"/>
    <w:qFormat/>
    <w:uiPriority w:val="0"/>
    <w:rPr>
      <w:rFonts w:hint="default" w:ascii="Arial" w:hAnsi="Arial" w:cs="Arial"/>
      <w:color w:val="000000"/>
      <w:sz w:val="20"/>
      <w:szCs w:val="20"/>
      <w:u w:val="none"/>
    </w:rPr>
  </w:style>
  <w:style w:type="character" w:customStyle="1" w:styleId="234">
    <w:name w:val="font31"/>
    <w:basedOn w:val="41"/>
    <w:qFormat/>
    <w:uiPriority w:val="0"/>
    <w:rPr>
      <w:rFonts w:hint="eastAsia" w:ascii="等线" w:hAnsi="等线" w:eastAsia="等线" w:cs="等线"/>
      <w:color w:val="000000"/>
      <w:sz w:val="20"/>
      <w:szCs w:val="20"/>
      <w:u w:val="none"/>
    </w:rPr>
  </w:style>
  <w:style w:type="character" w:customStyle="1" w:styleId="235">
    <w:name w:val="font51"/>
    <w:basedOn w:val="41"/>
    <w:qFormat/>
    <w:uiPriority w:val="0"/>
    <w:rPr>
      <w:rFonts w:hint="default" w:ascii="Arial" w:hAnsi="Arial" w:cs="Arial"/>
      <w:color w:val="000000"/>
      <w:sz w:val="20"/>
      <w:szCs w:val="20"/>
      <w:u w:val="none"/>
      <w:vertAlign w:val="superscript"/>
    </w:rPr>
  </w:style>
  <w:style w:type="character" w:customStyle="1" w:styleId="236">
    <w:name w:val="font61"/>
    <w:basedOn w:val="41"/>
    <w:qFormat/>
    <w:uiPriority w:val="0"/>
    <w:rPr>
      <w:rFonts w:hint="default" w:ascii="Arial" w:hAnsi="Arial" w:cs="Arial"/>
      <w:color w:val="000000"/>
      <w:sz w:val="20"/>
      <w:szCs w:val="20"/>
      <w:u w:val="none"/>
    </w:rPr>
  </w:style>
  <w:style w:type="paragraph" w:customStyle="1" w:styleId="237">
    <w:name w:val="表格内文"/>
    <w:basedOn w:val="1"/>
    <w:qFormat/>
    <w:uiPriority w:val="0"/>
    <w:pPr>
      <w:jc w:val="center"/>
    </w:pPr>
    <w:rPr>
      <w:sz w:val="24"/>
    </w:rPr>
  </w:style>
  <w:style w:type="character" w:customStyle="1" w:styleId="238">
    <w:name w:val="font11"/>
    <w:basedOn w:val="41"/>
    <w:qFormat/>
    <w:uiPriority w:val="0"/>
    <w:rPr>
      <w:rFonts w:hint="eastAsia" w:ascii="仿宋" w:hAnsi="仿宋" w:eastAsia="仿宋" w:cs="仿宋"/>
      <w:color w:val="000000"/>
      <w:sz w:val="24"/>
      <w:szCs w:val="24"/>
      <w:u w:val="none"/>
    </w:rPr>
  </w:style>
  <w:style w:type="character" w:customStyle="1" w:styleId="239">
    <w:name w:val="font41"/>
    <w:basedOn w:val="41"/>
    <w:qFormat/>
    <w:uiPriority w:val="0"/>
    <w:rPr>
      <w:rFonts w:hint="eastAsia" w:ascii="仿宋" w:hAnsi="仿宋" w:eastAsia="仿宋" w:cs="仿宋"/>
      <w:color w:val="000000"/>
      <w:sz w:val="21"/>
      <w:szCs w:val="21"/>
      <w:u w:val="none"/>
    </w:rPr>
  </w:style>
  <w:style w:type="character" w:customStyle="1" w:styleId="240">
    <w:name w:val="font01"/>
    <w:basedOn w:val="41"/>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jpeg"/><Relationship Id="rId12" Type="http://schemas.openxmlformats.org/officeDocument/2006/relationships/theme" Target="theme/theme1.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12</Pages>
  <Words>3412</Words>
  <Characters>4194</Characters>
  <Lines>296</Lines>
  <Paragraphs>83</Paragraphs>
  <TotalTime>24</TotalTime>
  <ScaleCrop>false</ScaleCrop>
  <LinksUpToDate>false</LinksUpToDate>
  <CharactersWithSpaces>4199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2017-05-25T11:30:00Z</dcterms:created>
  <dc:creator>LLF</dc:creator>
  <cp:lastModifiedBy>魏帅</cp:lastModifiedBy>
  <cp:lastPrinted>2025-04-08T08:49:00Z</cp:lastPrinted>
  <dcterms:modified xsi:type="dcterms:W3CDTF">2025-07-28T09:09:06Z</dcterms:modified>
  <cp:revision>493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B7CCFF72BC3B4E49B315CFB93D6A87B8</vt:lpwstr>
  </property>
  <property fmtid="{D5CDD505-2E9C-101B-9397-08002B2CF9AE}" pid="4" name="KSOTemplateDocerSaveRecord">
    <vt:lpwstr>eyJoZGlkIjoiNjBlY2M3NzhiYWEwNDViNDczMjVlZTAwYzgxNTRlYjYiLCJ1c2VySWQiOiI3MjY5NDMyMjQifQ==</vt:lpwstr>
  </property>
</Properties>
</file>