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6E" w:rsidRDefault="007E616E" w:rsidP="007E616E">
      <w:pPr>
        <w:spacing w:line="600" w:lineRule="exact"/>
        <w:rPr>
          <w:rFonts w:hint="eastAsia"/>
        </w:rPr>
      </w:pPr>
    </w:p>
    <w:p w:rsidR="007E616E" w:rsidRDefault="007E616E" w:rsidP="007E616E">
      <w:pPr>
        <w:spacing w:line="600" w:lineRule="exact"/>
        <w:rPr>
          <w:rFonts w:hint="eastAsia"/>
        </w:rPr>
      </w:pPr>
    </w:p>
    <w:p w:rsidR="007E616E" w:rsidRDefault="007E616E" w:rsidP="007E616E">
      <w:pPr>
        <w:spacing w:line="540" w:lineRule="exact"/>
        <w:jc w:val="center"/>
        <w:rPr>
          <w:rFonts w:ascii="方正小标宋_GBK" w:eastAsia="方正小标宋_GBK" w:hint="eastAsia"/>
          <w:sz w:val="44"/>
          <w:szCs w:val="44"/>
        </w:rPr>
      </w:pPr>
      <w:r>
        <w:rPr>
          <w:rFonts w:ascii="方正小标宋_GBK" w:eastAsia="方正小标宋_GBK" w:hint="eastAsia"/>
          <w:sz w:val="44"/>
          <w:szCs w:val="44"/>
        </w:rPr>
        <w:t>重庆市</w:t>
      </w:r>
      <w:proofErr w:type="gramStart"/>
      <w:r>
        <w:rPr>
          <w:rFonts w:ascii="方正小标宋_GBK" w:eastAsia="方正小标宋_GBK" w:hint="eastAsia"/>
          <w:sz w:val="44"/>
          <w:szCs w:val="44"/>
        </w:rPr>
        <w:t>璧</w:t>
      </w:r>
      <w:proofErr w:type="gramEnd"/>
      <w:r>
        <w:rPr>
          <w:rFonts w:ascii="方正小标宋_GBK" w:eastAsia="方正小标宋_GBK" w:hint="eastAsia"/>
          <w:sz w:val="44"/>
          <w:szCs w:val="44"/>
        </w:rPr>
        <w:t>山区人民政府办公室</w:t>
      </w:r>
    </w:p>
    <w:p w:rsidR="007E616E" w:rsidRDefault="007E616E" w:rsidP="007E616E">
      <w:pPr>
        <w:spacing w:line="540" w:lineRule="exact"/>
        <w:jc w:val="center"/>
        <w:rPr>
          <w:rFonts w:ascii="方正小标宋_GBK" w:eastAsia="方正小标宋_GBK"/>
          <w:sz w:val="44"/>
          <w:szCs w:val="44"/>
        </w:rPr>
      </w:pPr>
      <w:r>
        <w:rPr>
          <w:rFonts w:ascii="方正小标宋_GBK" w:eastAsia="方正小标宋_GBK" w:hint="eastAsia"/>
          <w:sz w:val="44"/>
          <w:szCs w:val="44"/>
        </w:rPr>
        <w:t>关于取消一批非行政许可审批事项的通知</w:t>
      </w:r>
    </w:p>
    <w:p w:rsidR="007E616E" w:rsidRDefault="007E616E" w:rsidP="007E616E">
      <w:pPr>
        <w:spacing w:line="540" w:lineRule="exact"/>
        <w:jc w:val="center"/>
        <w:rPr>
          <w:rFonts w:ascii="Times New Roman" w:eastAsia="方正仿宋_GBK" w:hAnsi="Times New Roman" w:cs="Times New Roman" w:hint="eastAsia"/>
          <w:sz w:val="32"/>
          <w:szCs w:val="32"/>
        </w:rPr>
      </w:pPr>
      <w:r w:rsidRPr="007E616E">
        <w:rPr>
          <w:rFonts w:ascii="Times New Roman" w:eastAsia="方正仿宋_GBK" w:hAnsi="Times New Roman" w:cs="Times New Roman"/>
          <w:sz w:val="32"/>
          <w:szCs w:val="32"/>
        </w:rPr>
        <w:t>璧山府办发〔</w:t>
      </w:r>
      <w:r w:rsidRPr="007E616E">
        <w:rPr>
          <w:rFonts w:ascii="Times New Roman" w:eastAsia="方正仿宋_GBK" w:hAnsi="Times New Roman" w:cs="Times New Roman"/>
          <w:sz w:val="32"/>
          <w:szCs w:val="32"/>
        </w:rPr>
        <w:t>2016</w:t>
      </w:r>
      <w:r w:rsidRPr="007E616E">
        <w:rPr>
          <w:rFonts w:ascii="Times New Roman" w:eastAsia="方正仿宋_GBK" w:hAnsi="Times New Roman" w:cs="Times New Roman"/>
          <w:sz w:val="32"/>
          <w:szCs w:val="32"/>
        </w:rPr>
        <w:t>〕</w:t>
      </w:r>
      <w:r w:rsidRPr="007E616E">
        <w:rPr>
          <w:rFonts w:ascii="Times New Roman" w:eastAsia="方正仿宋_GBK" w:hAnsi="Times New Roman" w:cs="Times New Roman"/>
          <w:sz w:val="32"/>
          <w:szCs w:val="32"/>
        </w:rPr>
        <w:t>107</w:t>
      </w:r>
      <w:r w:rsidRPr="007E616E">
        <w:rPr>
          <w:rFonts w:ascii="Times New Roman" w:eastAsia="方正仿宋_GBK" w:hAnsi="Times New Roman" w:cs="Times New Roman"/>
          <w:sz w:val="32"/>
          <w:szCs w:val="32"/>
        </w:rPr>
        <w:t>号</w:t>
      </w:r>
    </w:p>
    <w:p w:rsidR="007E616E" w:rsidRPr="007E616E" w:rsidRDefault="007E616E" w:rsidP="007E616E">
      <w:pPr>
        <w:spacing w:line="540" w:lineRule="exact"/>
        <w:jc w:val="center"/>
        <w:rPr>
          <w:rFonts w:ascii="Times New Roman" w:eastAsia="方正仿宋_GBK" w:hAnsi="Times New Roman" w:cs="Times New Roman"/>
          <w:color w:val="000000"/>
          <w:kern w:val="0"/>
          <w:sz w:val="32"/>
          <w:szCs w:val="32"/>
        </w:rPr>
      </w:pPr>
    </w:p>
    <w:p w:rsidR="007E616E" w:rsidRDefault="007E616E" w:rsidP="007E616E">
      <w:pPr>
        <w:spacing w:line="600" w:lineRule="exact"/>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各街道办事处、镇人民政府，区政府有关工作部门，有关单位：</w:t>
      </w:r>
    </w:p>
    <w:p w:rsidR="007E616E" w:rsidRDefault="007E616E" w:rsidP="007E616E">
      <w:pPr>
        <w:widowControl/>
        <w:shd w:val="clear" w:color="auto" w:fill="FFFFFF"/>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为贯彻落实《重庆市人民政府关于取消非行政许可审批事项的决定》（</w:t>
      </w:r>
      <w:proofErr w:type="gramStart"/>
      <w:r>
        <w:rPr>
          <w:rFonts w:ascii="方正仿宋_GBK" w:eastAsia="方正仿宋_GBK" w:hAnsi="宋体" w:cs="宋体" w:hint="eastAsia"/>
          <w:color w:val="000000"/>
          <w:kern w:val="0"/>
          <w:sz w:val="32"/>
          <w:szCs w:val="32"/>
        </w:rPr>
        <w:t>渝府发</w:t>
      </w:r>
      <w:proofErr w:type="gramEnd"/>
      <w:r>
        <w:rPr>
          <w:rFonts w:ascii="方正仿宋_GBK" w:eastAsia="方正仿宋_GBK" w:hAnsi="宋体" w:cs="宋体" w:hint="eastAsia"/>
          <w:color w:val="000000"/>
          <w:kern w:val="0"/>
          <w:sz w:val="32"/>
          <w:szCs w:val="32"/>
        </w:rPr>
        <w:t>〔</w:t>
      </w:r>
      <w:r w:rsidRPr="007E616E">
        <w:rPr>
          <w:rFonts w:ascii="Times New Roman" w:eastAsia="方正仿宋_GBK" w:hAnsi="Times New Roman" w:cs="Times New Roman"/>
          <w:color w:val="000000"/>
          <w:kern w:val="0"/>
          <w:sz w:val="32"/>
          <w:szCs w:val="32"/>
        </w:rPr>
        <w:t>2016</w:t>
      </w:r>
      <w:r w:rsidRPr="007E616E">
        <w:rPr>
          <w:rFonts w:ascii="Times New Roman" w:eastAsia="方正仿宋_GBK" w:hAnsi="Times New Roman" w:cs="Times New Roman"/>
          <w:color w:val="000000"/>
          <w:kern w:val="0"/>
          <w:sz w:val="32"/>
          <w:szCs w:val="32"/>
        </w:rPr>
        <w:t>〕</w:t>
      </w:r>
      <w:r w:rsidRPr="007E616E">
        <w:rPr>
          <w:rFonts w:ascii="Times New Roman" w:eastAsia="方正仿宋_GBK" w:hAnsi="Times New Roman" w:cs="Times New Roman"/>
          <w:color w:val="000000"/>
          <w:kern w:val="0"/>
          <w:sz w:val="32"/>
          <w:szCs w:val="32"/>
        </w:rPr>
        <w:t>7</w:t>
      </w:r>
      <w:r w:rsidRPr="007E616E">
        <w:rPr>
          <w:rFonts w:ascii="Times New Roman" w:eastAsia="方正仿宋_GBK" w:hAnsi="Times New Roman" w:cs="Times New Roman"/>
          <w:color w:val="000000"/>
          <w:kern w:val="0"/>
          <w:sz w:val="32"/>
          <w:szCs w:val="32"/>
        </w:rPr>
        <w:t>号</w:t>
      </w:r>
      <w:r>
        <w:rPr>
          <w:rFonts w:ascii="方正仿宋_GBK" w:eastAsia="方正仿宋_GBK" w:hAnsi="宋体" w:cs="宋体" w:hint="eastAsia"/>
          <w:color w:val="000000"/>
          <w:kern w:val="0"/>
          <w:sz w:val="32"/>
          <w:szCs w:val="32"/>
        </w:rPr>
        <w:t>），结合国家税务总局关于税务行政审批事项取消调整情况，经区政府同意，对应取消调整一批区级非行政许可审批事项（见附件）。</w:t>
      </w:r>
    </w:p>
    <w:p w:rsidR="007E616E" w:rsidRDefault="007E616E" w:rsidP="007E616E">
      <w:pPr>
        <w:widowControl/>
        <w:shd w:val="clear" w:color="auto" w:fill="FFFFFF"/>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区政府相关部门和有关单位要认真做好取消调整非行政许可审批事项的落实与衔接工作，</w:t>
      </w:r>
      <w:r>
        <w:rPr>
          <w:rFonts w:ascii="方正仿宋_GBK" w:eastAsia="方正仿宋_GBK" w:hAnsi="宋体" w:cs="宋体" w:hint="eastAsia"/>
          <w:color w:val="000000"/>
          <w:spacing w:val="-4"/>
          <w:kern w:val="0"/>
          <w:sz w:val="32"/>
          <w:szCs w:val="32"/>
        </w:rPr>
        <w:t>加强与市级部门对接，</w:t>
      </w:r>
      <w:r>
        <w:rPr>
          <w:rFonts w:ascii="方正仿宋_GBK" w:eastAsia="方正仿宋_GBK" w:hAnsi="宋体" w:cs="宋体" w:hint="eastAsia"/>
          <w:color w:val="000000"/>
          <w:kern w:val="0"/>
          <w:sz w:val="32"/>
          <w:szCs w:val="32"/>
        </w:rPr>
        <w:t>切实加强事中事后监管。对已取消的非行政许可审批事项，不得转交下属事业单位、社会组织继续审批，不得以新的名义、条目替代审批，不得变相审批。对调整为政府内部审批事项和其他权力事项的，不得面向公民、法人和其他社会组织实施审批。审批部门要严格规范审批行为，明确政府内部审批权限、范围、条件、程序、时限等，优化办事流程，提高办事效率。要坚持依法行政，需履行</w:t>
      </w:r>
      <w:r>
        <w:rPr>
          <w:rFonts w:ascii="方正仿宋_GBK" w:eastAsia="方正仿宋_GBK" w:hAnsi="宋体" w:cs="宋体" w:hint="eastAsia"/>
          <w:color w:val="000000"/>
          <w:kern w:val="0"/>
          <w:sz w:val="32"/>
          <w:szCs w:val="32"/>
        </w:rPr>
        <w:lastRenderedPageBreak/>
        <w:t>新设行政许可程序和修改、废止规范性文件的，按照法定程序办理。</w:t>
      </w:r>
    </w:p>
    <w:p w:rsidR="007E616E" w:rsidRDefault="007E616E" w:rsidP="007E616E">
      <w:pPr>
        <w:widowControl/>
        <w:shd w:val="clear" w:color="auto" w:fill="FFFFFF"/>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区政府相关部门和有关单位要强化信息公开，与区级行政权力清单、责任清单相衔接，对网上行政审批系统有关项目、行政审批中介服务事项进行动态调整。</w:t>
      </w:r>
    </w:p>
    <w:p w:rsidR="007E616E" w:rsidRDefault="007E616E" w:rsidP="007E616E">
      <w:pPr>
        <w:widowControl/>
        <w:shd w:val="clear" w:color="auto" w:fill="FFFFFF"/>
        <w:spacing w:line="600" w:lineRule="exact"/>
        <w:ind w:firstLineChars="200" w:firstLine="640"/>
        <w:rPr>
          <w:rFonts w:ascii="方正仿宋_GBK" w:eastAsia="方正仿宋_GBK" w:hAnsi="宋体" w:cs="宋体" w:hint="eastAsia"/>
          <w:color w:val="000000"/>
          <w:kern w:val="0"/>
          <w:sz w:val="32"/>
          <w:szCs w:val="32"/>
        </w:rPr>
      </w:pPr>
    </w:p>
    <w:p w:rsidR="007E616E" w:rsidRPr="007E616E" w:rsidRDefault="007E616E" w:rsidP="007E616E">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Pr>
          <w:rFonts w:ascii="方正仿宋_GBK" w:eastAsia="方正仿宋_GBK" w:hAnsi="宋体" w:cs="宋体" w:hint="eastAsia"/>
          <w:color w:val="000000"/>
          <w:kern w:val="0"/>
          <w:sz w:val="32"/>
          <w:szCs w:val="32"/>
        </w:rPr>
        <w:t>附件：</w:t>
      </w:r>
      <w:r w:rsidRPr="007E616E">
        <w:rPr>
          <w:rFonts w:ascii="Times New Roman" w:eastAsia="方正仿宋_GBK" w:hAnsi="Times New Roman" w:cs="Times New Roman"/>
          <w:color w:val="000000"/>
          <w:kern w:val="0"/>
          <w:sz w:val="32"/>
          <w:szCs w:val="32"/>
        </w:rPr>
        <w:t>1</w:t>
      </w:r>
      <w:r w:rsidRPr="007E616E">
        <w:rPr>
          <w:rFonts w:ascii="Times New Roman" w:eastAsia="方正仿宋_GBK" w:hAnsi="Times New Roman" w:cs="Times New Roman"/>
          <w:color w:val="000000"/>
          <w:kern w:val="0"/>
          <w:sz w:val="32"/>
          <w:szCs w:val="32"/>
        </w:rPr>
        <w:t>．取消的非行政许可审批事项目录</w:t>
      </w:r>
    </w:p>
    <w:p w:rsidR="007E616E" w:rsidRPr="007E616E" w:rsidRDefault="007E616E" w:rsidP="007E616E">
      <w:pPr>
        <w:widowControl/>
        <w:shd w:val="clear" w:color="auto" w:fill="FFFFFF"/>
        <w:spacing w:line="600" w:lineRule="exact"/>
        <w:ind w:firstLineChars="520" w:firstLine="1664"/>
        <w:rPr>
          <w:rFonts w:ascii="Times New Roman" w:eastAsia="方正仿宋_GBK" w:hAnsi="Times New Roman" w:cs="Times New Roman"/>
          <w:color w:val="000000"/>
          <w:kern w:val="0"/>
          <w:sz w:val="32"/>
          <w:szCs w:val="32"/>
        </w:rPr>
      </w:pPr>
      <w:r w:rsidRPr="007E616E">
        <w:rPr>
          <w:rFonts w:ascii="Times New Roman" w:eastAsia="方正仿宋_GBK" w:hAnsi="Times New Roman" w:cs="Times New Roman"/>
          <w:color w:val="000000"/>
          <w:kern w:val="0"/>
          <w:sz w:val="32"/>
          <w:szCs w:val="32"/>
        </w:rPr>
        <w:t>2</w:t>
      </w:r>
      <w:r w:rsidRPr="007E616E">
        <w:rPr>
          <w:rFonts w:ascii="Times New Roman" w:eastAsia="方正仿宋_GBK" w:hAnsi="Times New Roman" w:cs="Times New Roman"/>
          <w:color w:val="000000"/>
          <w:kern w:val="0"/>
          <w:sz w:val="32"/>
          <w:szCs w:val="32"/>
        </w:rPr>
        <w:t>．调整为政府内部审批的事项目录</w:t>
      </w:r>
    </w:p>
    <w:p w:rsidR="007E616E" w:rsidRPr="007E616E" w:rsidRDefault="007E616E" w:rsidP="007E616E">
      <w:pPr>
        <w:widowControl/>
        <w:shd w:val="clear" w:color="auto" w:fill="FFFFFF"/>
        <w:spacing w:line="600" w:lineRule="exact"/>
        <w:ind w:firstLineChars="520" w:firstLine="1664"/>
        <w:rPr>
          <w:rFonts w:ascii="Times New Roman" w:eastAsia="方正仿宋_GBK" w:hAnsi="Times New Roman" w:cs="Times New Roman"/>
          <w:color w:val="000000"/>
          <w:kern w:val="0"/>
          <w:sz w:val="32"/>
          <w:szCs w:val="32"/>
        </w:rPr>
      </w:pPr>
      <w:r w:rsidRPr="007E616E">
        <w:rPr>
          <w:rFonts w:ascii="Times New Roman" w:eastAsia="方正仿宋_GBK" w:hAnsi="Times New Roman" w:cs="Times New Roman"/>
          <w:color w:val="000000"/>
          <w:kern w:val="0"/>
          <w:sz w:val="32"/>
          <w:szCs w:val="32"/>
        </w:rPr>
        <w:t>3</w:t>
      </w:r>
      <w:r w:rsidRPr="007E616E">
        <w:rPr>
          <w:rFonts w:ascii="Times New Roman" w:eastAsia="方正仿宋_GBK" w:hAnsi="Times New Roman" w:cs="Times New Roman"/>
          <w:color w:val="000000"/>
          <w:kern w:val="0"/>
          <w:sz w:val="32"/>
          <w:szCs w:val="32"/>
        </w:rPr>
        <w:t>．调整为其他权力的事项目录</w:t>
      </w:r>
    </w:p>
    <w:p w:rsidR="007E616E" w:rsidRDefault="007E616E" w:rsidP="007E616E">
      <w:pPr>
        <w:widowControl/>
        <w:shd w:val="clear" w:color="auto" w:fill="FFFFFF"/>
        <w:spacing w:line="600" w:lineRule="exact"/>
        <w:ind w:firstLineChars="520" w:firstLine="1664"/>
        <w:rPr>
          <w:rFonts w:ascii="方正仿宋_GBK" w:eastAsia="方正仿宋_GBK" w:hAnsi="宋体" w:cs="宋体" w:hint="eastAsia"/>
          <w:color w:val="000000"/>
          <w:kern w:val="0"/>
          <w:sz w:val="32"/>
          <w:szCs w:val="32"/>
        </w:rPr>
      </w:pPr>
      <w:r w:rsidRPr="007E616E">
        <w:rPr>
          <w:rFonts w:ascii="Times New Roman" w:eastAsia="方正仿宋_GBK" w:hAnsi="Times New Roman" w:cs="Times New Roman"/>
          <w:color w:val="000000"/>
          <w:kern w:val="0"/>
          <w:sz w:val="32"/>
          <w:szCs w:val="32"/>
        </w:rPr>
        <w:t>4</w:t>
      </w:r>
      <w:r>
        <w:rPr>
          <w:rFonts w:ascii="方正仿宋_GBK" w:eastAsia="方正仿宋_GBK" w:hAnsi="宋体" w:cs="宋体" w:hint="eastAsia"/>
          <w:color w:val="000000"/>
          <w:kern w:val="0"/>
          <w:sz w:val="32"/>
          <w:szCs w:val="32"/>
        </w:rPr>
        <w:t>．调整为行政登记的事项目录</w:t>
      </w:r>
    </w:p>
    <w:p w:rsidR="007E616E" w:rsidRDefault="007E616E" w:rsidP="007E616E">
      <w:pPr>
        <w:spacing w:line="600" w:lineRule="exact"/>
        <w:rPr>
          <w:rFonts w:hint="eastAsia"/>
        </w:rPr>
      </w:pPr>
    </w:p>
    <w:p w:rsidR="007E616E" w:rsidRDefault="007E616E" w:rsidP="007E616E">
      <w:pPr>
        <w:spacing w:line="600" w:lineRule="exact"/>
        <w:rPr>
          <w:rFonts w:hint="eastAsia"/>
        </w:rPr>
      </w:pPr>
    </w:p>
    <w:p w:rsidR="007E616E" w:rsidRDefault="007E616E" w:rsidP="007E616E">
      <w:pPr>
        <w:spacing w:line="600" w:lineRule="exact"/>
        <w:rPr>
          <w:rFonts w:ascii="方正仿宋_GBK" w:eastAsia="方正仿宋_GBK" w:hint="eastAsia"/>
          <w:sz w:val="32"/>
          <w:szCs w:val="32"/>
        </w:rPr>
      </w:pPr>
      <w:r>
        <w:rPr>
          <w:rFonts w:ascii="方正仿宋_GBK" w:eastAsia="方正仿宋_GBK" w:hint="eastAsia"/>
          <w:sz w:val="32"/>
          <w:szCs w:val="32"/>
        </w:rPr>
        <w:t xml:space="preserve">                         重庆市</w:t>
      </w: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山区人民政府办公室</w:t>
      </w:r>
    </w:p>
    <w:p w:rsidR="007E616E" w:rsidRPr="007E616E" w:rsidRDefault="007E616E" w:rsidP="007E616E">
      <w:pPr>
        <w:spacing w:line="600" w:lineRule="exact"/>
        <w:ind w:right="1280"/>
        <w:jc w:val="right"/>
        <w:rPr>
          <w:rFonts w:ascii="Times New Roman" w:eastAsia="方正仿宋_GBK" w:hAnsi="Times New Roman" w:cs="Times New Roman"/>
          <w:sz w:val="32"/>
          <w:szCs w:val="32"/>
        </w:rPr>
      </w:pPr>
      <w:r w:rsidRPr="007E616E">
        <w:rPr>
          <w:rFonts w:ascii="Times New Roman" w:eastAsia="方正仿宋_GBK" w:hAnsi="Times New Roman" w:cs="Times New Roman"/>
          <w:sz w:val="32"/>
          <w:szCs w:val="32"/>
        </w:rPr>
        <w:t>2016</w:t>
      </w:r>
      <w:r w:rsidRPr="007E616E">
        <w:rPr>
          <w:rFonts w:ascii="Times New Roman" w:eastAsia="方正仿宋_GBK" w:hAnsi="Times New Roman" w:cs="Times New Roman"/>
          <w:sz w:val="32"/>
          <w:szCs w:val="32"/>
        </w:rPr>
        <w:t>年</w:t>
      </w:r>
      <w:r w:rsidRPr="007E616E">
        <w:rPr>
          <w:rFonts w:ascii="Times New Roman" w:eastAsia="方正仿宋_GBK" w:hAnsi="Times New Roman" w:cs="Times New Roman"/>
          <w:sz w:val="32"/>
          <w:szCs w:val="32"/>
        </w:rPr>
        <w:t>8</w:t>
      </w:r>
      <w:r w:rsidRPr="007E616E">
        <w:rPr>
          <w:rFonts w:ascii="Times New Roman" w:eastAsia="方正仿宋_GBK" w:hAnsi="Times New Roman" w:cs="Times New Roman"/>
          <w:sz w:val="32"/>
          <w:szCs w:val="32"/>
        </w:rPr>
        <w:t>月</w:t>
      </w:r>
      <w:r w:rsidRPr="007E616E">
        <w:rPr>
          <w:rFonts w:ascii="Times New Roman" w:eastAsia="方正仿宋_GBK" w:hAnsi="Times New Roman" w:cs="Times New Roman"/>
          <w:sz w:val="32"/>
          <w:szCs w:val="32"/>
        </w:rPr>
        <w:t>29</w:t>
      </w:r>
      <w:r w:rsidRPr="007E616E">
        <w:rPr>
          <w:rFonts w:ascii="Times New Roman" w:eastAsia="方正仿宋_GBK" w:hAnsi="Times New Roman" w:cs="Times New Roman"/>
          <w:sz w:val="32"/>
          <w:szCs w:val="32"/>
        </w:rPr>
        <w:t xml:space="preserve">日　　</w:t>
      </w:r>
      <w:proofErr w:type="gramStart"/>
      <w:r w:rsidRPr="007E616E">
        <w:rPr>
          <w:rFonts w:ascii="Times New Roman" w:eastAsia="方正仿宋_GBK" w:hAnsi="Times New Roman" w:cs="Times New Roman"/>
          <w:sz w:val="32"/>
          <w:szCs w:val="32"/>
        </w:rPr>
        <w:t xml:space="preserve">　　</w:t>
      </w:r>
      <w:proofErr w:type="gramEnd"/>
    </w:p>
    <w:p w:rsidR="007E616E" w:rsidRDefault="007E616E" w:rsidP="007E616E">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（此件公开发布）</w:t>
      </w:r>
    </w:p>
    <w:p w:rsidR="007E616E" w:rsidRDefault="007E616E" w:rsidP="007E616E">
      <w:pPr>
        <w:spacing w:line="600" w:lineRule="exact"/>
        <w:rPr>
          <w:rFonts w:hint="eastAsia"/>
        </w:rPr>
      </w:pPr>
    </w:p>
    <w:p w:rsidR="007E616E" w:rsidRDefault="007E616E" w:rsidP="007E616E">
      <w:pPr>
        <w:spacing w:line="600" w:lineRule="exact"/>
        <w:rPr>
          <w:rFonts w:hint="eastAsia"/>
        </w:rPr>
      </w:pPr>
    </w:p>
    <w:p w:rsidR="007E616E" w:rsidRDefault="007E616E" w:rsidP="007E616E">
      <w:pPr>
        <w:spacing w:line="600" w:lineRule="exact"/>
        <w:rPr>
          <w:rFonts w:hint="eastAsia"/>
        </w:rPr>
      </w:pPr>
    </w:p>
    <w:p w:rsidR="007E616E" w:rsidRDefault="007E616E" w:rsidP="007E616E">
      <w:pPr>
        <w:spacing w:line="600" w:lineRule="exact"/>
        <w:rPr>
          <w:rFonts w:hint="eastAsia"/>
        </w:rPr>
      </w:pPr>
    </w:p>
    <w:p w:rsidR="00977F41" w:rsidRDefault="00977F41" w:rsidP="007E616E">
      <w:pPr>
        <w:spacing w:line="600" w:lineRule="exact"/>
        <w:rPr>
          <w:rFonts w:hint="eastAsia"/>
          <w:szCs w:val="32"/>
        </w:rPr>
      </w:pPr>
    </w:p>
    <w:p w:rsidR="007E616E" w:rsidRDefault="007E616E" w:rsidP="007E616E">
      <w:pPr>
        <w:widowControl/>
        <w:rPr>
          <w:rFonts w:ascii="方正黑体_GBK" w:eastAsia="方正黑体_GBK" w:hAnsi="宋体" w:cs="宋体" w:hint="eastAsia"/>
          <w:color w:val="000000"/>
          <w:kern w:val="0"/>
          <w:sz w:val="32"/>
          <w:szCs w:val="32"/>
        </w:rPr>
      </w:pPr>
      <w:r>
        <w:rPr>
          <w:rFonts w:ascii="方正黑体_GBK" w:eastAsia="方正黑体_GBK" w:hAnsi="宋体" w:cs="宋体" w:hint="eastAsia"/>
          <w:color w:val="000000"/>
          <w:kern w:val="0"/>
          <w:sz w:val="32"/>
          <w:szCs w:val="32"/>
        </w:rPr>
        <w:lastRenderedPageBreak/>
        <w:t>附件1</w:t>
      </w:r>
    </w:p>
    <w:p w:rsidR="007E616E" w:rsidRDefault="007E616E" w:rsidP="007E616E">
      <w:pPr>
        <w:widowControl/>
        <w:rPr>
          <w:rFonts w:ascii="方正楷体_GBK" w:eastAsia="方正楷体_GBK" w:hAnsi="宋体" w:cs="宋体"/>
          <w:color w:val="000000"/>
          <w:kern w:val="0"/>
          <w:szCs w:val="32"/>
        </w:rPr>
      </w:pPr>
    </w:p>
    <w:p w:rsidR="007E616E" w:rsidRDefault="007E616E" w:rsidP="007E616E">
      <w:pPr>
        <w:widowControl/>
        <w:shd w:val="clear" w:color="auto" w:fill="FFFFFF"/>
        <w:snapToGrid w:val="0"/>
        <w:spacing w:line="54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取消的非行政许可审批事项目录</w:t>
      </w:r>
    </w:p>
    <w:p w:rsidR="007E616E" w:rsidRDefault="007E616E" w:rsidP="007E616E">
      <w:pPr>
        <w:widowControl/>
        <w:shd w:val="clear" w:color="auto" w:fill="FFFFFF"/>
        <w:snapToGrid w:val="0"/>
        <w:spacing w:line="240" w:lineRule="exact"/>
        <w:jc w:val="center"/>
        <w:rPr>
          <w:rFonts w:ascii="方正小标宋_GBK" w:eastAsia="方正小标宋_GBK" w:hAnsi="宋体" w:cs="宋体"/>
          <w:color w:val="000000"/>
          <w:kern w:val="0"/>
          <w:sz w:val="44"/>
          <w:szCs w:val="4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1366"/>
        <w:gridCol w:w="1327"/>
        <w:gridCol w:w="4394"/>
        <w:gridCol w:w="1701"/>
      </w:tblGrid>
      <w:tr w:rsidR="007E616E" w:rsidRPr="007E616E" w:rsidTr="00ED7655">
        <w:trPr>
          <w:trHeight w:val="702"/>
        </w:trPr>
        <w:tc>
          <w:tcPr>
            <w:tcW w:w="852"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序号</w:t>
            </w:r>
          </w:p>
        </w:tc>
        <w:tc>
          <w:tcPr>
            <w:tcW w:w="1366"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审批部门</w:t>
            </w:r>
          </w:p>
        </w:tc>
        <w:tc>
          <w:tcPr>
            <w:tcW w:w="1327"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项目名称</w:t>
            </w:r>
          </w:p>
        </w:tc>
        <w:tc>
          <w:tcPr>
            <w:tcW w:w="4394"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设定依据</w:t>
            </w:r>
          </w:p>
        </w:tc>
        <w:tc>
          <w:tcPr>
            <w:tcW w:w="1701"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备注</w:t>
            </w:r>
          </w:p>
        </w:tc>
      </w:tr>
      <w:tr w:rsidR="007E616E" w:rsidRPr="007E616E" w:rsidTr="00ED7655">
        <w:trPr>
          <w:trHeight w:val="2686"/>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区经济</w:t>
            </w:r>
          </w:p>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信息委</w:t>
            </w:r>
          </w:p>
        </w:tc>
        <w:tc>
          <w:tcPr>
            <w:tcW w:w="1327" w:type="dxa"/>
            <w:vAlign w:val="center"/>
          </w:tcPr>
          <w:p w:rsidR="007E616E" w:rsidRPr="007E616E" w:rsidRDefault="007E616E" w:rsidP="00ED7655">
            <w:pPr>
              <w:widowControl/>
              <w:snapToGrid w:val="0"/>
              <w:spacing w:line="34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资源综合利用项目认定（</w:t>
            </w:r>
            <w:proofErr w:type="gramStart"/>
            <w:r w:rsidRPr="007E616E">
              <w:rPr>
                <w:rFonts w:ascii="Times New Roman" w:eastAsia="方正仿宋_GBK" w:hAnsi="Times New Roman" w:cs="Times New Roman"/>
                <w:color w:val="000000"/>
                <w:kern w:val="0"/>
                <w:sz w:val="24"/>
              </w:rPr>
              <w:t>含利用</w:t>
            </w:r>
            <w:proofErr w:type="gramEnd"/>
            <w:r w:rsidRPr="007E616E">
              <w:rPr>
                <w:rFonts w:ascii="Times New Roman" w:eastAsia="方正仿宋_GBK" w:hAnsi="Times New Roman" w:cs="Times New Roman"/>
                <w:color w:val="000000"/>
                <w:kern w:val="0"/>
                <w:sz w:val="24"/>
              </w:rPr>
              <w:t>余热气发电、煤层气发电）</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3</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kern w:val="0"/>
                <w:sz w:val="24"/>
              </w:rPr>
            </w:pPr>
            <w:r w:rsidRPr="007E616E">
              <w:rPr>
                <w:rFonts w:ascii="Times New Roman" w:eastAsia="方正仿宋_GBK" w:hAnsi="Times New Roman" w:cs="Times New Roman"/>
                <w:color w:val="000000"/>
                <w:kern w:val="0"/>
                <w:sz w:val="24"/>
              </w:rPr>
              <w:t>《国家鼓励的资源综合利用认定管理办法》（</w:t>
            </w:r>
            <w:proofErr w:type="gramStart"/>
            <w:r w:rsidRPr="007E616E">
              <w:rPr>
                <w:rFonts w:ascii="Times New Roman" w:eastAsia="方正仿宋_GBK" w:hAnsi="Times New Roman" w:cs="Times New Roman"/>
                <w:color w:val="000000"/>
                <w:kern w:val="0"/>
                <w:sz w:val="24"/>
              </w:rPr>
              <w:t>发改环</w:t>
            </w:r>
            <w:proofErr w:type="gramEnd"/>
            <w:r w:rsidRPr="007E616E">
              <w:rPr>
                <w:rFonts w:ascii="Times New Roman" w:eastAsia="方正仿宋_GBK" w:hAnsi="Times New Roman" w:cs="Times New Roman"/>
                <w:color w:val="000000"/>
                <w:kern w:val="0"/>
                <w:sz w:val="24"/>
              </w:rPr>
              <w:t>资〔</w:t>
            </w:r>
            <w:r w:rsidRPr="007E616E">
              <w:rPr>
                <w:rFonts w:ascii="Times New Roman" w:eastAsia="方正仿宋_GBK" w:hAnsi="Times New Roman" w:cs="Times New Roman"/>
                <w:color w:val="000000"/>
                <w:kern w:val="0"/>
                <w:sz w:val="24"/>
              </w:rPr>
              <w:t>2006</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1864</w:t>
            </w:r>
            <w:r w:rsidRPr="007E616E">
              <w:rPr>
                <w:rFonts w:ascii="Times New Roman" w:eastAsia="方正仿宋_GBK" w:hAnsi="Times New Roman" w:cs="Times New Roman"/>
                <w:color w:val="000000"/>
                <w:kern w:val="0"/>
                <w:sz w:val="24"/>
              </w:rPr>
              <w:t>号）第八条</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3132"/>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区人力</w:t>
            </w:r>
          </w:p>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社保局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定点医疗机构（药店）资格审查</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80</w:t>
            </w:r>
            <w:r w:rsidRPr="007E616E">
              <w:rPr>
                <w:rFonts w:ascii="Times New Roman" w:eastAsia="方正仿宋_GBK" w:hAnsi="Times New Roman" w:cs="Times New Roman"/>
                <w:color w:val="000000"/>
                <w:kern w:val="0"/>
                <w:sz w:val="24"/>
              </w:rPr>
              <w:t>项、第</w:t>
            </w:r>
            <w:r w:rsidRPr="007E616E">
              <w:rPr>
                <w:rFonts w:ascii="Times New Roman" w:eastAsia="方正仿宋_GBK" w:hAnsi="Times New Roman" w:cs="Times New Roman"/>
                <w:color w:val="000000"/>
                <w:kern w:val="0"/>
                <w:sz w:val="24"/>
              </w:rPr>
              <w:t>81</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kern w:val="0"/>
                <w:sz w:val="24"/>
              </w:rPr>
            </w:pPr>
            <w:r w:rsidRPr="007E616E">
              <w:rPr>
                <w:rFonts w:ascii="Times New Roman" w:eastAsia="方正仿宋_GBK" w:hAnsi="Times New Roman" w:cs="Times New Roman"/>
                <w:color w:val="000000"/>
                <w:kern w:val="0"/>
                <w:sz w:val="24"/>
              </w:rPr>
              <w:t>《重庆市人力资源和社会保障局关于印发重庆市医疗保险服务就医监督管理暂行办法的通知》（</w:t>
            </w:r>
            <w:proofErr w:type="gramStart"/>
            <w:r w:rsidRPr="007E616E">
              <w:rPr>
                <w:rFonts w:ascii="Times New Roman" w:eastAsia="方正仿宋_GBK" w:hAnsi="Times New Roman" w:cs="Times New Roman"/>
                <w:color w:val="000000"/>
                <w:kern w:val="0"/>
                <w:sz w:val="24"/>
              </w:rPr>
              <w:t>渝人社发</w:t>
            </w:r>
            <w:proofErr w:type="gramEnd"/>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2012</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23</w:t>
            </w:r>
            <w:r w:rsidRPr="007E616E">
              <w:rPr>
                <w:rFonts w:ascii="Times New Roman" w:eastAsia="方正仿宋_GBK" w:hAnsi="Times New Roman" w:cs="Times New Roman"/>
                <w:color w:val="000000"/>
                <w:kern w:val="0"/>
                <w:sz w:val="24"/>
              </w:rPr>
              <w:t>号）第五条</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3214"/>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3</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区环保局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建设项目环境保护设计备案</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《建设项目环境保护管理条例》第二十三条</w:t>
            </w:r>
          </w:p>
        </w:tc>
        <w:tc>
          <w:tcPr>
            <w:tcW w:w="1701" w:type="dxa"/>
            <w:vAlign w:val="center"/>
          </w:tcPr>
          <w:p w:rsidR="007E616E" w:rsidRPr="007E616E" w:rsidRDefault="007E616E" w:rsidP="00ED7655">
            <w:pPr>
              <w:widowControl/>
              <w:snapToGrid w:val="0"/>
              <w:spacing w:line="36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建设项目环境保护管理行政审批</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的子项，纳入</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建设项目环境影响评价审批</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中进行审核</w:t>
            </w:r>
          </w:p>
        </w:tc>
      </w:tr>
      <w:tr w:rsidR="007E616E" w:rsidRPr="007E616E" w:rsidTr="00ED7655">
        <w:trPr>
          <w:trHeight w:val="2589"/>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lastRenderedPageBreak/>
              <w:t>4</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区卫生</w:t>
            </w:r>
          </w:p>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计生委</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生活饮用水供水单位新建、改扩建工程建设项目预防性卫生审查</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《生活饮用水卫生监督管理办法》第八条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《重庆市人民政府关于公布</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年行政审批制度改革事项目录（第一批）的决定》（</w:t>
            </w:r>
            <w:proofErr w:type="gramStart"/>
            <w:r w:rsidRPr="007E616E">
              <w:rPr>
                <w:rFonts w:ascii="Times New Roman" w:eastAsia="方正仿宋_GBK" w:hAnsi="Times New Roman" w:cs="Times New Roman"/>
                <w:color w:val="000000"/>
                <w:kern w:val="0"/>
                <w:sz w:val="24"/>
              </w:rPr>
              <w:t>渝府发</w:t>
            </w:r>
            <w:proofErr w:type="gramEnd"/>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32</w:t>
            </w:r>
            <w:r w:rsidRPr="007E616E">
              <w:rPr>
                <w:rFonts w:ascii="Times New Roman" w:eastAsia="方正仿宋_GBK" w:hAnsi="Times New Roman" w:cs="Times New Roman"/>
                <w:color w:val="000000"/>
                <w:kern w:val="0"/>
                <w:sz w:val="24"/>
              </w:rPr>
              <w:t>号）下放</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2615"/>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5</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对办理税务登记（外出经营报验登记）的核准</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《中华人民共和国税收征收管理法》第</w:t>
            </w:r>
            <w:r w:rsidRPr="007E616E">
              <w:rPr>
                <w:rFonts w:ascii="Times New Roman" w:eastAsia="方正仿宋_GBK" w:hAnsi="Times New Roman" w:cs="Times New Roman"/>
                <w:color w:val="000000"/>
                <w:kern w:val="0"/>
                <w:sz w:val="24"/>
              </w:rPr>
              <w:t>16</w:t>
            </w:r>
            <w:r w:rsidRPr="007E616E">
              <w:rPr>
                <w:rFonts w:ascii="Times New Roman" w:eastAsia="方正仿宋_GBK" w:hAnsi="Times New Roman" w:cs="Times New Roman"/>
                <w:color w:val="000000"/>
                <w:kern w:val="0"/>
                <w:sz w:val="24"/>
              </w:rPr>
              <w:t>条</w:t>
            </w:r>
          </w:p>
          <w:p w:rsidR="007E616E" w:rsidRPr="007E616E" w:rsidRDefault="007E616E" w:rsidP="007E616E">
            <w:pPr>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widowControl/>
              <w:snapToGrid w:val="0"/>
              <w:spacing w:line="360" w:lineRule="exact"/>
              <w:rPr>
                <w:rFonts w:ascii="Times New Roman" w:eastAsia="方正仿宋_GBK" w:hAnsi="Times New Roman" w:cs="Times New Roman"/>
                <w:color w:val="000000"/>
                <w:w w:val="9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对办理税务登记（注销、外出经营报验）的核准</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项目的子项</w:t>
            </w:r>
          </w:p>
        </w:tc>
      </w:tr>
      <w:tr w:rsidR="007E616E" w:rsidRPr="007E616E" w:rsidTr="00ED7655">
        <w:trPr>
          <w:trHeight w:val="2811"/>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6</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对承担粮食收储任务的国有粮食购销企业免征增值税的审核</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《财政部、国家税务总局关于粮食企业增值税征免问题的通知》（财税字〔</w:t>
            </w:r>
            <w:r w:rsidRPr="007E616E">
              <w:rPr>
                <w:rFonts w:ascii="Times New Roman" w:eastAsia="方正仿宋_GBK" w:hAnsi="Times New Roman" w:cs="Times New Roman"/>
                <w:color w:val="000000"/>
                <w:kern w:val="0"/>
                <w:sz w:val="24"/>
              </w:rPr>
              <w:t>1999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198</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4041"/>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7</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申请开具红字增值税专用发票的审核</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《国家税务总局关于修订增值税专用发票使用规定的通知》（国税发〔</w:t>
            </w:r>
            <w:r w:rsidRPr="007E616E">
              <w:rPr>
                <w:rFonts w:ascii="Times New Roman" w:eastAsia="方正仿宋_GBK" w:hAnsi="Times New Roman" w:cs="Times New Roman"/>
                <w:color w:val="000000"/>
                <w:kern w:val="0"/>
                <w:sz w:val="24"/>
              </w:rPr>
              <w:t>2006</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156</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《国家税务总局关于在全国开展营业税改征增值税试点有关征收管理问题的公告》（国家税务总局公告</w:t>
            </w:r>
            <w:r w:rsidRPr="007E616E">
              <w:rPr>
                <w:rFonts w:ascii="Times New Roman" w:eastAsia="方正仿宋_GBK" w:hAnsi="Times New Roman" w:cs="Times New Roman"/>
                <w:color w:val="000000"/>
                <w:kern w:val="0"/>
                <w:sz w:val="24"/>
              </w:rPr>
              <w:t>2013</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39</w:t>
            </w:r>
            <w:r w:rsidRPr="007E616E">
              <w:rPr>
                <w:rFonts w:ascii="Times New Roman" w:eastAsia="方正仿宋_GBK" w:hAnsi="Times New Roman" w:cs="Times New Roman"/>
                <w:color w:val="000000"/>
                <w:kern w:val="0"/>
                <w:sz w:val="24"/>
              </w:rPr>
              <w:t>号</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第</w:t>
            </w:r>
            <w:r w:rsidRPr="007E616E">
              <w:rPr>
                <w:rFonts w:ascii="Times New Roman" w:eastAsia="方正仿宋_GBK" w:hAnsi="Times New Roman" w:cs="Times New Roman"/>
                <w:color w:val="000000"/>
                <w:kern w:val="0"/>
                <w:sz w:val="24"/>
              </w:rPr>
              <w:t>4</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2116"/>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lastRenderedPageBreak/>
              <w:t>8</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对承担粮食收储任务的国有粮食购销企业增值税免税资格的审核认定</w:t>
            </w:r>
          </w:p>
        </w:tc>
        <w:tc>
          <w:tcPr>
            <w:tcW w:w="4394" w:type="dxa"/>
            <w:vAlign w:val="center"/>
          </w:tcPr>
          <w:p w:rsidR="007E616E" w:rsidRPr="007E616E" w:rsidRDefault="007E616E" w:rsidP="007E616E">
            <w:pPr>
              <w:widowControl/>
              <w:snapToGrid w:val="0"/>
              <w:spacing w:line="3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《财政部、国家税务总局关于粮食企业增值税征免问题的通知》（财税字〔</w:t>
            </w:r>
            <w:r w:rsidRPr="007E616E">
              <w:rPr>
                <w:rFonts w:ascii="Times New Roman" w:eastAsia="方正仿宋_GBK" w:hAnsi="Times New Roman" w:cs="Times New Roman"/>
                <w:color w:val="000000"/>
                <w:kern w:val="0"/>
                <w:sz w:val="24"/>
              </w:rPr>
              <w:t>1999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198</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Merge w:val="restart"/>
            <w:vAlign w:val="center"/>
          </w:tcPr>
          <w:p w:rsidR="007E616E" w:rsidRPr="007E616E" w:rsidRDefault="007E616E" w:rsidP="00ED7655">
            <w:pPr>
              <w:widowControl/>
              <w:snapToGrid w:val="0"/>
              <w:spacing w:line="30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对承担粮食收储任务的国有粮食购销企业和经营免税项目的粮食经营企业以及有政府储备食用植物油销售业务的企业增值税免税资格的审核</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项目的子项</w:t>
            </w:r>
          </w:p>
        </w:tc>
      </w:tr>
      <w:tr w:rsidR="007E616E" w:rsidRPr="007E616E" w:rsidTr="00ED7655">
        <w:trPr>
          <w:trHeight w:val="2259"/>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9</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对经营免税项目的粮食经营企业增值税免税资格的审核认定</w:t>
            </w:r>
          </w:p>
        </w:tc>
        <w:tc>
          <w:tcPr>
            <w:tcW w:w="4394" w:type="dxa"/>
            <w:vAlign w:val="center"/>
          </w:tcPr>
          <w:p w:rsidR="007E616E" w:rsidRPr="007E616E" w:rsidRDefault="007E616E" w:rsidP="007E616E">
            <w:pPr>
              <w:widowControl/>
              <w:snapToGrid w:val="0"/>
              <w:spacing w:line="3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《财政部、国家税务总局关于粮食企业增值税征免问题的通知》（财税字〔</w:t>
            </w:r>
            <w:r w:rsidRPr="007E616E">
              <w:rPr>
                <w:rFonts w:ascii="Times New Roman" w:eastAsia="方正仿宋_GBK" w:hAnsi="Times New Roman" w:cs="Times New Roman"/>
                <w:color w:val="000000"/>
                <w:kern w:val="0"/>
                <w:sz w:val="24"/>
              </w:rPr>
              <w:t>1999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198</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Merge/>
            <w:vAlign w:val="center"/>
          </w:tcPr>
          <w:p w:rsidR="007E616E" w:rsidRPr="007E616E" w:rsidRDefault="007E616E" w:rsidP="00ED7655">
            <w:pPr>
              <w:widowControl/>
              <w:snapToGrid w:val="0"/>
              <w:spacing w:line="300" w:lineRule="exact"/>
              <w:jc w:val="left"/>
              <w:rPr>
                <w:rFonts w:ascii="Times New Roman" w:eastAsia="方正仿宋_GBK" w:hAnsi="Times New Roman" w:cs="Times New Roman"/>
                <w:color w:val="000000"/>
                <w:kern w:val="0"/>
                <w:sz w:val="24"/>
              </w:rPr>
            </w:pPr>
          </w:p>
        </w:tc>
      </w:tr>
      <w:tr w:rsidR="007E616E" w:rsidRPr="007E616E" w:rsidTr="00ED7655">
        <w:trPr>
          <w:trHeight w:val="3222"/>
        </w:trPr>
        <w:tc>
          <w:tcPr>
            <w:tcW w:w="852"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10</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有政府储备食用植物油销售业务的企业增值税免税资格的审核认定</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《财政部、国家税务总局关于粮食企业增值税征免问题的通知》（财税字〔</w:t>
            </w:r>
            <w:r w:rsidRPr="007E616E">
              <w:rPr>
                <w:rFonts w:ascii="Times New Roman" w:eastAsia="方正仿宋_GBK" w:hAnsi="Times New Roman" w:cs="Times New Roman"/>
                <w:color w:val="000000"/>
                <w:kern w:val="0"/>
                <w:sz w:val="24"/>
              </w:rPr>
              <w:t>1999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198</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widowControl/>
              <w:snapToGrid w:val="0"/>
              <w:spacing w:line="36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对承担粮食收储任务的国有粮食购销企业和经营免税项目的粮食经营企业以及有政府储备食用植物油销售业务的企业增值税免税资格的审核</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项目的子项</w:t>
            </w:r>
          </w:p>
        </w:tc>
      </w:tr>
      <w:tr w:rsidR="007E616E" w:rsidRPr="007E616E" w:rsidTr="00ED7655">
        <w:trPr>
          <w:trHeight w:val="2803"/>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sz w:val="24"/>
              </w:rPr>
            </w:pPr>
            <w:r w:rsidRPr="007E616E">
              <w:rPr>
                <w:rFonts w:ascii="Times New Roman" w:eastAsia="方正仿宋_GBK" w:hAnsi="Times New Roman" w:cs="Times New Roman"/>
                <w:sz w:val="24"/>
              </w:rPr>
              <w:lastRenderedPageBreak/>
              <w:t>11</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proofErr w:type="gramStart"/>
            <w:r w:rsidRPr="007E616E">
              <w:rPr>
                <w:rFonts w:ascii="Times New Roman" w:eastAsia="方正仿宋_GBK" w:hAnsi="Times New Roman" w:cs="Times New Roman"/>
                <w:color w:val="000000"/>
                <w:kern w:val="0"/>
                <w:sz w:val="24"/>
              </w:rPr>
              <w:t>营改增</w:t>
            </w:r>
            <w:proofErr w:type="gramEnd"/>
            <w:r w:rsidRPr="007E616E">
              <w:rPr>
                <w:rFonts w:ascii="Times New Roman" w:eastAsia="方正仿宋_GBK" w:hAnsi="Times New Roman" w:cs="Times New Roman"/>
                <w:color w:val="000000"/>
                <w:kern w:val="0"/>
                <w:sz w:val="24"/>
              </w:rPr>
              <w:t>后随军家属优惠政策审批</w:t>
            </w:r>
          </w:p>
        </w:tc>
        <w:tc>
          <w:tcPr>
            <w:tcW w:w="4394" w:type="dxa"/>
            <w:vAlign w:val="center"/>
          </w:tcPr>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《财政部、国家税务总局关于将铁路运输和邮政业纳入营业税改征增值税试点的通知》（财税〔</w:t>
            </w:r>
            <w:r w:rsidRPr="007E616E">
              <w:rPr>
                <w:rFonts w:ascii="Times New Roman" w:eastAsia="方正仿宋_GBK" w:hAnsi="Times New Roman" w:cs="Times New Roman"/>
                <w:color w:val="000000"/>
                <w:kern w:val="0"/>
                <w:sz w:val="24"/>
              </w:rPr>
              <w:t>2013</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106</w:t>
            </w:r>
            <w:r w:rsidRPr="007E616E">
              <w:rPr>
                <w:rFonts w:ascii="Times New Roman" w:eastAsia="方正仿宋_GBK" w:hAnsi="Times New Roman" w:cs="Times New Roman"/>
                <w:color w:val="000000"/>
                <w:kern w:val="0"/>
                <w:sz w:val="24"/>
              </w:rPr>
              <w:t>号）附件</w:t>
            </w:r>
            <w:r w:rsidRPr="007E616E">
              <w:rPr>
                <w:rFonts w:ascii="Times New Roman" w:eastAsia="方正仿宋_GBK" w:hAnsi="Times New Roman" w:cs="Times New Roman"/>
                <w:color w:val="000000"/>
                <w:kern w:val="0"/>
                <w:sz w:val="24"/>
              </w:rPr>
              <w:t>3</w:t>
            </w:r>
            <w:r w:rsidRPr="007E616E">
              <w:rPr>
                <w:rFonts w:ascii="Times New Roman" w:eastAsia="方正仿宋_GBK" w:hAnsi="Times New Roman" w:cs="Times New Roman"/>
                <w:color w:val="000000"/>
                <w:kern w:val="0"/>
                <w:sz w:val="24"/>
              </w:rPr>
              <w:t>第</w:t>
            </w:r>
            <w:r w:rsidRPr="007E616E">
              <w:rPr>
                <w:rFonts w:ascii="Times New Roman" w:eastAsia="方正仿宋_GBK" w:hAnsi="Times New Roman" w:cs="Times New Roman"/>
                <w:color w:val="000000"/>
                <w:kern w:val="0"/>
                <w:sz w:val="24"/>
              </w:rPr>
              <w:t>1</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40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2840"/>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sz w:val="24"/>
              </w:rPr>
            </w:pPr>
            <w:r w:rsidRPr="007E616E">
              <w:rPr>
                <w:rFonts w:ascii="Times New Roman" w:eastAsia="方正仿宋_GBK" w:hAnsi="Times New Roman" w:cs="Times New Roman"/>
                <w:sz w:val="24"/>
              </w:rPr>
              <w:t>12</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proofErr w:type="gramStart"/>
            <w:r w:rsidRPr="007E616E">
              <w:rPr>
                <w:rFonts w:ascii="Times New Roman" w:eastAsia="方正仿宋_GBK" w:hAnsi="Times New Roman" w:cs="Times New Roman"/>
                <w:color w:val="000000"/>
                <w:kern w:val="0"/>
                <w:sz w:val="24"/>
              </w:rPr>
              <w:t>营改增</w:t>
            </w:r>
            <w:proofErr w:type="gramEnd"/>
            <w:r w:rsidRPr="007E616E">
              <w:rPr>
                <w:rFonts w:ascii="Times New Roman" w:eastAsia="方正仿宋_GBK" w:hAnsi="Times New Roman" w:cs="Times New Roman"/>
                <w:color w:val="000000"/>
                <w:kern w:val="0"/>
                <w:sz w:val="24"/>
              </w:rPr>
              <w:t>后军队转业干部优惠政策审批</w:t>
            </w:r>
          </w:p>
        </w:tc>
        <w:tc>
          <w:tcPr>
            <w:tcW w:w="4394" w:type="dxa"/>
            <w:vAlign w:val="center"/>
          </w:tcPr>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《财政部、国家税务总局关于将铁路运输和邮政业纳入营业税改征增值税试点的通知》（财税〔</w:t>
            </w:r>
            <w:r w:rsidRPr="007E616E">
              <w:rPr>
                <w:rFonts w:ascii="Times New Roman" w:eastAsia="方正仿宋_GBK" w:hAnsi="Times New Roman" w:cs="Times New Roman"/>
                <w:color w:val="000000"/>
                <w:kern w:val="0"/>
                <w:sz w:val="24"/>
              </w:rPr>
              <w:t>2013</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106</w:t>
            </w:r>
            <w:r w:rsidRPr="007E616E">
              <w:rPr>
                <w:rFonts w:ascii="Times New Roman" w:eastAsia="方正仿宋_GBK" w:hAnsi="Times New Roman" w:cs="Times New Roman"/>
                <w:color w:val="000000"/>
                <w:kern w:val="0"/>
                <w:sz w:val="24"/>
              </w:rPr>
              <w:t>号）附件</w:t>
            </w:r>
            <w:r w:rsidRPr="007E616E">
              <w:rPr>
                <w:rFonts w:ascii="Times New Roman" w:eastAsia="方正仿宋_GBK" w:hAnsi="Times New Roman" w:cs="Times New Roman"/>
                <w:color w:val="000000"/>
                <w:kern w:val="0"/>
                <w:sz w:val="24"/>
              </w:rPr>
              <w:t>3</w:t>
            </w:r>
            <w:r w:rsidRPr="007E616E">
              <w:rPr>
                <w:rFonts w:ascii="Times New Roman" w:eastAsia="方正仿宋_GBK" w:hAnsi="Times New Roman" w:cs="Times New Roman"/>
                <w:color w:val="000000"/>
                <w:kern w:val="0"/>
                <w:sz w:val="24"/>
              </w:rPr>
              <w:t>第</w:t>
            </w:r>
            <w:r w:rsidRPr="007E616E">
              <w:rPr>
                <w:rFonts w:ascii="Times New Roman" w:eastAsia="方正仿宋_GBK" w:hAnsi="Times New Roman" w:cs="Times New Roman"/>
                <w:color w:val="000000"/>
                <w:kern w:val="0"/>
                <w:sz w:val="24"/>
              </w:rPr>
              <w:t>1</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40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2308"/>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sz w:val="24"/>
              </w:rPr>
            </w:pPr>
            <w:r w:rsidRPr="007E616E">
              <w:rPr>
                <w:rFonts w:ascii="Times New Roman" w:eastAsia="方正仿宋_GBK" w:hAnsi="Times New Roman" w:cs="Times New Roman"/>
                <w:sz w:val="24"/>
              </w:rPr>
              <w:t>13</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设有固定装置的非运输车辆免征车辆购置税审核</w:t>
            </w:r>
          </w:p>
        </w:tc>
        <w:tc>
          <w:tcPr>
            <w:tcW w:w="4394" w:type="dxa"/>
            <w:vAlign w:val="center"/>
          </w:tcPr>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《车辆购置税征收管理办法》（国家税务总局令第</w:t>
            </w:r>
            <w:r w:rsidRPr="007E616E">
              <w:rPr>
                <w:rFonts w:ascii="Times New Roman" w:eastAsia="方正仿宋_GBK" w:hAnsi="Times New Roman" w:cs="Times New Roman"/>
                <w:color w:val="000000"/>
                <w:kern w:val="0"/>
                <w:sz w:val="24"/>
              </w:rPr>
              <w:t>27</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29</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40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40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1903"/>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sz w:val="24"/>
              </w:rPr>
            </w:pPr>
            <w:r w:rsidRPr="007E616E">
              <w:rPr>
                <w:rFonts w:ascii="Times New Roman" w:eastAsia="方正仿宋_GBK" w:hAnsi="Times New Roman" w:cs="Times New Roman"/>
                <w:sz w:val="24"/>
              </w:rPr>
              <w:t>14</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车辆购置税完税车辆不予登记的退税审核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《车辆购置税征收管理办法》（国家税务总局令第</w:t>
            </w:r>
            <w:r w:rsidRPr="007E616E">
              <w:rPr>
                <w:rFonts w:ascii="Times New Roman" w:eastAsia="方正仿宋_GBK" w:hAnsi="Times New Roman" w:cs="Times New Roman"/>
                <w:color w:val="000000"/>
                <w:kern w:val="0"/>
                <w:sz w:val="24"/>
              </w:rPr>
              <w:t>27</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23</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40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2769"/>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sz w:val="24"/>
              </w:rPr>
            </w:pPr>
            <w:r w:rsidRPr="007E616E">
              <w:rPr>
                <w:rFonts w:ascii="Times New Roman" w:eastAsia="方正仿宋_GBK" w:hAnsi="Times New Roman" w:cs="Times New Roman"/>
                <w:sz w:val="24"/>
              </w:rPr>
              <w:lastRenderedPageBreak/>
              <w:t>15</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公共汽</w:t>
            </w:r>
            <w:proofErr w:type="gramStart"/>
            <w:r w:rsidRPr="007E616E">
              <w:rPr>
                <w:rFonts w:ascii="Times New Roman" w:eastAsia="方正仿宋_GBK" w:hAnsi="Times New Roman" w:cs="Times New Roman"/>
                <w:color w:val="000000"/>
                <w:kern w:val="0"/>
                <w:sz w:val="24"/>
              </w:rPr>
              <w:t>电车辆</w:t>
            </w:r>
            <w:proofErr w:type="gramEnd"/>
            <w:r w:rsidRPr="007E616E">
              <w:rPr>
                <w:rFonts w:ascii="Times New Roman" w:eastAsia="方正仿宋_GBK" w:hAnsi="Times New Roman" w:cs="Times New Roman"/>
                <w:color w:val="000000"/>
                <w:kern w:val="0"/>
                <w:sz w:val="24"/>
              </w:rPr>
              <w:t>免征车辆购置税的审核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《国家税务总局、交通运输部关于城市公交企业购置公共汽电车辆免征车辆购置税有关问题的通知》（国税发〔</w:t>
            </w:r>
            <w:r w:rsidRPr="007E616E">
              <w:rPr>
                <w:rFonts w:ascii="Times New Roman" w:eastAsia="方正仿宋_GBK" w:hAnsi="Times New Roman" w:cs="Times New Roman"/>
                <w:color w:val="000000"/>
                <w:kern w:val="0"/>
                <w:sz w:val="24"/>
              </w:rPr>
              <w:t>2012</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61</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36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2420"/>
        </w:trPr>
        <w:tc>
          <w:tcPr>
            <w:tcW w:w="852" w:type="dxa"/>
            <w:vAlign w:val="center"/>
          </w:tcPr>
          <w:p w:rsidR="007E616E" w:rsidRPr="007E616E" w:rsidRDefault="007E616E" w:rsidP="00ED7655">
            <w:pPr>
              <w:widowControl/>
              <w:snapToGrid w:val="0"/>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16</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成品油消费税征税范围认定</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《国家税务总局关于消费税有关政策问题的公告》（国家税务总局公告</w:t>
            </w:r>
            <w:r w:rsidRPr="007E616E">
              <w:rPr>
                <w:rFonts w:ascii="Times New Roman" w:eastAsia="方正仿宋_GBK" w:hAnsi="Times New Roman" w:cs="Times New Roman"/>
                <w:color w:val="000000"/>
                <w:kern w:val="0"/>
                <w:sz w:val="24"/>
              </w:rPr>
              <w:t>2012</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47</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36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3195"/>
        </w:trPr>
        <w:tc>
          <w:tcPr>
            <w:tcW w:w="852" w:type="dxa"/>
            <w:vAlign w:val="center"/>
          </w:tcPr>
          <w:p w:rsidR="007E616E" w:rsidRPr="007E616E" w:rsidRDefault="007E616E" w:rsidP="00ED7655">
            <w:pPr>
              <w:widowControl/>
              <w:snapToGrid w:val="0"/>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17</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享受协定（含与港澳台安排、协议）待遇对方居民身份审核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146</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《国家税务总局关于印发〈非居民享受税收协定待遇管理办法（试行）〉的通知》（国税发〔</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124</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widowControl/>
              <w:snapToGrid w:val="0"/>
              <w:spacing w:line="34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非居民享受税收协定（含与港澳台协议）待遇审批</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项目的子项</w:t>
            </w:r>
          </w:p>
        </w:tc>
      </w:tr>
      <w:tr w:rsidR="007E616E" w:rsidRPr="007E616E" w:rsidTr="00ED7655">
        <w:trPr>
          <w:trHeight w:val="3440"/>
        </w:trPr>
        <w:tc>
          <w:tcPr>
            <w:tcW w:w="852" w:type="dxa"/>
            <w:vAlign w:val="center"/>
          </w:tcPr>
          <w:p w:rsidR="007E616E" w:rsidRPr="007E616E" w:rsidRDefault="007E616E" w:rsidP="00ED7655">
            <w:pPr>
              <w:widowControl/>
              <w:snapToGrid w:val="0"/>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18</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取得协定（含与港澳台安排、协议）待遇相关所得的受益所有人身份审核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146</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《国家税务总局关于印发〈非居民享受税收协定待遇管理办法（试行）〉的通知》（国税发〔</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124</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widowControl/>
              <w:snapToGrid w:val="0"/>
              <w:spacing w:line="360" w:lineRule="exact"/>
              <w:ind w:firstLineChars="200" w:firstLine="480"/>
              <w:jc w:val="center"/>
              <w:rPr>
                <w:rFonts w:ascii="Times New Roman" w:eastAsia="方正仿宋_GBK" w:hAnsi="Times New Roman" w:cs="Times New Roman"/>
                <w:color w:val="000000"/>
                <w:kern w:val="0"/>
                <w:sz w:val="24"/>
              </w:rPr>
            </w:pPr>
          </w:p>
        </w:tc>
      </w:tr>
      <w:tr w:rsidR="007E616E" w:rsidRPr="007E616E" w:rsidTr="00ED7655">
        <w:trPr>
          <w:trHeight w:val="2770"/>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lastRenderedPageBreak/>
              <w:t>19</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主管税务机关对非居民企业适用行业及所适用的利润率的审核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《国家税务总局关于印发〈非居民企业所得税核定征收管理办法〉的通知》（国税发〔</w:t>
            </w:r>
            <w:r w:rsidRPr="007E616E">
              <w:rPr>
                <w:rFonts w:ascii="Times New Roman" w:eastAsia="方正仿宋_GBK" w:hAnsi="Times New Roman" w:cs="Times New Roman"/>
                <w:color w:val="000000"/>
                <w:kern w:val="0"/>
                <w:sz w:val="24"/>
              </w:rPr>
              <w:t>2010</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19</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6</w:t>
            </w:r>
            <w:r w:rsidRPr="007E616E">
              <w:rPr>
                <w:rFonts w:ascii="Times New Roman" w:eastAsia="方正仿宋_GBK" w:hAnsi="Times New Roman" w:cs="Times New Roman"/>
                <w:color w:val="000000"/>
                <w:kern w:val="0"/>
                <w:sz w:val="24"/>
              </w:rPr>
              <w:t>条、第</w:t>
            </w:r>
            <w:r w:rsidRPr="007E616E">
              <w:rPr>
                <w:rFonts w:ascii="Times New Roman" w:eastAsia="方正仿宋_GBK" w:hAnsi="Times New Roman" w:cs="Times New Roman"/>
                <w:color w:val="000000"/>
                <w:kern w:val="0"/>
                <w:sz w:val="24"/>
              </w:rPr>
              <w:t>9</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2895"/>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20</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汇总纳税企业组织结构变更审核</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《国家税务总局关于印发〈跨地区经营汇总纳税企业所得税征收管理办法〉的公告》（国家税务总局公告</w:t>
            </w:r>
            <w:r w:rsidRPr="007E616E">
              <w:rPr>
                <w:rFonts w:ascii="Times New Roman" w:eastAsia="方正仿宋_GBK" w:hAnsi="Times New Roman" w:cs="Times New Roman"/>
                <w:color w:val="000000"/>
                <w:kern w:val="0"/>
                <w:sz w:val="24"/>
              </w:rPr>
              <w:t>2012</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57</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24</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2259"/>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21</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西部大开发税收优惠政策审批</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《财政部、海关总署、国家税务总局关于深入实施西部大开发战略有关税收政策问题的通知》（财税〔</w:t>
            </w:r>
            <w:r w:rsidRPr="007E616E">
              <w:rPr>
                <w:rFonts w:ascii="Times New Roman" w:eastAsia="方正仿宋_GBK" w:hAnsi="Times New Roman" w:cs="Times New Roman"/>
                <w:color w:val="000000"/>
                <w:kern w:val="0"/>
                <w:sz w:val="24"/>
              </w:rPr>
              <w:t>2011</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58</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2616"/>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22</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企业取得的符合条件的技术转让所得享受所得税优惠核准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《国家税务总局关于技术转让所得减免企业所得税有关问题的通知》（国税函〔</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212</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3398"/>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lastRenderedPageBreak/>
              <w:t>23</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安置残疾人员和国家鼓励安置的其他就业人员所支付工资的加计扣除的核准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《中华人民共和国企业所得税法》第</w:t>
            </w:r>
            <w:r w:rsidRPr="007E616E">
              <w:rPr>
                <w:rFonts w:ascii="Times New Roman" w:eastAsia="方正仿宋_GBK" w:hAnsi="Times New Roman" w:cs="Times New Roman"/>
                <w:color w:val="000000"/>
                <w:kern w:val="0"/>
                <w:sz w:val="24"/>
              </w:rPr>
              <w:t>30</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《财政部、国家税务总局关于安置残疾人员就业有关企业所得税优惠政策问题的通知》（财税〔</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70</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1875"/>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24</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创业投资企业享受创业投资所得税优惠核准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《国家税务总局关于实施创业投资企业所得税优惠问题的通知》（国税发〔</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87</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983"/>
        </w:trPr>
        <w:tc>
          <w:tcPr>
            <w:tcW w:w="852"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25</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企业享受综合利用资源所得税优惠的核准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《国家税务总局关于资源综合利用企业所得税优惠管理问题的通知》（国税函〔</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185</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983"/>
        </w:trPr>
        <w:tc>
          <w:tcPr>
            <w:tcW w:w="852" w:type="dxa"/>
            <w:vAlign w:val="center"/>
          </w:tcPr>
          <w:p w:rsidR="007E616E" w:rsidRPr="007E616E" w:rsidRDefault="007E616E" w:rsidP="00ED7655">
            <w:pPr>
              <w:widowControl/>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26</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符合条件的非营利组织享受免税收入优惠的备案核准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《国家税务总局关于企业所得税税收优惠管理问题的补充通知》（国税函〔</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255</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widowControl/>
              <w:spacing w:line="400" w:lineRule="exact"/>
              <w:jc w:val="center"/>
              <w:rPr>
                <w:rFonts w:ascii="Times New Roman" w:eastAsia="方正仿宋_GBK" w:hAnsi="Times New Roman" w:cs="Times New Roman"/>
                <w:color w:val="000000"/>
                <w:kern w:val="0"/>
                <w:sz w:val="24"/>
              </w:rPr>
            </w:pPr>
          </w:p>
        </w:tc>
      </w:tr>
      <w:tr w:rsidR="007E616E" w:rsidRPr="007E616E" w:rsidTr="00ED7655">
        <w:trPr>
          <w:trHeight w:val="983"/>
        </w:trPr>
        <w:tc>
          <w:tcPr>
            <w:tcW w:w="852" w:type="dxa"/>
            <w:vAlign w:val="center"/>
          </w:tcPr>
          <w:p w:rsidR="007E616E" w:rsidRPr="007E616E" w:rsidRDefault="007E616E" w:rsidP="00ED7655">
            <w:pPr>
              <w:widowControl/>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27</w:t>
            </w:r>
          </w:p>
        </w:tc>
        <w:tc>
          <w:tcPr>
            <w:tcW w:w="1366" w:type="dxa"/>
            <w:vAlign w:val="center"/>
          </w:tcPr>
          <w:p w:rsidR="007E616E" w:rsidRPr="007E616E" w:rsidRDefault="007E616E" w:rsidP="00ED7655">
            <w:pPr>
              <w:widowControl/>
              <w:snapToGrid w:val="0"/>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ED7655">
            <w:pPr>
              <w:widowControl/>
              <w:snapToGrid w:val="0"/>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企业从事农林牧渔业项目的所得享受所得税优惠的备案核准</w:t>
            </w:r>
          </w:p>
        </w:tc>
        <w:tc>
          <w:tcPr>
            <w:tcW w:w="4394" w:type="dxa"/>
            <w:vAlign w:val="center"/>
          </w:tcPr>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《国家税务总局关于企业所得税税收优惠管理问题的补充通知》（国税函〔</w:t>
            </w:r>
            <w:r w:rsidRPr="007E616E">
              <w:rPr>
                <w:rFonts w:ascii="Times New Roman" w:eastAsia="方正仿宋_GBK" w:hAnsi="Times New Roman" w:cs="Times New Roman"/>
                <w:color w:val="000000"/>
                <w:kern w:val="0"/>
                <w:sz w:val="24"/>
              </w:rPr>
              <w:t>2009</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255</w:t>
            </w:r>
            <w:r w:rsidRPr="007E616E">
              <w:rPr>
                <w:rFonts w:ascii="Times New Roman" w:eastAsia="方正仿宋_GBK" w:hAnsi="Times New Roman" w:cs="Times New Roman"/>
                <w:color w:val="000000"/>
                <w:kern w:val="0"/>
                <w:sz w:val="24"/>
              </w:rPr>
              <w:t>号）</w:t>
            </w:r>
          </w:p>
          <w:p w:rsidR="007E616E" w:rsidRPr="007E616E" w:rsidRDefault="007E616E" w:rsidP="007E616E">
            <w:pPr>
              <w:widowControl/>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widowControl/>
              <w:spacing w:line="400" w:lineRule="exact"/>
              <w:jc w:val="center"/>
              <w:rPr>
                <w:rFonts w:ascii="Times New Roman" w:eastAsia="方正仿宋_GBK" w:hAnsi="Times New Roman" w:cs="Times New Roman"/>
                <w:color w:val="000000"/>
                <w:kern w:val="0"/>
                <w:sz w:val="24"/>
              </w:rPr>
            </w:pPr>
          </w:p>
        </w:tc>
      </w:tr>
    </w:tbl>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spacing w:before="100" w:beforeAutospacing="1" w:after="100" w:afterAutospacing="1" w:line="540" w:lineRule="atLeast"/>
        <w:jc w:val="left"/>
        <w:rPr>
          <w:rFonts w:ascii="方正黑体_GBK" w:eastAsia="方正黑体_GBK" w:hAnsi="黑体" w:cs="宋体" w:hint="eastAsia"/>
          <w:color w:val="000000"/>
          <w:kern w:val="0"/>
          <w:szCs w:val="32"/>
        </w:rPr>
      </w:pPr>
    </w:p>
    <w:p w:rsidR="007E616E" w:rsidRDefault="007E616E" w:rsidP="007E616E">
      <w:pPr>
        <w:widowControl/>
        <w:shd w:val="clear" w:color="auto" w:fill="FFFFFF"/>
        <w:snapToGrid w:val="0"/>
        <w:rPr>
          <w:rFonts w:ascii="方正黑体_GBK" w:eastAsia="方正黑体_GBK" w:hAnsi="宋体" w:cs="宋体" w:hint="eastAsia"/>
          <w:color w:val="000000"/>
          <w:kern w:val="0"/>
          <w:sz w:val="32"/>
          <w:szCs w:val="32"/>
        </w:rPr>
      </w:pPr>
      <w:r>
        <w:rPr>
          <w:rFonts w:ascii="方正黑体_GBK" w:eastAsia="方正黑体_GBK" w:hAnsi="黑体" w:cs="宋体" w:hint="eastAsia"/>
          <w:color w:val="000000"/>
          <w:kern w:val="0"/>
          <w:sz w:val="32"/>
          <w:szCs w:val="32"/>
        </w:rPr>
        <w:lastRenderedPageBreak/>
        <w:t>附件</w:t>
      </w:r>
      <w:r>
        <w:rPr>
          <w:rFonts w:ascii="方正黑体_GBK" w:eastAsia="方正黑体_GBK" w:hAnsi="宋体" w:cs="宋体" w:hint="eastAsia"/>
          <w:color w:val="000000"/>
          <w:kern w:val="0"/>
          <w:sz w:val="32"/>
          <w:szCs w:val="32"/>
        </w:rPr>
        <w:t>2</w:t>
      </w:r>
    </w:p>
    <w:p w:rsidR="007E616E" w:rsidRDefault="007E616E" w:rsidP="007E616E">
      <w:pPr>
        <w:widowControl/>
        <w:shd w:val="clear" w:color="auto" w:fill="FFFFFF"/>
        <w:snapToGrid w:val="0"/>
        <w:rPr>
          <w:rFonts w:ascii="方正黑体_GBK" w:eastAsia="方正黑体_GBK" w:hAnsi="宋体" w:cs="宋体"/>
          <w:color w:val="000000"/>
          <w:kern w:val="0"/>
          <w:szCs w:val="32"/>
        </w:rPr>
      </w:pPr>
    </w:p>
    <w:p w:rsidR="007E616E" w:rsidRDefault="007E616E" w:rsidP="007E616E">
      <w:pPr>
        <w:widowControl/>
        <w:shd w:val="clear" w:color="auto" w:fill="FFFFFF"/>
        <w:snapToGrid w:val="0"/>
        <w:spacing w:line="54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调整为政府内部审批的事项目录</w:t>
      </w:r>
    </w:p>
    <w:p w:rsidR="007E616E" w:rsidRDefault="007E616E" w:rsidP="007E616E">
      <w:pPr>
        <w:widowControl/>
        <w:shd w:val="clear" w:color="auto" w:fill="FFFFFF"/>
        <w:snapToGrid w:val="0"/>
        <w:spacing w:line="240" w:lineRule="exact"/>
        <w:jc w:val="center"/>
        <w:rPr>
          <w:rFonts w:ascii="方正小标宋_GBK" w:eastAsia="方正小标宋_GBK"/>
          <w:color w:val="000000"/>
          <w:kern w:val="0"/>
          <w:sz w:val="44"/>
          <w:szCs w:val="4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6"/>
        <w:gridCol w:w="1351"/>
        <w:gridCol w:w="1418"/>
        <w:gridCol w:w="4394"/>
        <w:gridCol w:w="1701"/>
      </w:tblGrid>
      <w:tr w:rsidR="007E616E" w:rsidRPr="007E616E" w:rsidTr="00ED7655">
        <w:trPr>
          <w:trHeight w:val="870"/>
        </w:trPr>
        <w:tc>
          <w:tcPr>
            <w:tcW w:w="776"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序号</w:t>
            </w:r>
          </w:p>
        </w:tc>
        <w:tc>
          <w:tcPr>
            <w:tcW w:w="1351"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审批部门</w:t>
            </w:r>
          </w:p>
        </w:tc>
        <w:tc>
          <w:tcPr>
            <w:tcW w:w="1418"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项目名称</w:t>
            </w:r>
          </w:p>
        </w:tc>
        <w:tc>
          <w:tcPr>
            <w:tcW w:w="4394"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设定依据</w:t>
            </w:r>
          </w:p>
        </w:tc>
        <w:tc>
          <w:tcPr>
            <w:tcW w:w="1701"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备注</w:t>
            </w:r>
          </w:p>
        </w:tc>
      </w:tr>
      <w:tr w:rsidR="007E616E" w:rsidRPr="007E616E" w:rsidTr="00ED7655">
        <w:trPr>
          <w:trHeight w:val="3180"/>
        </w:trPr>
        <w:tc>
          <w:tcPr>
            <w:tcW w:w="776"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w:t>
            </w:r>
          </w:p>
        </w:tc>
        <w:tc>
          <w:tcPr>
            <w:tcW w:w="1351" w:type="dxa"/>
            <w:vAlign w:val="center"/>
          </w:tcPr>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区发展</w:t>
            </w:r>
          </w:p>
          <w:p w:rsidR="007E616E" w:rsidRPr="007E616E" w:rsidRDefault="007E616E" w:rsidP="00ED7655">
            <w:pPr>
              <w:spacing w:line="36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改革委</w:t>
            </w:r>
          </w:p>
        </w:tc>
        <w:tc>
          <w:tcPr>
            <w:tcW w:w="1418" w:type="dxa"/>
            <w:vAlign w:val="center"/>
          </w:tcPr>
          <w:p w:rsidR="007E616E" w:rsidRPr="007E616E" w:rsidRDefault="007E616E" w:rsidP="00ED7655">
            <w:pPr>
              <w:spacing w:line="36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区发展改革委权限范围内政府出资的投资项目审批</w:t>
            </w:r>
          </w:p>
        </w:tc>
        <w:tc>
          <w:tcPr>
            <w:tcW w:w="4394" w:type="dxa"/>
            <w:vAlign w:val="center"/>
          </w:tcPr>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《国务院关于投资体制改革的决定》（国发〔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20</w:t>
            </w:r>
            <w:r w:rsidRPr="007E616E">
              <w:rPr>
                <w:rFonts w:ascii="Times New Roman" w:eastAsia="方正仿宋_GBK" w:hAnsi="Times New Roman" w:cs="Times New Roman"/>
                <w:color w:val="000000"/>
                <w:kern w:val="0"/>
                <w:sz w:val="24"/>
              </w:rPr>
              <w:t>号）第三部分第四条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《重庆市人民政府关于进一步深化投资体制改革的意见》（</w:t>
            </w:r>
            <w:proofErr w:type="gramStart"/>
            <w:r w:rsidRPr="007E616E">
              <w:rPr>
                <w:rFonts w:ascii="Times New Roman" w:eastAsia="方正仿宋_GBK" w:hAnsi="Times New Roman" w:cs="Times New Roman"/>
                <w:color w:val="000000"/>
                <w:kern w:val="0"/>
                <w:sz w:val="24"/>
              </w:rPr>
              <w:t>渝府发</w:t>
            </w:r>
            <w:proofErr w:type="gramEnd"/>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24</w:t>
            </w:r>
            <w:r w:rsidRPr="007E616E">
              <w:rPr>
                <w:rFonts w:ascii="Times New Roman" w:eastAsia="方正仿宋_GBK" w:hAnsi="Times New Roman" w:cs="Times New Roman"/>
                <w:color w:val="000000"/>
                <w:kern w:val="0"/>
                <w:sz w:val="24"/>
              </w:rPr>
              <w:t>号）第五部分第十六条</w:t>
            </w:r>
          </w:p>
          <w:p w:rsidR="007E616E" w:rsidRPr="007E616E" w:rsidRDefault="007E616E" w:rsidP="007E616E">
            <w:pPr>
              <w:widowControl/>
              <w:snapToGrid w:val="0"/>
              <w:spacing w:line="36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《璧山县政府投资项目管理办法（试行）》（璧山府发〔</w:t>
            </w:r>
            <w:r w:rsidRPr="007E616E">
              <w:rPr>
                <w:rFonts w:ascii="Times New Roman" w:eastAsia="方正仿宋_GBK" w:hAnsi="Times New Roman" w:cs="Times New Roman"/>
                <w:color w:val="000000"/>
                <w:kern w:val="0"/>
                <w:sz w:val="24"/>
              </w:rPr>
              <w:t>2008</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12</w:t>
            </w:r>
            <w:r w:rsidRPr="007E616E">
              <w:rPr>
                <w:rFonts w:ascii="Times New Roman" w:eastAsia="方正仿宋_GBK" w:hAnsi="Times New Roman" w:cs="Times New Roman"/>
                <w:color w:val="000000"/>
                <w:kern w:val="0"/>
                <w:sz w:val="24"/>
              </w:rPr>
              <w:t>号）第五条</w:t>
            </w:r>
          </w:p>
        </w:tc>
        <w:tc>
          <w:tcPr>
            <w:tcW w:w="1701" w:type="dxa"/>
            <w:vAlign w:val="center"/>
          </w:tcPr>
          <w:p w:rsidR="007E616E" w:rsidRPr="007E616E" w:rsidRDefault="007E616E" w:rsidP="00ED7655">
            <w:pPr>
              <w:spacing w:line="40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政府投资项目审批</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的部分内容</w:t>
            </w:r>
          </w:p>
        </w:tc>
      </w:tr>
    </w:tbl>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jc w:val="left"/>
        <w:rPr>
          <w:rFonts w:ascii="方正黑体_GBK" w:eastAsia="方正黑体_GBK" w:hAnsi="黑体" w:cs="宋体" w:hint="eastAsia"/>
          <w:color w:val="000000"/>
          <w:kern w:val="0"/>
          <w:szCs w:val="32"/>
        </w:rPr>
      </w:pPr>
    </w:p>
    <w:p w:rsidR="007E616E" w:rsidRDefault="007E616E" w:rsidP="007E616E">
      <w:pPr>
        <w:widowControl/>
        <w:rPr>
          <w:rFonts w:ascii="方正黑体_GBK" w:eastAsia="方正黑体_GBK" w:hAnsi="宋体" w:cs="宋体" w:hint="eastAsia"/>
          <w:color w:val="000000"/>
          <w:kern w:val="0"/>
          <w:sz w:val="32"/>
          <w:szCs w:val="32"/>
        </w:rPr>
      </w:pPr>
      <w:r>
        <w:rPr>
          <w:rFonts w:ascii="方正黑体_GBK" w:eastAsia="方正黑体_GBK" w:hAnsi="黑体" w:cs="宋体" w:hint="eastAsia"/>
          <w:color w:val="000000"/>
          <w:kern w:val="0"/>
          <w:sz w:val="32"/>
          <w:szCs w:val="32"/>
        </w:rPr>
        <w:lastRenderedPageBreak/>
        <w:t>附件</w:t>
      </w:r>
      <w:r>
        <w:rPr>
          <w:rFonts w:ascii="方正黑体_GBK" w:eastAsia="方正黑体_GBK" w:hAnsi="宋体" w:cs="宋体" w:hint="eastAsia"/>
          <w:color w:val="000000"/>
          <w:kern w:val="0"/>
          <w:sz w:val="32"/>
          <w:szCs w:val="32"/>
        </w:rPr>
        <w:t>3</w:t>
      </w:r>
    </w:p>
    <w:p w:rsidR="007E616E" w:rsidRDefault="007E616E" w:rsidP="007E616E">
      <w:pPr>
        <w:widowControl/>
        <w:rPr>
          <w:rFonts w:ascii="方正黑体_GBK" w:eastAsia="方正黑体_GBK" w:hAnsi="黑体" w:cs="宋体"/>
          <w:color w:val="000000"/>
          <w:kern w:val="0"/>
          <w:szCs w:val="32"/>
        </w:rPr>
      </w:pPr>
    </w:p>
    <w:p w:rsidR="007E616E" w:rsidRDefault="007E616E" w:rsidP="007E616E">
      <w:pPr>
        <w:widowControl/>
        <w:shd w:val="clear" w:color="auto" w:fill="FFFFFF"/>
        <w:snapToGrid w:val="0"/>
        <w:spacing w:line="54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调整为其他权力的事项目录</w:t>
      </w:r>
    </w:p>
    <w:p w:rsidR="007E616E" w:rsidRDefault="007E616E" w:rsidP="007E616E">
      <w:pPr>
        <w:widowControl/>
        <w:shd w:val="clear" w:color="auto" w:fill="FFFFFF"/>
        <w:snapToGrid w:val="0"/>
        <w:spacing w:line="240" w:lineRule="exact"/>
        <w:jc w:val="center"/>
        <w:rPr>
          <w:rFonts w:ascii="方正小标宋_GBK" w:eastAsia="方正小标宋_GBK"/>
          <w:color w:val="000000"/>
          <w:kern w:val="0"/>
          <w:sz w:val="44"/>
          <w:szCs w:val="4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8"/>
        <w:gridCol w:w="1400"/>
        <w:gridCol w:w="1327"/>
        <w:gridCol w:w="4394"/>
        <w:gridCol w:w="1701"/>
      </w:tblGrid>
      <w:tr w:rsidR="007E616E" w:rsidRPr="007E616E" w:rsidTr="00ED7655">
        <w:trPr>
          <w:trHeight w:val="576"/>
        </w:trPr>
        <w:tc>
          <w:tcPr>
            <w:tcW w:w="818" w:type="dxa"/>
            <w:vAlign w:val="center"/>
          </w:tcPr>
          <w:p w:rsidR="007E616E" w:rsidRPr="007E616E" w:rsidRDefault="007E616E" w:rsidP="007E616E">
            <w:pPr>
              <w:spacing w:line="28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序号</w:t>
            </w:r>
          </w:p>
        </w:tc>
        <w:tc>
          <w:tcPr>
            <w:tcW w:w="1400" w:type="dxa"/>
            <w:vAlign w:val="center"/>
          </w:tcPr>
          <w:p w:rsidR="007E616E" w:rsidRPr="007E616E" w:rsidRDefault="007E616E" w:rsidP="007E616E">
            <w:pPr>
              <w:spacing w:line="28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审批部门</w:t>
            </w:r>
          </w:p>
        </w:tc>
        <w:tc>
          <w:tcPr>
            <w:tcW w:w="1327" w:type="dxa"/>
            <w:vAlign w:val="center"/>
          </w:tcPr>
          <w:p w:rsidR="007E616E" w:rsidRPr="007E616E" w:rsidRDefault="007E616E" w:rsidP="007E616E">
            <w:pPr>
              <w:spacing w:line="28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项目名称</w:t>
            </w:r>
          </w:p>
        </w:tc>
        <w:tc>
          <w:tcPr>
            <w:tcW w:w="4394" w:type="dxa"/>
            <w:vAlign w:val="center"/>
          </w:tcPr>
          <w:p w:rsidR="007E616E" w:rsidRPr="007E616E" w:rsidRDefault="007E616E" w:rsidP="007E616E">
            <w:pPr>
              <w:spacing w:line="28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设定依据</w:t>
            </w:r>
          </w:p>
        </w:tc>
        <w:tc>
          <w:tcPr>
            <w:tcW w:w="1701" w:type="dxa"/>
            <w:vAlign w:val="center"/>
          </w:tcPr>
          <w:p w:rsidR="007E616E" w:rsidRPr="007E616E" w:rsidRDefault="007E616E" w:rsidP="007E616E">
            <w:pPr>
              <w:spacing w:line="28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备注</w:t>
            </w:r>
          </w:p>
        </w:tc>
      </w:tr>
      <w:tr w:rsidR="007E616E" w:rsidRPr="007E616E" w:rsidTr="00ED7655">
        <w:trPr>
          <w:trHeight w:val="1654"/>
        </w:trPr>
        <w:tc>
          <w:tcPr>
            <w:tcW w:w="818"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w:t>
            </w:r>
          </w:p>
        </w:tc>
        <w:tc>
          <w:tcPr>
            <w:tcW w:w="1400" w:type="dxa"/>
            <w:vAlign w:val="center"/>
          </w:tcPr>
          <w:p w:rsidR="007E616E" w:rsidRPr="007E616E" w:rsidRDefault="007E616E" w:rsidP="007E616E">
            <w:pPr>
              <w:widowControl/>
              <w:snapToGrid w:val="0"/>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7E616E">
            <w:pPr>
              <w:widowControl/>
              <w:snapToGrid w:val="0"/>
              <w:spacing w:line="28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对办理税务登记（注销登记）的核准</w:t>
            </w:r>
          </w:p>
        </w:tc>
        <w:tc>
          <w:tcPr>
            <w:tcW w:w="4394" w:type="dxa"/>
            <w:vAlign w:val="center"/>
          </w:tcPr>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《中华人民共和国税收征收管理法》第</w:t>
            </w:r>
            <w:r w:rsidRPr="007E616E">
              <w:rPr>
                <w:rFonts w:ascii="Times New Roman" w:eastAsia="方正仿宋_GBK" w:hAnsi="Times New Roman" w:cs="Times New Roman"/>
                <w:color w:val="000000"/>
                <w:kern w:val="0"/>
                <w:sz w:val="24"/>
              </w:rPr>
              <w:t>16</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7E616E">
            <w:pPr>
              <w:spacing w:line="280" w:lineRule="exac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为我区项目库中</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对办理税务登记（注销、外出经营报验）的核准</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项目的子项</w:t>
            </w:r>
          </w:p>
        </w:tc>
      </w:tr>
      <w:tr w:rsidR="007E616E" w:rsidRPr="007E616E" w:rsidTr="00ED7655">
        <w:trPr>
          <w:trHeight w:val="1934"/>
        </w:trPr>
        <w:tc>
          <w:tcPr>
            <w:tcW w:w="818"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2</w:t>
            </w:r>
          </w:p>
        </w:tc>
        <w:tc>
          <w:tcPr>
            <w:tcW w:w="1400"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7E616E">
            <w:pPr>
              <w:widowControl/>
              <w:snapToGrid w:val="0"/>
              <w:spacing w:line="28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未按期申报抵扣增值税扣税凭证申请继续抵扣的审批</w:t>
            </w:r>
          </w:p>
        </w:tc>
        <w:tc>
          <w:tcPr>
            <w:tcW w:w="4394" w:type="dxa"/>
            <w:vAlign w:val="center"/>
          </w:tcPr>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《国家税务总局关于未按期申报抵扣增值税扣税凭证有关问题的公告》（国家税务总局公告</w:t>
            </w:r>
            <w:r w:rsidRPr="007E616E">
              <w:rPr>
                <w:rFonts w:ascii="Times New Roman" w:eastAsia="方正仿宋_GBK" w:hAnsi="Times New Roman" w:cs="Times New Roman"/>
                <w:color w:val="000000"/>
                <w:kern w:val="0"/>
                <w:sz w:val="24"/>
              </w:rPr>
              <w:t>2011</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78</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280" w:lineRule="exact"/>
              <w:ind w:firstLineChars="100" w:firstLine="232"/>
              <w:rPr>
                <w:rFonts w:ascii="Times New Roman" w:eastAsia="方正仿宋_GBK" w:hAnsi="Times New Roman" w:cs="Times New Roman"/>
                <w:color w:val="000000"/>
                <w:spacing w:val="-4"/>
                <w:kern w:val="0"/>
                <w:sz w:val="24"/>
              </w:rPr>
            </w:pPr>
            <w:r w:rsidRPr="007E616E">
              <w:rPr>
                <w:rFonts w:ascii="Times New Roman" w:eastAsia="方正仿宋_GBK" w:hAnsi="Times New Roman" w:cs="Times New Roman"/>
                <w:color w:val="000000"/>
                <w:spacing w:val="-4"/>
                <w:kern w:val="0"/>
                <w:sz w:val="24"/>
              </w:rPr>
              <w:t>《重庆市国家税务局关于公开行政审批事项等相关工作的公告》</w:t>
            </w:r>
            <w:r w:rsidRPr="007E616E">
              <w:rPr>
                <w:rFonts w:ascii="Times New Roman" w:eastAsia="方正仿宋_GBK" w:hAnsi="Times New Roman" w:cs="Times New Roman"/>
                <w:color w:val="000000"/>
                <w:spacing w:val="-4"/>
                <w:kern w:val="0"/>
                <w:sz w:val="24"/>
              </w:rPr>
              <w:t>2014</w:t>
            </w:r>
            <w:r w:rsidRPr="007E616E">
              <w:rPr>
                <w:rFonts w:ascii="Times New Roman" w:eastAsia="方正仿宋_GBK" w:hAnsi="Times New Roman" w:cs="Times New Roman"/>
                <w:color w:val="000000"/>
                <w:spacing w:val="-4"/>
                <w:kern w:val="0"/>
                <w:sz w:val="24"/>
              </w:rPr>
              <w:t>年第</w:t>
            </w:r>
            <w:r w:rsidRPr="007E616E">
              <w:rPr>
                <w:rFonts w:ascii="Times New Roman" w:eastAsia="方正仿宋_GBK" w:hAnsi="Times New Roman" w:cs="Times New Roman"/>
                <w:color w:val="000000"/>
                <w:spacing w:val="-4"/>
                <w:kern w:val="0"/>
                <w:sz w:val="24"/>
              </w:rPr>
              <w:t>5</w:t>
            </w:r>
            <w:r w:rsidRPr="007E616E">
              <w:rPr>
                <w:rFonts w:ascii="Times New Roman" w:eastAsia="方正仿宋_GBK" w:hAnsi="Times New Roman" w:cs="Times New Roman"/>
                <w:color w:val="000000"/>
                <w:spacing w:val="-4"/>
                <w:kern w:val="0"/>
                <w:sz w:val="24"/>
              </w:rPr>
              <w:t>号</w:t>
            </w:r>
          </w:p>
        </w:tc>
        <w:tc>
          <w:tcPr>
            <w:tcW w:w="1701"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p>
        </w:tc>
      </w:tr>
      <w:tr w:rsidR="007E616E" w:rsidRPr="007E616E" w:rsidTr="00ED7655">
        <w:trPr>
          <w:trHeight w:val="2783"/>
        </w:trPr>
        <w:tc>
          <w:tcPr>
            <w:tcW w:w="818"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3</w:t>
            </w:r>
          </w:p>
        </w:tc>
        <w:tc>
          <w:tcPr>
            <w:tcW w:w="1400"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7E616E">
            <w:pPr>
              <w:widowControl/>
              <w:snapToGrid w:val="0"/>
              <w:spacing w:line="28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促进残疾人就业企业增值税退税审批</w:t>
            </w:r>
          </w:p>
        </w:tc>
        <w:tc>
          <w:tcPr>
            <w:tcW w:w="4394" w:type="dxa"/>
            <w:vAlign w:val="center"/>
          </w:tcPr>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139</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280" w:lineRule="exact"/>
              <w:ind w:firstLineChars="100" w:firstLine="232"/>
              <w:rPr>
                <w:rFonts w:ascii="Times New Roman" w:eastAsia="方正仿宋_GBK" w:hAnsi="Times New Roman" w:cs="Times New Roman"/>
                <w:color w:val="000000"/>
                <w:spacing w:val="-4"/>
                <w:kern w:val="0"/>
                <w:sz w:val="24"/>
              </w:rPr>
            </w:pPr>
            <w:r w:rsidRPr="007E616E">
              <w:rPr>
                <w:rFonts w:ascii="Times New Roman" w:eastAsia="方正仿宋_GBK" w:hAnsi="Times New Roman" w:cs="Times New Roman"/>
                <w:color w:val="000000"/>
                <w:spacing w:val="-4"/>
                <w:kern w:val="0"/>
                <w:sz w:val="24"/>
              </w:rPr>
              <w:t>《国家税务总局、民政部、中国残疾人联合会关于促进残疾人就业税收优惠政策征管办法的通知》（国税发〔</w:t>
            </w:r>
            <w:r w:rsidRPr="007E616E">
              <w:rPr>
                <w:rFonts w:ascii="Times New Roman" w:eastAsia="方正仿宋_GBK" w:hAnsi="Times New Roman" w:cs="Times New Roman"/>
                <w:color w:val="000000"/>
                <w:spacing w:val="-4"/>
                <w:kern w:val="0"/>
                <w:sz w:val="24"/>
              </w:rPr>
              <w:t>2007</w:t>
            </w:r>
            <w:r w:rsidRPr="007E616E">
              <w:rPr>
                <w:rFonts w:ascii="Times New Roman" w:eastAsia="方正仿宋_GBK" w:hAnsi="Times New Roman" w:cs="Times New Roman"/>
                <w:color w:val="000000"/>
                <w:spacing w:val="-4"/>
                <w:kern w:val="0"/>
                <w:sz w:val="24"/>
              </w:rPr>
              <w:t>〕</w:t>
            </w:r>
            <w:r w:rsidRPr="007E616E">
              <w:rPr>
                <w:rFonts w:ascii="Times New Roman" w:eastAsia="方正仿宋_GBK" w:hAnsi="Times New Roman" w:cs="Times New Roman"/>
                <w:color w:val="000000"/>
                <w:spacing w:val="-4"/>
                <w:kern w:val="0"/>
                <w:sz w:val="24"/>
              </w:rPr>
              <w:t>67</w:t>
            </w:r>
            <w:r w:rsidRPr="007E616E">
              <w:rPr>
                <w:rFonts w:ascii="Times New Roman" w:eastAsia="方正仿宋_GBK" w:hAnsi="Times New Roman" w:cs="Times New Roman"/>
                <w:color w:val="000000"/>
                <w:spacing w:val="-4"/>
                <w:kern w:val="0"/>
                <w:sz w:val="24"/>
              </w:rPr>
              <w:t>号）</w:t>
            </w:r>
          </w:p>
          <w:p w:rsidR="007E616E" w:rsidRPr="007E616E" w:rsidRDefault="007E616E" w:rsidP="007E616E">
            <w:pPr>
              <w:widowControl/>
              <w:snapToGrid w:val="0"/>
              <w:spacing w:line="280" w:lineRule="exact"/>
              <w:ind w:firstLineChars="100" w:firstLine="232"/>
              <w:rPr>
                <w:rFonts w:ascii="Times New Roman" w:eastAsia="方正仿宋_GBK" w:hAnsi="Times New Roman" w:cs="Times New Roman"/>
                <w:color w:val="000000"/>
                <w:spacing w:val="-4"/>
                <w:w w:val="90"/>
                <w:kern w:val="0"/>
                <w:sz w:val="24"/>
              </w:rPr>
            </w:pPr>
            <w:r w:rsidRPr="007E616E">
              <w:rPr>
                <w:rFonts w:ascii="Times New Roman" w:eastAsia="方正仿宋_GBK" w:hAnsi="Times New Roman" w:cs="Times New Roman"/>
                <w:color w:val="000000"/>
                <w:spacing w:val="-4"/>
                <w:kern w:val="0"/>
                <w:sz w:val="24"/>
              </w:rPr>
              <w:t>《重庆市国家税务局关于公开行政审批事项等相关工作的公告》</w:t>
            </w:r>
            <w:r w:rsidRPr="007E616E">
              <w:rPr>
                <w:rFonts w:ascii="Times New Roman" w:eastAsia="方正仿宋_GBK" w:hAnsi="Times New Roman" w:cs="Times New Roman"/>
                <w:color w:val="000000"/>
                <w:spacing w:val="-4"/>
                <w:kern w:val="0"/>
                <w:sz w:val="24"/>
              </w:rPr>
              <w:t>2014</w:t>
            </w:r>
            <w:r w:rsidRPr="007E616E">
              <w:rPr>
                <w:rFonts w:ascii="Times New Roman" w:eastAsia="方正仿宋_GBK" w:hAnsi="Times New Roman" w:cs="Times New Roman"/>
                <w:color w:val="000000"/>
                <w:spacing w:val="-4"/>
                <w:kern w:val="0"/>
                <w:sz w:val="24"/>
              </w:rPr>
              <w:t>年第</w:t>
            </w:r>
            <w:r w:rsidRPr="007E616E">
              <w:rPr>
                <w:rFonts w:ascii="Times New Roman" w:eastAsia="方正仿宋_GBK" w:hAnsi="Times New Roman" w:cs="Times New Roman"/>
                <w:color w:val="000000"/>
                <w:spacing w:val="-4"/>
                <w:kern w:val="0"/>
                <w:sz w:val="24"/>
              </w:rPr>
              <w:t>5</w:t>
            </w:r>
            <w:r w:rsidRPr="007E616E">
              <w:rPr>
                <w:rFonts w:ascii="Times New Roman" w:eastAsia="方正仿宋_GBK" w:hAnsi="Times New Roman" w:cs="Times New Roman"/>
                <w:color w:val="000000"/>
                <w:spacing w:val="-4"/>
                <w:kern w:val="0"/>
                <w:sz w:val="24"/>
              </w:rPr>
              <w:t>号</w:t>
            </w:r>
          </w:p>
        </w:tc>
        <w:tc>
          <w:tcPr>
            <w:tcW w:w="1701"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p>
        </w:tc>
      </w:tr>
      <w:tr w:rsidR="007E616E" w:rsidRPr="007E616E" w:rsidTr="00ED7655">
        <w:trPr>
          <w:trHeight w:val="1483"/>
        </w:trPr>
        <w:tc>
          <w:tcPr>
            <w:tcW w:w="818"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4</w:t>
            </w:r>
          </w:p>
        </w:tc>
        <w:tc>
          <w:tcPr>
            <w:tcW w:w="1400"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7E616E">
            <w:pPr>
              <w:widowControl/>
              <w:snapToGrid w:val="0"/>
              <w:spacing w:line="28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车辆购置税完税车辆退车的退税审核</w:t>
            </w:r>
          </w:p>
        </w:tc>
        <w:tc>
          <w:tcPr>
            <w:tcW w:w="4394" w:type="dxa"/>
            <w:vAlign w:val="center"/>
          </w:tcPr>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《车辆购置税征收管理办法》（国家税务总局令第</w:t>
            </w:r>
            <w:r w:rsidRPr="007E616E">
              <w:rPr>
                <w:rFonts w:ascii="Times New Roman" w:eastAsia="方正仿宋_GBK" w:hAnsi="Times New Roman" w:cs="Times New Roman"/>
                <w:color w:val="000000"/>
                <w:kern w:val="0"/>
                <w:sz w:val="24"/>
              </w:rPr>
              <w:t>27</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23</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280" w:lineRule="exact"/>
              <w:ind w:firstLineChars="100" w:firstLine="232"/>
              <w:rPr>
                <w:rFonts w:ascii="Times New Roman" w:eastAsia="方正仿宋_GBK" w:hAnsi="Times New Roman" w:cs="Times New Roman"/>
                <w:color w:val="000000"/>
                <w:spacing w:val="-4"/>
                <w:kern w:val="0"/>
                <w:sz w:val="24"/>
              </w:rPr>
            </w:pPr>
            <w:r w:rsidRPr="007E616E">
              <w:rPr>
                <w:rFonts w:ascii="Times New Roman" w:eastAsia="方正仿宋_GBK" w:hAnsi="Times New Roman" w:cs="Times New Roman"/>
                <w:color w:val="000000"/>
                <w:spacing w:val="-4"/>
                <w:kern w:val="0"/>
                <w:sz w:val="24"/>
              </w:rPr>
              <w:t>《重庆市国家税务局关于公开行政审批事项等相关工作的公告》</w:t>
            </w:r>
            <w:r w:rsidRPr="007E616E">
              <w:rPr>
                <w:rFonts w:ascii="Times New Roman" w:eastAsia="方正仿宋_GBK" w:hAnsi="Times New Roman" w:cs="Times New Roman"/>
                <w:color w:val="000000"/>
                <w:spacing w:val="-4"/>
                <w:kern w:val="0"/>
                <w:sz w:val="24"/>
              </w:rPr>
              <w:t>2014</w:t>
            </w:r>
            <w:r w:rsidRPr="007E616E">
              <w:rPr>
                <w:rFonts w:ascii="Times New Roman" w:eastAsia="方正仿宋_GBK" w:hAnsi="Times New Roman" w:cs="Times New Roman"/>
                <w:color w:val="000000"/>
                <w:spacing w:val="-4"/>
                <w:kern w:val="0"/>
                <w:sz w:val="24"/>
              </w:rPr>
              <w:t>年第</w:t>
            </w:r>
            <w:r w:rsidRPr="007E616E">
              <w:rPr>
                <w:rFonts w:ascii="Times New Roman" w:eastAsia="方正仿宋_GBK" w:hAnsi="Times New Roman" w:cs="Times New Roman"/>
                <w:color w:val="000000"/>
                <w:spacing w:val="-4"/>
                <w:kern w:val="0"/>
                <w:sz w:val="24"/>
              </w:rPr>
              <w:t>5</w:t>
            </w:r>
            <w:r w:rsidRPr="007E616E">
              <w:rPr>
                <w:rFonts w:ascii="Times New Roman" w:eastAsia="方正仿宋_GBK" w:hAnsi="Times New Roman" w:cs="Times New Roman"/>
                <w:color w:val="000000"/>
                <w:spacing w:val="-4"/>
                <w:kern w:val="0"/>
                <w:sz w:val="24"/>
              </w:rPr>
              <w:t>号</w:t>
            </w:r>
          </w:p>
        </w:tc>
        <w:tc>
          <w:tcPr>
            <w:tcW w:w="1701"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p>
        </w:tc>
      </w:tr>
      <w:tr w:rsidR="007E616E" w:rsidRPr="007E616E" w:rsidTr="00ED7655">
        <w:trPr>
          <w:trHeight w:val="881"/>
        </w:trPr>
        <w:tc>
          <w:tcPr>
            <w:tcW w:w="818"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5</w:t>
            </w:r>
          </w:p>
        </w:tc>
        <w:tc>
          <w:tcPr>
            <w:tcW w:w="1400"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327" w:type="dxa"/>
            <w:vAlign w:val="center"/>
          </w:tcPr>
          <w:p w:rsidR="007E616E" w:rsidRPr="007E616E" w:rsidRDefault="007E616E" w:rsidP="007E616E">
            <w:pPr>
              <w:widowControl/>
              <w:snapToGrid w:val="0"/>
              <w:spacing w:line="28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车辆购置税已完税设有固定装置非运输车辆退税审核</w:t>
            </w:r>
          </w:p>
        </w:tc>
        <w:tc>
          <w:tcPr>
            <w:tcW w:w="4394" w:type="dxa"/>
            <w:vAlign w:val="center"/>
          </w:tcPr>
          <w:p w:rsidR="007E616E" w:rsidRPr="007E616E" w:rsidRDefault="007E616E" w:rsidP="007E616E">
            <w:pPr>
              <w:widowControl/>
              <w:snapToGrid w:val="0"/>
              <w:spacing w:line="28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《车辆购置税征收管理办法》（国家税务总局令第</w:t>
            </w:r>
            <w:r w:rsidRPr="007E616E">
              <w:rPr>
                <w:rFonts w:ascii="Times New Roman" w:eastAsia="方正仿宋_GBK" w:hAnsi="Times New Roman" w:cs="Times New Roman"/>
                <w:color w:val="000000"/>
                <w:kern w:val="0"/>
                <w:sz w:val="24"/>
              </w:rPr>
              <w:t>27</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27</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280" w:lineRule="exact"/>
              <w:ind w:firstLineChars="100" w:firstLine="232"/>
              <w:rPr>
                <w:rFonts w:ascii="Times New Roman" w:eastAsia="方正仿宋_GBK" w:hAnsi="Times New Roman" w:cs="Times New Roman"/>
                <w:color w:val="000000"/>
                <w:spacing w:val="-4"/>
                <w:kern w:val="0"/>
                <w:sz w:val="24"/>
              </w:rPr>
            </w:pPr>
            <w:r w:rsidRPr="007E616E">
              <w:rPr>
                <w:rFonts w:ascii="Times New Roman" w:eastAsia="方正仿宋_GBK" w:hAnsi="Times New Roman" w:cs="Times New Roman"/>
                <w:color w:val="000000"/>
                <w:spacing w:val="-4"/>
                <w:kern w:val="0"/>
                <w:sz w:val="24"/>
              </w:rPr>
              <w:t>《重庆市国家税务局关于公开行政审批事项等相关工作的公告》</w:t>
            </w:r>
            <w:r w:rsidRPr="007E616E">
              <w:rPr>
                <w:rFonts w:ascii="Times New Roman" w:eastAsia="方正仿宋_GBK" w:hAnsi="Times New Roman" w:cs="Times New Roman"/>
                <w:color w:val="000000"/>
                <w:spacing w:val="-4"/>
                <w:kern w:val="0"/>
                <w:sz w:val="24"/>
              </w:rPr>
              <w:t>2014</w:t>
            </w:r>
            <w:r w:rsidRPr="007E616E">
              <w:rPr>
                <w:rFonts w:ascii="Times New Roman" w:eastAsia="方正仿宋_GBK" w:hAnsi="Times New Roman" w:cs="Times New Roman"/>
                <w:color w:val="000000"/>
                <w:spacing w:val="-4"/>
                <w:kern w:val="0"/>
                <w:sz w:val="24"/>
              </w:rPr>
              <w:t>年第</w:t>
            </w:r>
            <w:r w:rsidRPr="007E616E">
              <w:rPr>
                <w:rFonts w:ascii="Times New Roman" w:eastAsia="方正仿宋_GBK" w:hAnsi="Times New Roman" w:cs="Times New Roman"/>
                <w:color w:val="000000"/>
                <w:spacing w:val="-4"/>
                <w:kern w:val="0"/>
                <w:sz w:val="24"/>
              </w:rPr>
              <w:t>5</w:t>
            </w:r>
            <w:r w:rsidRPr="007E616E">
              <w:rPr>
                <w:rFonts w:ascii="Times New Roman" w:eastAsia="方正仿宋_GBK" w:hAnsi="Times New Roman" w:cs="Times New Roman"/>
                <w:color w:val="000000"/>
                <w:spacing w:val="-4"/>
                <w:kern w:val="0"/>
                <w:sz w:val="24"/>
              </w:rPr>
              <w:t>号</w:t>
            </w:r>
          </w:p>
        </w:tc>
        <w:tc>
          <w:tcPr>
            <w:tcW w:w="1701" w:type="dxa"/>
            <w:vAlign w:val="center"/>
          </w:tcPr>
          <w:p w:rsidR="007E616E" w:rsidRPr="007E616E" w:rsidRDefault="007E616E" w:rsidP="007E616E">
            <w:pPr>
              <w:spacing w:line="280" w:lineRule="exact"/>
              <w:jc w:val="center"/>
              <w:rPr>
                <w:rFonts w:ascii="Times New Roman" w:eastAsia="方正仿宋_GBK" w:hAnsi="Times New Roman" w:cs="Times New Roman"/>
                <w:color w:val="000000"/>
                <w:kern w:val="0"/>
                <w:sz w:val="24"/>
              </w:rPr>
            </w:pPr>
          </w:p>
        </w:tc>
      </w:tr>
    </w:tbl>
    <w:p w:rsidR="007E616E" w:rsidRDefault="007E616E" w:rsidP="007E616E">
      <w:pPr>
        <w:widowControl/>
        <w:rPr>
          <w:rFonts w:ascii="方正黑体_GBK" w:eastAsia="方正黑体_GBK" w:hAnsi="宋体" w:cs="宋体" w:hint="eastAsia"/>
          <w:color w:val="000000"/>
          <w:kern w:val="0"/>
          <w:sz w:val="32"/>
          <w:szCs w:val="32"/>
        </w:rPr>
      </w:pPr>
      <w:r>
        <w:rPr>
          <w:rFonts w:ascii="方正黑体_GBK" w:eastAsia="方正黑体_GBK" w:hAnsi="黑体" w:cs="宋体" w:hint="eastAsia"/>
          <w:color w:val="000000"/>
          <w:kern w:val="0"/>
          <w:sz w:val="32"/>
          <w:szCs w:val="32"/>
        </w:rPr>
        <w:lastRenderedPageBreak/>
        <w:t>附件</w:t>
      </w:r>
      <w:r>
        <w:rPr>
          <w:rFonts w:ascii="方正黑体_GBK" w:eastAsia="方正黑体_GBK" w:hAnsi="宋体" w:cs="宋体" w:hint="eastAsia"/>
          <w:color w:val="000000"/>
          <w:kern w:val="0"/>
          <w:sz w:val="32"/>
          <w:szCs w:val="32"/>
        </w:rPr>
        <w:t>4</w:t>
      </w:r>
    </w:p>
    <w:p w:rsidR="007E616E" w:rsidRDefault="007E616E" w:rsidP="007E616E">
      <w:pPr>
        <w:widowControl/>
        <w:rPr>
          <w:rFonts w:ascii="方正黑体_GBK" w:eastAsia="方正黑体_GBK" w:hAnsi="宋体" w:cs="宋体"/>
          <w:color w:val="000000"/>
          <w:kern w:val="0"/>
          <w:szCs w:val="32"/>
        </w:rPr>
      </w:pPr>
    </w:p>
    <w:p w:rsidR="007E616E" w:rsidRDefault="007E616E" w:rsidP="007E616E">
      <w:pPr>
        <w:widowControl/>
        <w:shd w:val="clear" w:color="auto" w:fill="FFFFFF"/>
        <w:snapToGrid w:val="0"/>
        <w:spacing w:line="54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调整为行政登记的事项目录</w:t>
      </w:r>
    </w:p>
    <w:p w:rsidR="007E616E" w:rsidRDefault="007E616E" w:rsidP="007E616E">
      <w:pPr>
        <w:widowControl/>
        <w:shd w:val="clear" w:color="auto" w:fill="FFFFFF"/>
        <w:snapToGrid w:val="0"/>
        <w:spacing w:line="240" w:lineRule="exact"/>
        <w:jc w:val="center"/>
        <w:rPr>
          <w:rFonts w:ascii="方正小标宋_GBK" w:eastAsia="方正小标宋_GBK"/>
          <w:color w:val="000000"/>
          <w:kern w:val="0"/>
          <w:sz w:val="44"/>
          <w:szCs w:val="4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6"/>
        <w:gridCol w:w="1351"/>
        <w:gridCol w:w="1418"/>
        <w:gridCol w:w="4394"/>
        <w:gridCol w:w="1701"/>
      </w:tblGrid>
      <w:tr w:rsidR="007E616E" w:rsidRPr="007E616E" w:rsidTr="00ED7655">
        <w:trPr>
          <w:trHeight w:val="772"/>
        </w:trPr>
        <w:tc>
          <w:tcPr>
            <w:tcW w:w="776"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序号</w:t>
            </w:r>
          </w:p>
        </w:tc>
        <w:tc>
          <w:tcPr>
            <w:tcW w:w="1351"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审批部门</w:t>
            </w:r>
          </w:p>
        </w:tc>
        <w:tc>
          <w:tcPr>
            <w:tcW w:w="1418"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项目名称</w:t>
            </w:r>
          </w:p>
        </w:tc>
        <w:tc>
          <w:tcPr>
            <w:tcW w:w="4394"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设定依据</w:t>
            </w:r>
          </w:p>
        </w:tc>
        <w:tc>
          <w:tcPr>
            <w:tcW w:w="1701" w:type="dxa"/>
            <w:vAlign w:val="center"/>
          </w:tcPr>
          <w:p w:rsidR="007E616E" w:rsidRPr="007E616E" w:rsidRDefault="007E616E" w:rsidP="00ED7655">
            <w:pPr>
              <w:spacing w:line="400" w:lineRule="exact"/>
              <w:jc w:val="center"/>
              <w:rPr>
                <w:rFonts w:ascii="Times New Roman" w:eastAsia="方正黑体_GBK" w:hAnsi="Times New Roman" w:cs="Times New Roman"/>
                <w:color w:val="000000"/>
                <w:kern w:val="0"/>
                <w:sz w:val="28"/>
                <w:szCs w:val="28"/>
              </w:rPr>
            </w:pPr>
            <w:r w:rsidRPr="007E616E">
              <w:rPr>
                <w:rFonts w:ascii="Times New Roman" w:eastAsia="方正黑体_GBK" w:hAnsi="Times New Roman" w:cs="Times New Roman"/>
                <w:color w:val="000000"/>
                <w:kern w:val="0"/>
                <w:sz w:val="28"/>
                <w:szCs w:val="28"/>
              </w:rPr>
              <w:t>备注</w:t>
            </w:r>
          </w:p>
        </w:tc>
      </w:tr>
      <w:tr w:rsidR="007E616E" w:rsidRPr="007E616E" w:rsidTr="00ED7655">
        <w:trPr>
          <w:trHeight w:val="2820"/>
        </w:trPr>
        <w:tc>
          <w:tcPr>
            <w:tcW w:w="776" w:type="dxa"/>
            <w:vAlign w:val="center"/>
          </w:tcPr>
          <w:p w:rsidR="007E616E" w:rsidRPr="007E616E" w:rsidRDefault="007E616E" w:rsidP="00ED7655">
            <w:pPr>
              <w:spacing w:line="34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1</w:t>
            </w:r>
          </w:p>
        </w:tc>
        <w:tc>
          <w:tcPr>
            <w:tcW w:w="135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区国税局</w:t>
            </w:r>
          </w:p>
        </w:tc>
        <w:tc>
          <w:tcPr>
            <w:tcW w:w="1418" w:type="dxa"/>
            <w:vAlign w:val="center"/>
          </w:tcPr>
          <w:p w:rsidR="007E616E" w:rsidRPr="007E616E" w:rsidRDefault="007E616E" w:rsidP="00ED7655">
            <w:pPr>
              <w:spacing w:line="340" w:lineRule="exact"/>
              <w:jc w:val="left"/>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对增值税一般纳税人资格认定的审批</w:t>
            </w:r>
          </w:p>
        </w:tc>
        <w:tc>
          <w:tcPr>
            <w:tcW w:w="4394" w:type="dxa"/>
            <w:vAlign w:val="center"/>
          </w:tcPr>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《国务院办公厅关于保留部分非行政许可审批项目的通知》（国办发〔</w:t>
            </w:r>
            <w:r w:rsidRPr="007E616E">
              <w:rPr>
                <w:rFonts w:ascii="Times New Roman" w:eastAsia="方正仿宋_GBK" w:hAnsi="Times New Roman" w:cs="Times New Roman"/>
                <w:color w:val="000000"/>
                <w:kern w:val="0"/>
                <w:sz w:val="24"/>
              </w:rPr>
              <w:t>2004</w:t>
            </w:r>
            <w:r w:rsidRPr="007E616E">
              <w:rPr>
                <w:rFonts w:ascii="Times New Roman" w:eastAsia="方正仿宋_GBK" w:hAnsi="Times New Roman" w:cs="Times New Roman"/>
                <w:color w:val="000000"/>
                <w:kern w:val="0"/>
                <w:sz w:val="24"/>
              </w:rPr>
              <w:t>〕</w:t>
            </w:r>
            <w:r w:rsidRPr="007E616E">
              <w:rPr>
                <w:rFonts w:ascii="Times New Roman" w:eastAsia="方正仿宋_GBK" w:hAnsi="Times New Roman" w:cs="Times New Roman"/>
                <w:color w:val="000000"/>
                <w:kern w:val="0"/>
                <w:sz w:val="24"/>
              </w:rPr>
              <w:t>62</w:t>
            </w:r>
            <w:r w:rsidRPr="007E616E">
              <w:rPr>
                <w:rFonts w:ascii="Times New Roman" w:eastAsia="方正仿宋_GBK" w:hAnsi="Times New Roman" w:cs="Times New Roman"/>
                <w:color w:val="000000"/>
                <w:kern w:val="0"/>
                <w:sz w:val="24"/>
              </w:rPr>
              <w:t>号）第</w:t>
            </w:r>
            <w:r w:rsidRPr="007E616E">
              <w:rPr>
                <w:rFonts w:ascii="Times New Roman" w:eastAsia="方正仿宋_GBK" w:hAnsi="Times New Roman" w:cs="Times New Roman"/>
                <w:color w:val="000000"/>
                <w:kern w:val="0"/>
                <w:sz w:val="24"/>
              </w:rPr>
              <w:t>127</w:t>
            </w:r>
            <w:r w:rsidRPr="007E616E">
              <w:rPr>
                <w:rFonts w:ascii="Times New Roman" w:eastAsia="方正仿宋_GBK" w:hAnsi="Times New Roman" w:cs="Times New Roman"/>
                <w:color w:val="000000"/>
                <w:kern w:val="0"/>
                <w:sz w:val="24"/>
              </w:rPr>
              <w:t>项</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《中华人民共和国增值税暂行条例》第</w:t>
            </w:r>
            <w:r w:rsidRPr="007E616E">
              <w:rPr>
                <w:rFonts w:ascii="Times New Roman" w:eastAsia="方正仿宋_GBK" w:hAnsi="Times New Roman" w:cs="Times New Roman"/>
                <w:color w:val="000000"/>
                <w:kern w:val="0"/>
                <w:sz w:val="24"/>
              </w:rPr>
              <w:t>13</w:t>
            </w:r>
            <w:r w:rsidRPr="007E616E">
              <w:rPr>
                <w:rFonts w:ascii="Times New Roman" w:eastAsia="方正仿宋_GBK" w:hAnsi="Times New Roman" w:cs="Times New Roman"/>
                <w:color w:val="000000"/>
                <w:kern w:val="0"/>
                <w:sz w:val="24"/>
              </w:rPr>
              <w:t>条</w:t>
            </w:r>
          </w:p>
          <w:p w:rsidR="007E616E" w:rsidRPr="007E616E" w:rsidRDefault="007E616E" w:rsidP="007E616E">
            <w:pPr>
              <w:widowControl/>
              <w:snapToGrid w:val="0"/>
              <w:spacing w:line="340" w:lineRule="exact"/>
              <w:ind w:firstLineChars="100" w:firstLine="240"/>
              <w:rPr>
                <w:rFonts w:ascii="Times New Roman" w:eastAsia="方正仿宋_GBK" w:hAnsi="Times New Roman" w:cs="Times New Roman"/>
                <w:color w:val="000000"/>
                <w:kern w:val="0"/>
                <w:sz w:val="24"/>
              </w:rPr>
            </w:pPr>
            <w:r w:rsidRPr="007E616E">
              <w:rPr>
                <w:rFonts w:ascii="Times New Roman" w:eastAsia="方正仿宋_GBK" w:hAnsi="Times New Roman" w:cs="Times New Roman"/>
                <w:color w:val="000000"/>
                <w:kern w:val="0"/>
                <w:sz w:val="24"/>
              </w:rPr>
              <w:t>《重庆市国家税务局关于公开行政审批事项等相关工作的公告》</w:t>
            </w:r>
            <w:r w:rsidRPr="007E616E">
              <w:rPr>
                <w:rFonts w:ascii="Times New Roman" w:eastAsia="方正仿宋_GBK" w:hAnsi="Times New Roman" w:cs="Times New Roman"/>
                <w:color w:val="000000"/>
                <w:kern w:val="0"/>
                <w:sz w:val="24"/>
              </w:rPr>
              <w:t>2014</w:t>
            </w:r>
            <w:r w:rsidRPr="007E616E">
              <w:rPr>
                <w:rFonts w:ascii="Times New Roman" w:eastAsia="方正仿宋_GBK" w:hAnsi="Times New Roman" w:cs="Times New Roman"/>
                <w:color w:val="000000"/>
                <w:kern w:val="0"/>
                <w:sz w:val="24"/>
              </w:rPr>
              <w:t>年第</w:t>
            </w:r>
            <w:r w:rsidRPr="007E616E">
              <w:rPr>
                <w:rFonts w:ascii="Times New Roman" w:eastAsia="方正仿宋_GBK" w:hAnsi="Times New Roman" w:cs="Times New Roman"/>
                <w:color w:val="000000"/>
                <w:kern w:val="0"/>
                <w:sz w:val="24"/>
              </w:rPr>
              <w:t>5</w:t>
            </w:r>
            <w:r w:rsidRPr="007E616E">
              <w:rPr>
                <w:rFonts w:ascii="Times New Roman" w:eastAsia="方正仿宋_GBK" w:hAnsi="Times New Roman" w:cs="Times New Roman"/>
                <w:color w:val="000000"/>
                <w:kern w:val="0"/>
                <w:sz w:val="24"/>
              </w:rPr>
              <w:t>号</w:t>
            </w:r>
          </w:p>
        </w:tc>
        <w:tc>
          <w:tcPr>
            <w:tcW w:w="1701" w:type="dxa"/>
            <w:vAlign w:val="center"/>
          </w:tcPr>
          <w:p w:rsidR="007E616E" w:rsidRPr="007E616E" w:rsidRDefault="007E616E" w:rsidP="00ED7655">
            <w:pPr>
              <w:spacing w:line="400" w:lineRule="exact"/>
              <w:jc w:val="center"/>
              <w:rPr>
                <w:rFonts w:ascii="Times New Roman" w:eastAsia="方正仿宋_GBK" w:hAnsi="Times New Roman" w:cs="Times New Roman"/>
                <w:color w:val="000000"/>
                <w:kern w:val="0"/>
                <w:sz w:val="24"/>
              </w:rPr>
            </w:pPr>
          </w:p>
        </w:tc>
      </w:tr>
    </w:tbl>
    <w:p w:rsidR="007E616E" w:rsidRPr="007E616E" w:rsidRDefault="007E616E" w:rsidP="007E616E">
      <w:pPr>
        <w:spacing w:line="600" w:lineRule="exact"/>
        <w:rPr>
          <w:szCs w:val="32"/>
        </w:rPr>
      </w:pPr>
    </w:p>
    <w:sectPr w:rsidR="007E616E" w:rsidRPr="007E616E"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C1" w:rsidRDefault="002261C1" w:rsidP="00236F7C">
      <w:r>
        <w:separator/>
      </w:r>
    </w:p>
  </w:endnote>
  <w:endnote w:type="continuationSeparator" w:id="0">
    <w:p w:rsidR="002261C1" w:rsidRDefault="002261C1"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3A1E63">
    <w:pPr>
      <w:pStyle w:val="a5"/>
      <w:ind w:leftChars="2280" w:left="4788" w:firstLineChars="2000" w:firstLine="6400"/>
      <w:rPr>
        <w:rFonts w:eastAsia="仿宋"/>
        <w:sz w:val="32"/>
        <w:szCs w:val="48"/>
      </w:rPr>
    </w:pPr>
    <w:r w:rsidRPr="003A1E63">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3A1E63">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616E">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3A1E63">
    <w:pPr>
      <w:pStyle w:val="a5"/>
      <w:wordWrap w:val="0"/>
      <w:ind w:leftChars="1803" w:left="3786" w:firstLineChars="2312" w:firstLine="7398"/>
      <w:jc w:val="right"/>
      <w:rPr>
        <w:rFonts w:ascii="宋体" w:eastAsia="宋体" w:hAnsi="宋体" w:cs="宋体"/>
        <w:b/>
        <w:bCs/>
        <w:color w:val="005192"/>
        <w:sz w:val="28"/>
        <w:szCs w:val="44"/>
      </w:rPr>
    </w:pPr>
    <w:r w:rsidRPr="003A1E63">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C1" w:rsidRDefault="002261C1" w:rsidP="00236F7C">
      <w:r>
        <w:separator/>
      </w:r>
    </w:p>
  </w:footnote>
  <w:footnote w:type="continuationSeparator" w:id="0">
    <w:p w:rsidR="002261C1" w:rsidRDefault="002261C1"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3A1E6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261C1"/>
    <w:rsid w:val="002357BA"/>
    <w:rsid w:val="00236F7C"/>
    <w:rsid w:val="00245A4D"/>
    <w:rsid w:val="0025307E"/>
    <w:rsid w:val="002D4F90"/>
    <w:rsid w:val="002D695E"/>
    <w:rsid w:val="002F1A4B"/>
    <w:rsid w:val="002F2AE3"/>
    <w:rsid w:val="00337D95"/>
    <w:rsid w:val="003504DC"/>
    <w:rsid w:val="003A1E63"/>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E616E"/>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7A0B4-D1D8-4D12-9C06-37E8691E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792</Words>
  <Characters>4515</Characters>
  <Application>Microsoft Office Word</Application>
  <DocSecurity>0</DocSecurity>
  <Lines>37</Lines>
  <Paragraphs>10</Paragraphs>
  <ScaleCrop>false</ScaleCrop>
  <Company>Microsoft</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2022-06-10T11:32:00Z</dcterms:created>
  <dcterms:modified xsi:type="dcterms:W3CDTF">2022-06-10T11:32:00Z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