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C0C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重庆市璧山巴蜀中学校</w:t>
      </w:r>
    </w:p>
    <w:p w14:paraId="24B9C9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14:paraId="2D2C1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55EE64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67B6BD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3FF99E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初中和高中学历教育；全面素质教育；其他相关社会教育服务。</w:t>
      </w:r>
    </w:p>
    <w:p w14:paraId="383DB37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市</w:t>
      </w:r>
      <w:r>
        <w:rPr>
          <w:rFonts w:hint="eastAsia" w:ascii="方正仿宋_GBK" w:hAnsi="方正仿宋_GBK" w:eastAsia="方正仿宋_GBK" w:cs="方正仿宋_GBK"/>
          <w:sz w:val="28"/>
          <w:szCs w:val="28"/>
        </w:rPr>
        <w:t>璧山巴蜀中学</w:t>
      </w:r>
      <w:r>
        <w:rPr>
          <w:rFonts w:hint="eastAsia" w:ascii="方正仿宋_GBK" w:hAnsi="方正仿宋_GBK" w:eastAsia="方正仿宋_GBK" w:cs="方正仿宋_GBK"/>
          <w:sz w:val="28"/>
          <w:szCs w:val="28"/>
          <w:lang w:val="en-US" w:eastAsia="zh-CN"/>
        </w:rPr>
        <w:t>校</w:t>
      </w:r>
      <w:r>
        <w:rPr>
          <w:rFonts w:hint="eastAsia" w:ascii="方正仿宋_GBK" w:hAnsi="方正仿宋_GBK" w:eastAsia="方正仿宋_GBK" w:cs="方正仿宋_GBK"/>
          <w:sz w:val="28"/>
          <w:szCs w:val="28"/>
        </w:rPr>
        <w:t>是为推进西部科学城璧山片区建设，打造一流教育强区,积极发挥重庆市巴蜀中学校优质教育资源的辐射作用，由重庆市璧山区政府、区教委与重庆市巴蜀中学校合作创办的一所集初、高中为一体的公办完全中学。学校一脉相承</w:t>
      </w:r>
      <w:r>
        <w:rPr>
          <w:rFonts w:hint="eastAsia" w:ascii="方正仿宋_GBK" w:hAnsi="方正仿宋_GBK" w:eastAsia="方正仿宋_GBK" w:cs="方正仿宋_GBK"/>
          <w:sz w:val="28"/>
          <w:szCs w:val="28"/>
          <w:lang w:val="en-US" w:eastAsia="zh-CN"/>
        </w:rPr>
        <w:t>于</w:t>
      </w:r>
      <w:r>
        <w:rPr>
          <w:rFonts w:hint="eastAsia" w:ascii="方正仿宋_GBK" w:hAnsi="方正仿宋_GBK" w:eastAsia="方正仿宋_GBK" w:cs="方正仿宋_GBK"/>
          <w:sz w:val="28"/>
          <w:szCs w:val="28"/>
        </w:rPr>
        <w:t>重庆市巴蜀中学校，与巴蜀中学管理同理念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教学同核心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评价同体系，实施原汁原味的巴蜀教育。学校</w:t>
      </w:r>
      <w:r>
        <w:rPr>
          <w:rFonts w:hint="eastAsia" w:ascii="方正仿宋_GBK" w:hAnsi="方正仿宋_GBK" w:eastAsia="方正仿宋_GBK" w:cs="方正仿宋_GBK"/>
          <w:sz w:val="28"/>
          <w:szCs w:val="28"/>
          <w:lang w:val="en-US" w:eastAsia="zh-CN"/>
        </w:rPr>
        <w:t>聘</w:t>
      </w:r>
      <w:r>
        <w:rPr>
          <w:rFonts w:hint="eastAsia" w:ascii="方正仿宋_GBK" w:hAnsi="方正仿宋_GBK" w:eastAsia="方正仿宋_GBK" w:cs="方正仿宋_GBK"/>
          <w:sz w:val="28"/>
          <w:szCs w:val="28"/>
        </w:rPr>
        <w:t>用巴蜀中学教学管理团队负责学校管理</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28"/>
        </w:rPr>
        <w:t>运行。教学师资是多层次构成</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精英教师团队，由巴蜀中学本部核心师资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璧山区</w:t>
      </w:r>
      <w:r>
        <w:rPr>
          <w:rFonts w:hint="eastAsia" w:ascii="方正仿宋_GBK" w:hAnsi="方正仿宋_GBK" w:eastAsia="方正仿宋_GBK" w:cs="方正仿宋_GBK"/>
          <w:sz w:val="28"/>
          <w:szCs w:val="28"/>
          <w:lang w:val="en-US" w:eastAsia="zh-CN"/>
        </w:rPr>
        <w:t>通过</w:t>
      </w:r>
      <w:r>
        <w:rPr>
          <w:rFonts w:hint="eastAsia" w:ascii="方正仿宋_GBK" w:hAnsi="方正仿宋_GBK" w:eastAsia="方正仿宋_GBK" w:cs="方正仿宋_GBK"/>
          <w:sz w:val="28"/>
          <w:szCs w:val="28"/>
        </w:rPr>
        <w:t>人才引进政策面向全国选拔</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优秀学科名师以及</w:t>
      </w:r>
      <w:r>
        <w:rPr>
          <w:rFonts w:hint="eastAsia" w:ascii="方正仿宋_GBK" w:hAnsi="方正仿宋_GBK" w:eastAsia="方正仿宋_GBK" w:cs="方正仿宋_GBK"/>
          <w:sz w:val="28"/>
          <w:szCs w:val="28"/>
          <w:lang w:val="en-US" w:eastAsia="zh-CN"/>
        </w:rPr>
        <w:t>通过</w:t>
      </w:r>
      <w:r>
        <w:rPr>
          <w:rFonts w:hint="eastAsia" w:ascii="方正仿宋_GBK" w:hAnsi="方正仿宋_GBK" w:eastAsia="方正仿宋_GBK" w:cs="方正仿宋_GBK"/>
          <w:sz w:val="28"/>
          <w:szCs w:val="28"/>
        </w:rPr>
        <w:t>全国知名高校引进</w:t>
      </w:r>
      <w:r>
        <w:rPr>
          <w:rFonts w:hint="eastAsia" w:ascii="方正仿宋_GBK" w:hAnsi="方正仿宋_GBK" w:eastAsia="方正仿宋_GBK" w:cs="方正仿宋_GBK"/>
          <w:sz w:val="28"/>
          <w:szCs w:val="28"/>
          <w:lang w:val="en-US" w:eastAsia="zh-CN"/>
        </w:rPr>
        <w:t>的以</w:t>
      </w:r>
      <w:r>
        <w:rPr>
          <w:rFonts w:hint="eastAsia" w:ascii="方正仿宋_GBK" w:hAnsi="方正仿宋_GBK" w:eastAsia="方正仿宋_GBK" w:cs="方正仿宋_GBK"/>
          <w:sz w:val="28"/>
          <w:szCs w:val="28"/>
        </w:rPr>
        <w:t>研究生为主的优秀毕业生构成。</w:t>
      </w:r>
    </w:p>
    <w:p w14:paraId="4E875D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具体职责任务：</w:t>
      </w:r>
    </w:p>
    <w:p w14:paraId="39CACB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1.初中和高中学历教育。主要包括开设普通初中、高中各类文化课程，开展实验操作课程教学，教育教研、学籍管理等工作。</w:t>
      </w:r>
    </w:p>
    <w:p w14:paraId="0A035F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2.全面素质教育。主要包括思想品德、科学、体育、艺术等学科教育，课外教育活动，综合实践活动等工作。</w:t>
      </w:r>
    </w:p>
    <w:p w14:paraId="789F71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3.其他相关社会教育服务。主要包括后勤保障（为学生提供食堂、住宿等服务）、卫生保健服务（对传染病及学生常见病的防治、为学生提供轻微外伤处理等卫生保健服务）、开展对外交流等工作。</w:t>
      </w:r>
    </w:p>
    <w:p w14:paraId="755D9E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4.内部运行管理。包括日常运行、维护（校内基础设施维护、安全保卫、物业管理等），单位内部人事、财务等管理工作。</w:t>
      </w:r>
    </w:p>
    <w:p w14:paraId="2398B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14:paraId="30269F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重庆市璧山巴蜀中学校</w:t>
      </w:r>
      <w:r>
        <w:rPr>
          <w:rFonts w:hint="eastAsia" w:ascii="Times New Roman" w:hAnsi="Times New Roman" w:eastAsia="方正仿宋_GBK" w:cs="Times New Roman"/>
          <w:sz w:val="32"/>
          <w:szCs w:val="32"/>
          <w:lang w:eastAsia="zh-CN"/>
        </w:rPr>
        <w:t>内设机构</w:t>
      </w:r>
      <w:r>
        <w:rPr>
          <w:rFonts w:hint="eastAsia" w:ascii="Times New Roman" w:hAnsi="Times New Roman" w:eastAsia="方正仿宋_GBK" w:cs="Times New Roman"/>
          <w:sz w:val="32"/>
          <w:szCs w:val="32"/>
          <w:lang w:val="en-US" w:eastAsia="zh-CN"/>
        </w:rPr>
        <w:t>2个，各机构规范简称依次为：</w:t>
      </w:r>
      <w:r>
        <w:rPr>
          <w:rFonts w:hint="eastAsia" w:ascii="方正仿宋_GBK" w:hAnsi="方正仿宋_GBK" w:eastAsia="方正仿宋_GBK" w:cs="方正仿宋_GBK"/>
          <w:sz w:val="28"/>
          <w:szCs w:val="28"/>
        </w:rPr>
        <w:t>总务处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教务处</w:t>
      </w:r>
      <w:r>
        <w:rPr>
          <w:rFonts w:hint="eastAsia" w:ascii="Times New Roman" w:hAnsi="Times New Roman" w:eastAsia="方正仿宋_GBK" w:cs="Times New Roman"/>
          <w:sz w:val="32"/>
          <w:szCs w:val="32"/>
          <w:lang w:val="en-US" w:eastAsia="zh-CN"/>
        </w:rPr>
        <w:t>。</w:t>
      </w:r>
    </w:p>
    <w:p w14:paraId="12E56B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w:t>
      </w:r>
      <w:r>
        <w:rPr>
          <w:rFonts w:hint="eastAsia" w:ascii="Times New Roman" w:hAnsi="Times New Roman" w:eastAsia="方正黑体_GBK" w:cs="Times New Roman"/>
          <w:sz w:val="32"/>
          <w:szCs w:val="32"/>
          <w:u w:val="none"/>
          <w:lang w:eastAsia="zh-CN"/>
        </w:rPr>
        <w:t>单位</w:t>
      </w:r>
      <w:r>
        <w:rPr>
          <w:rFonts w:hint="default" w:ascii="Times New Roman" w:hAnsi="Times New Roman" w:eastAsia="方正黑体_GBK" w:cs="Times New Roman"/>
          <w:sz w:val="32"/>
          <w:szCs w:val="32"/>
          <w:u w:val="none"/>
        </w:rPr>
        <w:t>收支总体情况</w:t>
      </w:r>
    </w:p>
    <w:p w14:paraId="3424F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年年初预算数 2279.59万元，其中：一般公共预算拨款2213.09万元，政府性基金预算拨款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66.5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事业收入资金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万元，上级补助收入资金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万元，附属单位上缴收入资金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万元，事业单位经营收入资金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万元，其他收入资金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1322.94</w:t>
      </w:r>
      <w:r>
        <w:rPr>
          <w:rFonts w:hint="default" w:ascii="Times New Roman" w:hAnsi="Times New Roman" w:eastAsia="方正仿宋_GBK" w:cs="Times New Roman"/>
          <w:sz w:val="32"/>
          <w:szCs w:val="32"/>
        </w:rPr>
        <w:t>万元，</w:t>
      </w:r>
      <w:r>
        <w:rPr>
          <w:rFonts w:hint="eastAsia" w:ascii="方正仿宋_GBK" w:hAnsi="方正仿宋_GBK" w:eastAsia="方正仿宋_GBK" w:cs="方正仿宋_GBK"/>
          <w:sz w:val="28"/>
          <w:szCs w:val="28"/>
        </w:rPr>
        <w:t>主要是一般公共预算经费拨款</w:t>
      </w:r>
      <w:r>
        <w:rPr>
          <w:rFonts w:hint="eastAsia" w:ascii="方正仿宋_GBK" w:hAnsi="方正仿宋_GBK" w:eastAsia="方正仿宋_GBK" w:cs="方正仿宋_GBK"/>
          <w:sz w:val="28"/>
          <w:szCs w:val="28"/>
          <w:lang w:eastAsia="zh-CN"/>
        </w:rPr>
        <w:t>增加</w:t>
      </w:r>
      <w:r>
        <w:rPr>
          <w:rFonts w:hint="eastAsia" w:ascii="方正仿宋_GBK" w:hAnsi="方正仿宋_GBK" w:eastAsia="方正仿宋_GBK" w:cs="方正仿宋_GBK"/>
          <w:sz w:val="28"/>
          <w:szCs w:val="28"/>
          <w:lang w:val="en-US" w:eastAsia="zh-CN"/>
        </w:rPr>
        <w:t>1256.44万</w:t>
      </w:r>
      <w:r>
        <w:rPr>
          <w:rFonts w:hint="eastAsia" w:ascii="方正仿宋_GBK" w:hAnsi="方正仿宋_GBK" w:eastAsia="方正仿宋_GBK" w:cs="方正仿宋_GBK"/>
          <w:sz w:val="28"/>
          <w:szCs w:val="28"/>
          <w:lang w:eastAsia="zh-CN"/>
        </w:rPr>
        <w:t>元</w:t>
      </w:r>
      <w:r>
        <w:rPr>
          <w:rFonts w:hint="eastAsia" w:ascii="方正仿宋_GBK" w:hAnsi="方正仿宋_GBK" w:eastAsia="方正仿宋_GBK" w:cs="方正仿宋_GBK"/>
          <w:sz w:val="28"/>
          <w:szCs w:val="28"/>
        </w:rPr>
        <w:t>，财政专户管理资金收入</w:t>
      </w:r>
      <w:r>
        <w:rPr>
          <w:rFonts w:hint="eastAsia" w:ascii="方正仿宋_GBK" w:hAnsi="方正仿宋_GBK" w:eastAsia="方正仿宋_GBK" w:cs="方正仿宋_GBK"/>
          <w:sz w:val="28"/>
          <w:szCs w:val="28"/>
          <w:lang w:eastAsia="zh-CN"/>
        </w:rPr>
        <w:t>增加</w:t>
      </w:r>
      <w:r>
        <w:rPr>
          <w:rFonts w:hint="eastAsia" w:ascii="方正仿宋_GBK" w:hAnsi="方正仿宋_GBK" w:eastAsia="方正仿宋_GBK" w:cs="方正仿宋_GBK"/>
          <w:sz w:val="28"/>
          <w:szCs w:val="28"/>
          <w:lang w:val="en-US" w:eastAsia="zh-CN"/>
        </w:rPr>
        <w:t>66.5万</w:t>
      </w:r>
      <w:r>
        <w:rPr>
          <w:rFonts w:hint="eastAsia" w:ascii="方正仿宋_GBK" w:hAnsi="方正仿宋_GBK" w:eastAsia="方正仿宋_GBK" w:cs="方正仿宋_GBK"/>
          <w:sz w:val="28"/>
          <w:szCs w:val="28"/>
          <w:lang w:eastAsia="zh-CN"/>
        </w:rPr>
        <w:t>元，主要原因是重庆市璧山巴蜀中学校</w:t>
      </w:r>
      <w:r>
        <w:rPr>
          <w:rFonts w:hint="eastAsia" w:ascii="方正仿宋_GBK" w:hAnsi="方正仿宋_GBK" w:eastAsia="方正仿宋_GBK" w:cs="方正仿宋_GBK"/>
          <w:sz w:val="28"/>
          <w:szCs w:val="28"/>
          <w:lang w:val="en-US" w:eastAsia="zh-CN"/>
        </w:rPr>
        <w:t>2024年9月新入职了67个新教师，另外开设了高中班。</w:t>
      </w:r>
    </w:p>
    <w:p w14:paraId="3D703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 2279.59万元，其中：一般公共服务支出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万元，教育支出1977.74万元，社会保障和就业支出178.21万元，卫生健康支出65.89万元，住房保障支出57.75万元……；支出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1322.94</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1150.96</w:t>
      </w:r>
      <w:r>
        <w:rPr>
          <w:rFonts w:hint="default" w:ascii="Times New Roman" w:hAnsi="Times New Roman" w:eastAsia="方正仿宋_GBK" w:cs="Times New Roman"/>
          <w:sz w:val="32"/>
          <w:szCs w:val="32"/>
        </w:rPr>
        <w:t xml:space="preserve"> 万元，项目支出增加</w:t>
      </w:r>
      <w:r>
        <w:rPr>
          <w:rFonts w:hint="eastAsia" w:ascii="Times New Roman" w:hAnsi="Times New Roman" w:eastAsia="方正仿宋_GBK" w:cs="Times New Roman"/>
          <w:sz w:val="32"/>
          <w:szCs w:val="32"/>
          <w:lang w:val="en-US" w:eastAsia="zh-CN"/>
        </w:rPr>
        <w:t>171.98</w:t>
      </w:r>
      <w:r>
        <w:rPr>
          <w:rFonts w:hint="default" w:ascii="Times New Roman" w:hAnsi="Times New Roman" w:eastAsia="方正仿宋_GBK" w:cs="Times New Roman"/>
          <w:sz w:val="32"/>
          <w:szCs w:val="32"/>
        </w:rPr>
        <w:t>万元。</w:t>
      </w:r>
    </w:p>
    <w:p w14:paraId="700867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按照我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eastAsia="zh-CN"/>
        </w:rPr>
        <w:t>预算</w:t>
      </w:r>
      <w:r>
        <w:rPr>
          <w:rFonts w:hint="eastAsia" w:ascii="Times New Roman" w:hAnsi="Times New Roman" w:eastAsia="方正仿宋_GBK" w:cs="Times New Roman"/>
          <w:sz w:val="32"/>
          <w:szCs w:val="32"/>
          <w:highlight w:val="none"/>
          <w:lang w:eastAsia="zh-CN"/>
        </w:rPr>
        <w:t>管理要求</w:t>
      </w:r>
      <w:r>
        <w:rPr>
          <w:rFonts w:hint="default" w:ascii="Times New Roman" w:hAnsi="Times New Roman" w:eastAsia="方正仿宋_GBK" w:cs="Times New Roman"/>
          <w:sz w:val="32"/>
          <w:szCs w:val="32"/>
          <w:highlight w:val="none"/>
          <w:lang w:eastAsia="zh-CN"/>
        </w:rPr>
        <w:t>，结转金额已纳入相应性质的资金收入中进行反映，上述收入包括202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年结转并编制到202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年预算的资金</w:t>
      </w:r>
      <w:r>
        <w:rPr>
          <w:rFonts w:hint="eastAsia" w:ascii="Times New Roman" w:hAnsi="Times New Roman" w:eastAsia="方正仿宋_GBK" w:cs="Times New Roman"/>
          <w:sz w:val="32"/>
          <w:szCs w:val="32"/>
          <w:highlight w:val="none"/>
          <w:lang w:eastAsia="zh-CN"/>
        </w:rPr>
        <w:t>。</w:t>
      </w:r>
    </w:p>
    <w:p w14:paraId="5A833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14:paraId="7A3E3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14:paraId="66E392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年一般公共预算财政拨款收入2213.09万元，一般公共预算财政拨款支出2213.09万元，比202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1256.44</w:t>
      </w:r>
      <w:r>
        <w:rPr>
          <w:rFonts w:hint="default" w:ascii="Times New Roman" w:hAnsi="Times New Roman" w:eastAsia="方正仿宋_GBK" w:cs="Times New Roman"/>
          <w:sz w:val="32"/>
          <w:szCs w:val="32"/>
        </w:rPr>
        <w:t>万元。其中：基本支出1391.79万元，主要用于保障在职人员工资福利及社会保险缴费，保障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正常运转的各项商品服务支出；项目支出821.3万元，主要用于</w:t>
      </w:r>
      <w:r>
        <w:rPr>
          <w:rFonts w:hint="eastAsia" w:ascii="Times New Roman" w:hAnsi="Times New Roman" w:eastAsia="方正仿宋_GBK" w:cs="Times New Roman"/>
          <w:sz w:val="32"/>
          <w:szCs w:val="32"/>
          <w:lang w:val="en-US" w:eastAsia="zh-CN"/>
        </w:rPr>
        <w:t>巴蜀人才引进和公用经费不足部分</w:t>
      </w:r>
      <w:r>
        <w:rPr>
          <w:rFonts w:hint="default" w:ascii="Times New Roman" w:hAnsi="Times New Roman" w:eastAsia="方正仿宋_GBK" w:cs="Times New Roman"/>
          <w:sz w:val="32"/>
          <w:szCs w:val="32"/>
        </w:rPr>
        <w:t>，比202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105.48</w:t>
      </w:r>
      <w:r>
        <w:rPr>
          <w:rFonts w:hint="default" w:ascii="Times New Roman" w:hAnsi="Times New Roman" w:eastAsia="方正仿宋_GBK" w:cs="Times New Roman"/>
          <w:sz w:val="32"/>
          <w:szCs w:val="32"/>
        </w:rPr>
        <w:t>元，主要原因是</w:t>
      </w:r>
      <w:r>
        <w:rPr>
          <w:rFonts w:hint="eastAsia" w:ascii="Times New Roman" w:hAnsi="Times New Roman" w:eastAsia="方正仿宋_GBK" w:cs="Times New Roman"/>
          <w:sz w:val="32"/>
          <w:szCs w:val="32"/>
          <w:lang w:val="en-US" w:eastAsia="zh-CN"/>
        </w:rPr>
        <w:t>巴蜀人才引进人员增加和临聘人员经费增加</w:t>
      </w:r>
      <w:r>
        <w:rPr>
          <w:rFonts w:hint="default" w:ascii="Times New Roman" w:hAnsi="Times New Roman" w:eastAsia="方正仿宋_GBK" w:cs="Times New Roman"/>
          <w:sz w:val="32"/>
          <w:szCs w:val="32"/>
        </w:rPr>
        <w:t>。</w:t>
      </w:r>
    </w:p>
    <w:p w14:paraId="02741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14:paraId="487B05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bCs/>
          <w:sz w:val="32"/>
        </w:rPr>
        <w:t>202</w:t>
      </w:r>
      <w:r>
        <w:rPr>
          <w:rFonts w:hint="eastAsia" w:ascii="Times New Roman" w:hAnsi="Times New Roman" w:eastAsia="方正仿宋_GBK" w:cs="Times New Roman"/>
          <w:b/>
          <w:bCs/>
          <w:sz w:val="32"/>
          <w:lang w:val="en-US" w:eastAsia="zh-CN"/>
        </w:rPr>
        <w:t>5</w:t>
      </w:r>
      <w:r>
        <w:rPr>
          <w:rFonts w:hint="default" w:ascii="Times New Roman" w:hAnsi="Times New Roman" w:eastAsia="方正仿宋_GBK" w:cs="Times New Roman"/>
          <w:b/>
          <w:bCs/>
          <w:sz w:val="32"/>
        </w:rPr>
        <w:t>年无使用政府性基金预算拨款安排的支出，与上年保持一致</w:t>
      </w:r>
      <w:r>
        <w:rPr>
          <w:rFonts w:hint="eastAsia" w:ascii="Times New Roman" w:hAnsi="Times New Roman" w:eastAsia="方正仿宋_GBK" w:cs="Times New Roman"/>
          <w:b/>
          <w:bCs/>
          <w:sz w:val="32"/>
          <w:lang w:eastAsia="zh-CN"/>
        </w:rPr>
        <w:t>。</w:t>
      </w:r>
    </w:p>
    <w:p w14:paraId="23F4ACD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sz w:val="32"/>
          <w:szCs w:val="32"/>
          <w:lang w:eastAsia="zh-CN"/>
        </w:rPr>
        <w:t>财政拨款收支。</w:t>
      </w:r>
    </w:p>
    <w:p w14:paraId="3CF6B7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bCs/>
          <w:sz w:val="32"/>
        </w:rPr>
        <w:t>202</w:t>
      </w:r>
      <w:r>
        <w:rPr>
          <w:rFonts w:hint="eastAsia" w:ascii="Times New Roman" w:hAnsi="Times New Roman" w:eastAsia="方正仿宋_GBK" w:cs="Times New Roman"/>
          <w:b/>
          <w:bCs/>
          <w:sz w:val="32"/>
          <w:lang w:val="en-US" w:eastAsia="zh-CN"/>
        </w:rPr>
        <w:t>5</w:t>
      </w:r>
      <w:r>
        <w:rPr>
          <w:rFonts w:hint="default" w:ascii="Times New Roman" w:hAnsi="Times New Roman" w:eastAsia="方正仿宋_GBK" w:cs="Times New Roman"/>
          <w:b/>
          <w:bCs/>
          <w:sz w:val="32"/>
        </w:rPr>
        <w:t>年无使用</w:t>
      </w:r>
      <w:r>
        <w:rPr>
          <w:rFonts w:hint="default" w:ascii="Times New Roman" w:hAnsi="Times New Roman" w:eastAsia="方正仿宋_GBK" w:cs="Times New Roman"/>
          <w:b/>
          <w:bCs/>
          <w:sz w:val="32"/>
          <w:lang w:eastAsia="zh-CN"/>
        </w:rPr>
        <w:t>国有资本经营</w:t>
      </w:r>
      <w:r>
        <w:rPr>
          <w:rFonts w:hint="default" w:ascii="Times New Roman" w:hAnsi="Times New Roman" w:eastAsia="方正仿宋_GBK" w:cs="Times New Roman"/>
          <w:b/>
          <w:bCs/>
          <w:sz w:val="32"/>
        </w:rPr>
        <w:t>预算拨款安排的支出，与上年保持一致</w:t>
      </w:r>
      <w:r>
        <w:rPr>
          <w:rFonts w:hint="eastAsia" w:ascii="Times New Roman" w:hAnsi="Times New Roman" w:eastAsia="方正仿宋_GBK" w:cs="Times New Roman"/>
          <w:b/>
          <w:bCs/>
          <w:sz w:val="32"/>
          <w:lang w:eastAsia="zh-CN"/>
        </w:rPr>
        <w:t>。</w:t>
      </w:r>
    </w:p>
    <w:p w14:paraId="121025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142961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。其中：因公出国（境）费用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eastAsia" w:ascii="方正仿宋_GBK" w:hAnsi="方正仿宋_GBK" w:eastAsia="方正仿宋_GBK" w:cs="方正仿宋_GBK"/>
          <w:sz w:val="28"/>
          <w:szCs w:val="28"/>
          <w:lang w:val="en-US" w:eastAsia="zh-CN"/>
        </w:rPr>
        <w:t>单位厉行节约，</w:t>
      </w:r>
      <w:r>
        <w:rPr>
          <w:rFonts w:hint="eastAsia" w:ascii="方正仿宋_GBK" w:hAnsi="方正仿宋_GBK" w:eastAsia="方正仿宋_GBK" w:cs="方正仿宋_GBK"/>
          <w:sz w:val="28"/>
          <w:szCs w:val="28"/>
        </w:rPr>
        <w:t>从严控制“三公”经费</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与上年持平</w:t>
      </w:r>
      <w:r>
        <w:rPr>
          <w:rFonts w:hint="default" w:ascii="Times New Roman" w:hAnsi="Times New Roman" w:eastAsia="方正仿宋_GBK" w:cs="Times New Roman"/>
          <w:sz w:val="32"/>
          <w:szCs w:val="32"/>
          <w:lang w:eastAsia="zh-CN"/>
        </w:rPr>
        <w:t>。</w:t>
      </w:r>
    </w:p>
    <w:p w14:paraId="5CED04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33238C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14:paraId="24A776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rPr>
        <w:t>我单位不在机关运行经费统计范围之内。</w:t>
      </w:r>
    </w:p>
    <w:p w14:paraId="6BF4EE0B">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14:paraId="133991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政府采购预算总额5.25万元：政府采购货物预算5.25万元、政府采购工程预算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万元；其中一般公共预算拨款政府采购5.25万元：政府采购货物预算5.25万元、政府采购工程预算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53380412">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14:paraId="56703E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年项目支出均实行了绩效目标管理，涉及一般公共预算财政拨款</w:t>
      </w:r>
      <w:r>
        <w:rPr>
          <w:rFonts w:hint="eastAsia" w:ascii="Times New Roman" w:hAnsi="Times New Roman" w:eastAsia="方正仿宋_GBK" w:cs="Times New Roman"/>
          <w:sz w:val="32"/>
          <w:szCs w:val="32"/>
          <w:lang w:val="en-US" w:eastAsia="zh-CN"/>
        </w:rPr>
        <w:t>821.3</w:t>
      </w:r>
      <w:r>
        <w:rPr>
          <w:rFonts w:hint="default" w:ascii="Times New Roman" w:hAnsi="Times New Roman" w:eastAsia="方正仿宋_GBK" w:cs="Times New Roman"/>
          <w:sz w:val="32"/>
          <w:szCs w:val="32"/>
        </w:rPr>
        <w:t>万元。</w:t>
      </w:r>
    </w:p>
    <w:p w14:paraId="23E3A306">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bookmarkStart w:id="0" w:name="_GoBack"/>
      <w:bookmarkEnd w:id="0"/>
    </w:p>
    <w:p w14:paraId="2C6F896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14:paraId="3EAC862C">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086B52E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14:paraId="1322158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14:paraId="77E223D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14:paraId="21AA52D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14:paraId="09DB60C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14:paraId="2E18599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14:paraId="598EF3E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14:paraId="205C3A0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14:paraId="1B8EA95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14:paraId="38C4F97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14:paraId="74DEA59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14:paraId="47950DF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14:paraId="4387D956">
      <w:pPr>
        <w:spacing w:line="600" w:lineRule="exact"/>
        <w:ind w:firstLine="640" w:firstLineChars="200"/>
        <w:rPr>
          <w:rFonts w:hint="eastAsia" w:ascii="Times New Roman" w:hAnsi="Times New Roman" w:eastAsia="方正仿宋_GBK" w:cs="Times New Roman"/>
          <w:color w:val="auto"/>
          <w:sz w:val="32"/>
          <w:szCs w:val="32"/>
          <w:lang w:eastAsia="zh-CN"/>
        </w:rPr>
      </w:pPr>
    </w:p>
    <w:p w14:paraId="4F4909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何小均</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highlight w:val="none"/>
          <w:lang w:val="en-US" w:eastAsia="zh-CN"/>
        </w:rPr>
        <w:t>13983688122</w:t>
      </w:r>
    </w:p>
    <w:p w14:paraId="6786CD6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附表：160067重庆市璧山巴蜀中学校2025年单位预算公开套表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747E1CF0-C37D-458E-9006-F8354F7684B8}"/>
  </w:font>
  <w:font w:name="方正黑体_GBK">
    <w:panose1 w:val="03000509000000000000"/>
    <w:charset w:val="86"/>
    <w:family w:val="script"/>
    <w:pitch w:val="default"/>
    <w:sig w:usb0="00000001" w:usb1="080E0000" w:usb2="00000000" w:usb3="00000000" w:csb0="00040000" w:csb1="00000000"/>
    <w:embedRegular r:id="rId2" w:fontKey="{FBA4D326-8900-4CB8-8DF3-57314F8FE030}"/>
  </w:font>
  <w:font w:name="方正楷体_GBK">
    <w:panose1 w:val="03000509000000000000"/>
    <w:charset w:val="86"/>
    <w:family w:val="script"/>
    <w:pitch w:val="default"/>
    <w:sig w:usb0="00000001" w:usb1="080E0000" w:usb2="00000000" w:usb3="00000000" w:csb0="00040000" w:csb1="00000000"/>
    <w:embedRegular r:id="rId3" w:fontKey="{62DD36FB-409F-4959-9D5C-990BF65B926D}"/>
  </w:font>
  <w:font w:name="方正仿宋_GBK">
    <w:panose1 w:val="02000000000000000000"/>
    <w:charset w:val="86"/>
    <w:family w:val="script"/>
    <w:pitch w:val="default"/>
    <w:sig w:usb0="00000001" w:usb1="080E0000" w:usb2="00000000" w:usb3="00000000" w:csb0="00040000" w:csb1="00000000"/>
    <w:embedRegular r:id="rId4" w:fontKey="{0E4CECA9-657A-40B4-B131-A7B102DA4C0E}"/>
  </w:font>
  <w:font w:name="仿宋_GB2312">
    <w:panose1 w:val="02010609030101010101"/>
    <w:charset w:val="86"/>
    <w:family w:val="modern"/>
    <w:pitch w:val="default"/>
    <w:sig w:usb0="00000001" w:usb1="080E0000" w:usb2="00000000" w:usb3="00000000" w:csb0="00040000" w:csb1="00000000"/>
    <w:embedRegular r:id="rId5" w:fontKey="{051EBD62-E507-4434-9F48-3419D49F50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78608E3"/>
    <w:rsid w:val="09313CA7"/>
    <w:rsid w:val="0A016F4E"/>
    <w:rsid w:val="0D7A365A"/>
    <w:rsid w:val="12A9252A"/>
    <w:rsid w:val="133B1901"/>
    <w:rsid w:val="13A377FC"/>
    <w:rsid w:val="19DB55F5"/>
    <w:rsid w:val="19FB3499"/>
    <w:rsid w:val="1A511AE1"/>
    <w:rsid w:val="1B276513"/>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92C15A2"/>
    <w:rsid w:val="3A720DEA"/>
    <w:rsid w:val="3AB2398F"/>
    <w:rsid w:val="3B9B3520"/>
    <w:rsid w:val="3CFC635A"/>
    <w:rsid w:val="3FA6066E"/>
    <w:rsid w:val="43FE5D4B"/>
    <w:rsid w:val="472A7DD8"/>
    <w:rsid w:val="47B1017C"/>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90F5724"/>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2829</Words>
  <Characters>3041</Characters>
  <Lines>8</Lines>
  <Paragraphs>2</Paragraphs>
  <TotalTime>4</TotalTime>
  <ScaleCrop>false</ScaleCrop>
  <LinksUpToDate>false</LinksUpToDate>
  <CharactersWithSpaces>3055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江</cp:lastModifiedBy>
  <cp:lastPrinted>2018-01-02T08:11:00Z</cp:lastPrinted>
  <dcterms:modified xsi:type="dcterms:W3CDTF">2025-02-11T00:55:03Z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eyJoZGlkIjoiMjg0ZGNlYzE4OWE1MjA1ZjQxYWYxY2YzN2QwZmYzODAiLCJ1c2VySWQiOiI5OTczMzc5NzcifQ==</vt:lpwstr>
  </property>
</Properties>
</file>