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after="62" w:afterLines="20" w:line="360" w:lineRule="auto"/>
        <w:ind w:firstLine="0" w:firstLineChars="0"/>
        <w:jc w:val="center"/>
        <w:rPr>
          <w:rFonts w:eastAsia="方正仿宋_GBK" w:cs="Times New Roman"/>
          <w:b/>
          <w:sz w:val="30"/>
          <w:szCs w:val="30"/>
        </w:rPr>
      </w:pPr>
    </w:p>
    <w:p>
      <w:pPr>
        <w:overflowPunct w:val="0"/>
        <w:spacing w:after="62" w:afterLines="20" w:line="360" w:lineRule="auto"/>
        <w:ind w:firstLine="0" w:firstLineChars="0"/>
        <w:jc w:val="center"/>
        <w:rPr>
          <w:rFonts w:eastAsia="方正仿宋_GBK" w:cs="Times New Roman"/>
          <w:b/>
          <w:sz w:val="30"/>
          <w:szCs w:val="30"/>
        </w:rPr>
      </w:pPr>
    </w:p>
    <w:p>
      <w:pPr>
        <w:overflowPunct w:val="0"/>
        <w:spacing w:after="62" w:afterLines="20" w:line="360" w:lineRule="auto"/>
        <w:ind w:firstLine="0" w:firstLineChars="0"/>
        <w:jc w:val="center"/>
        <w:rPr>
          <w:rFonts w:eastAsia="方正仿宋_GBK" w:cs="Times New Roman"/>
          <w:b/>
          <w:sz w:val="30"/>
          <w:szCs w:val="30"/>
        </w:rPr>
      </w:pPr>
    </w:p>
    <w:p>
      <w:pPr>
        <w:spacing w:line="480" w:lineRule="auto"/>
        <w:ind w:firstLine="0" w:firstLineChars="0"/>
        <w:jc w:val="center"/>
        <w:rPr>
          <w:rFonts w:eastAsia="方正小标宋_GBK" w:cs="Times New Roman"/>
          <w:bCs/>
          <w:sz w:val="44"/>
          <w:szCs w:val="44"/>
        </w:rPr>
      </w:pPr>
      <w:r>
        <w:rPr>
          <w:rFonts w:hint="eastAsia" w:eastAsia="方正小标宋_GBK" w:cs="Times New Roman"/>
          <w:bCs/>
          <w:sz w:val="44"/>
          <w:szCs w:val="44"/>
        </w:rPr>
        <w:t>璧山区“十四五”林业发展规划</w:t>
      </w:r>
    </w:p>
    <w:p>
      <w:pPr>
        <w:adjustRightInd w:val="0"/>
        <w:snapToGrid w:val="0"/>
        <w:spacing w:after="62" w:afterLines="20" w:line="600" w:lineRule="exact"/>
        <w:ind w:firstLine="0" w:firstLineChars="0"/>
        <w:jc w:val="left"/>
        <w:rPr>
          <w:rFonts w:ascii="黑体" w:hAnsi="黑体" w:eastAsia="黑体"/>
          <w:color w:val="000000" w:themeColor="text1"/>
          <w:sz w:val="40"/>
          <w:szCs w:val="40"/>
          <w14:textFill>
            <w14:solidFill>
              <w14:schemeClr w14:val="tx1"/>
            </w14:solidFill>
          </w14:textFill>
        </w:rPr>
      </w:pPr>
    </w:p>
    <w:p>
      <w:pPr>
        <w:adjustRightInd w:val="0"/>
        <w:snapToGrid w:val="0"/>
        <w:spacing w:after="62" w:afterLines="20" w:line="600" w:lineRule="exact"/>
        <w:ind w:firstLine="0" w:firstLineChars="0"/>
        <w:jc w:val="left"/>
        <w:rPr>
          <w:rFonts w:eastAsia="方正黑体_GBK" w:cs="Times New Roman"/>
          <w:sz w:val="36"/>
          <w:szCs w:val="36"/>
        </w:rPr>
      </w:pPr>
    </w:p>
    <w:p>
      <w:pPr>
        <w:adjustRightInd w:val="0"/>
        <w:snapToGrid w:val="0"/>
        <w:spacing w:after="62" w:afterLines="20" w:line="600" w:lineRule="exact"/>
        <w:ind w:firstLine="0" w:firstLineChars="0"/>
        <w:jc w:val="left"/>
        <w:rPr>
          <w:rFonts w:eastAsia="方正黑体_GBK" w:cs="Times New Roman"/>
          <w:sz w:val="36"/>
          <w:szCs w:val="36"/>
        </w:rPr>
      </w:pPr>
    </w:p>
    <w:p>
      <w:pPr>
        <w:adjustRightInd w:val="0"/>
        <w:snapToGrid w:val="0"/>
        <w:spacing w:after="62" w:afterLines="20" w:line="600" w:lineRule="exact"/>
        <w:ind w:firstLine="0" w:firstLineChars="0"/>
        <w:jc w:val="left"/>
        <w:rPr>
          <w:rFonts w:eastAsia="方正黑体_GBK" w:cs="Times New Roman"/>
          <w:sz w:val="36"/>
          <w:szCs w:val="36"/>
        </w:rPr>
      </w:pPr>
    </w:p>
    <w:p>
      <w:pPr>
        <w:adjustRightInd w:val="0"/>
        <w:snapToGrid w:val="0"/>
        <w:spacing w:after="62" w:afterLines="20" w:line="600" w:lineRule="exact"/>
        <w:ind w:firstLine="0" w:firstLineChars="0"/>
        <w:jc w:val="left"/>
        <w:rPr>
          <w:rFonts w:eastAsia="方正黑体_GBK" w:cs="Times New Roman"/>
          <w:sz w:val="36"/>
          <w:szCs w:val="36"/>
        </w:rPr>
      </w:pPr>
    </w:p>
    <w:p>
      <w:pPr>
        <w:tabs>
          <w:tab w:val="left" w:pos="5570"/>
        </w:tabs>
        <w:adjustRightInd w:val="0"/>
        <w:snapToGrid w:val="0"/>
        <w:spacing w:after="62" w:afterLines="20" w:line="600" w:lineRule="exact"/>
        <w:ind w:firstLine="0" w:firstLineChars="0"/>
        <w:jc w:val="left"/>
        <w:rPr>
          <w:rFonts w:eastAsia="方正黑体_GBK" w:cs="Times New Roman"/>
          <w:sz w:val="36"/>
          <w:szCs w:val="36"/>
        </w:rPr>
      </w:pPr>
    </w:p>
    <w:p>
      <w:pPr>
        <w:tabs>
          <w:tab w:val="left" w:pos="5570"/>
        </w:tabs>
        <w:adjustRightInd w:val="0"/>
        <w:snapToGrid w:val="0"/>
        <w:spacing w:after="62" w:afterLines="20" w:line="600" w:lineRule="exact"/>
        <w:ind w:firstLine="0" w:firstLineChars="0"/>
        <w:jc w:val="left"/>
        <w:rPr>
          <w:rFonts w:eastAsia="方正黑体_GBK" w:cs="Times New Roman"/>
          <w:sz w:val="36"/>
          <w:szCs w:val="36"/>
        </w:rPr>
      </w:pPr>
    </w:p>
    <w:p>
      <w:pPr>
        <w:tabs>
          <w:tab w:val="left" w:pos="5570"/>
        </w:tabs>
        <w:adjustRightInd w:val="0"/>
        <w:snapToGrid w:val="0"/>
        <w:spacing w:after="62" w:afterLines="20" w:line="600" w:lineRule="exact"/>
        <w:ind w:firstLine="0" w:firstLineChars="0"/>
        <w:jc w:val="left"/>
        <w:rPr>
          <w:rFonts w:eastAsia="方正黑体_GBK" w:cs="Times New Roman"/>
          <w:sz w:val="36"/>
          <w:szCs w:val="36"/>
        </w:rPr>
      </w:pPr>
    </w:p>
    <w:p>
      <w:pPr>
        <w:adjustRightInd w:val="0"/>
        <w:snapToGrid w:val="0"/>
        <w:spacing w:after="62" w:afterLines="20" w:line="600" w:lineRule="exact"/>
        <w:ind w:firstLine="0" w:firstLineChars="0"/>
        <w:jc w:val="left"/>
        <w:rPr>
          <w:rFonts w:eastAsia="方正黑体_GBK" w:cs="Times New Roman"/>
          <w:sz w:val="36"/>
          <w:szCs w:val="36"/>
        </w:rPr>
      </w:pPr>
    </w:p>
    <w:p>
      <w:pPr>
        <w:adjustRightInd w:val="0"/>
        <w:snapToGrid w:val="0"/>
        <w:spacing w:after="62" w:afterLines="20" w:line="600" w:lineRule="exact"/>
        <w:ind w:firstLine="0" w:firstLineChars="0"/>
        <w:jc w:val="left"/>
        <w:rPr>
          <w:rFonts w:eastAsia="方正黑体_GBK" w:cs="Times New Roman"/>
          <w:sz w:val="36"/>
          <w:szCs w:val="36"/>
        </w:rPr>
      </w:pPr>
    </w:p>
    <w:p>
      <w:pPr>
        <w:adjustRightInd w:val="0"/>
        <w:snapToGrid w:val="0"/>
        <w:spacing w:after="62" w:afterLines="20" w:line="600" w:lineRule="exact"/>
        <w:ind w:firstLine="0" w:firstLineChars="0"/>
        <w:jc w:val="left"/>
        <w:rPr>
          <w:rFonts w:eastAsia="方正黑体_GBK" w:cs="Times New Roman"/>
          <w:sz w:val="36"/>
          <w:szCs w:val="36"/>
        </w:rPr>
      </w:pPr>
    </w:p>
    <w:p>
      <w:pPr>
        <w:adjustRightInd w:val="0"/>
        <w:snapToGrid w:val="0"/>
        <w:spacing w:after="62" w:afterLines="20" w:line="600" w:lineRule="exact"/>
        <w:ind w:firstLine="0" w:firstLineChars="0"/>
        <w:jc w:val="left"/>
        <w:rPr>
          <w:rFonts w:eastAsia="方正黑体_GBK" w:cs="Times New Roman"/>
          <w:sz w:val="36"/>
          <w:szCs w:val="36"/>
        </w:rPr>
      </w:pPr>
    </w:p>
    <w:p>
      <w:pPr>
        <w:tabs>
          <w:tab w:val="left" w:pos="1985"/>
        </w:tabs>
        <w:adjustRightInd w:val="0"/>
        <w:snapToGrid w:val="0"/>
        <w:spacing w:after="62" w:afterLines="20" w:line="600" w:lineRule="exact"/>
        <w:ind w:firstLine="0" w:firstLineChars="0"/>
        <w:jc w:val="center"/>
        <w:rPr>
          <w:rFonts w:eastAsia="方正楷体_GBK" w:cs="Times New Roman"/>
          <w:spacing w:val="240"/>
          <w:kern w:val="0"/>
          <w:sz w:val="32"/>
          <w:szCs w:val="32"/>
        </w:rPr>
      </w:pPr>
      <w:r>
        <w:rPr>
          <w:rFonts w:hint="eastAsia" w:eastAsia="方正楷体_GBK" w:cs="Times New Roman"/>
          <w:spacing w:val="160"/>
          <w:kern w:val="0"/>
          <w:sz w:val="32"/>
          <w:szCs w:val="32"/>
          <w:fitText w:val="5440" w:id="-1665372928"/>
        </w:rPr>
        <w:t>重庆市璧山区林业</w:t>
      </w:r>
      <w:r>
        <w:rPr>
          <w:rFonts w:hint="eastAsia" w:eastAsia="方正楷体_GBK" w:cs="Times New Roman"/>
          <w:spacing w:val="0"/>
          <w:kern w:val="0"/>
          <w:sz w:val="32"/>
          <w:szCs w:val="32"/>
          <w:fitText w:val="5440" w:id="-1665372928"/>
        </w:rPr>
        <w:t>局</w:t>
      </w:r>
    </w:p>
    <w:p>
      <w:pPr>
        <w:tabs>
          <w:tab w:val="left" w:pos="2127"/>
        </w:tabs>
        <w:adjustRightInd w:val="0"/>
        <w:snapToGrid w:val="0"/>
        <w:spacing w:after="62" w:afterLines="20" w:line="600" w:lineRule="exact"/>
        <w:ind w:firstLine="0" w:firstLineChars="0"/>
        <w:jc w:val="center"/>
        <w:rPr>
          <w:rFonts w:eastAsia="方正楷体_GBK" w:cs="Times New Roman"/>
          <w:kern w:val="0"/>
          <w:sz w:val="32"/>
          <w:szCs w:val="32"/>
        </w:rPr>
      </w:pPr>
      <w:r>
        <w:rPr>
          <w:rFonts w:hint="eastAsia" w:eastAsia="方正楷体_GBK" w:cs="Times New Roman"/>
          <w:kern w:val="0"/>
          <w:sz w:val="32"/>
          <w:szCs w:val="32"/>
        </w:rPr>
        <w:t>国家林业和草原局西北调查规划设计院</w:t>
      </w:r>
    </w:p>
    <w:p>
      <w:pPr>
        <w:adjustRightInd w:val="0"/>
        <w:snapToGrid w:val="0"/>
        <w:spacing w:after="62" w:afterLines="20" w:line="600" w:lineRule="exact"/>
        <w:ind w:firstLine="0" w:firstLineChars="0"/>
        <w:jc w:val="center"/>
        <w:rPr>
          <w:rFonts w:eastAsia="方正楷体_GBK" w:cs="Times New Roman"/>
          <w:sz w:val="32"/>
          <w:szCs w:val="32"/>
        </w:rPr>
      </w:pPr>
      <w:r>
        <w:rPr>
          <w:rFonts w:hint="eastAsia" w:eastAsia="方正楷体_GBK" w:cs="Times New Roman"/>
          <w:sz w:val="32"/>
          <w:szCs w:val="32"/>
        </w:rPr>
        <w:t>二〇二一年十二月</w:t>
      </w:r>
    </w:p>
    <w:p>
      <w:pPr>
        <w:widowControl/>
        <w:spacing w:line="240" w:lineRule="auto"/>
        <w:ind w:firstLine="0" w:firstLineChars="0"/>
        <w:jc w:val="left"/>
        <w:rPr>
          <w:rFonts w:ascii="黑体" w:hAnsi="黑体" w:eastAsia="黑体"/>
          <w:color w:val="000000" w:themeColor="text1"/>
          <w:sz w:val="40"/>
          <w:szCs w:val="40"/>
          <w14:textFill>
            <w14:solidFill>
              <w14:schemeClr w14:val="tx1"/>
            </w14:solidFill>
          </w14:textFill>
        </w:rPr>
      </w:pPr>
      <w:r>
        <w:rPr>
          <w:rFonts w:ascii="黑体" w:hAnsi="黑体" w:eastAsia="黑体"/>
          <w:color w:val="000000" w:themeColor="text1"/>
          <w:sz w:val="40"/>
          <w:szCs w:val="40"/>
          <w14:textFill>
            <w14:solidFill>
              <w14:schemeClr w14:val="tx1"/>
            </w14:solidFill>
          </w14:textFill>
        </w:rPr>
        <w:br w:type="page"/>
      </w:r>
    </w:p>
    <w:p>
      <w:pPr>
        <w:ind w:firstLine="0" w:firstLineChars="0"/>
        <w:jc w:val="center"/>
        <w:rPr>
          <w:rFonts w:ascii="黑体" w:hAnsi="黑体" w:eastAsia="黑体"/>
          <w:color w:val="000000" w:themeColor="text1"/>
          <w:sz w:val="40"/>
          <w:szCs w:val="40"/>
          <w14:textFill>
            <w14:solidFill>
              <w14:schemeClr w14:val="tx1"/>
            </w14:solidFill>
          </w14:textFill>
        </w:rPr>
      </w:pPr>
    </w:p>
    <w:tbl>
      <w:tblPr>
        <w:tblStyle w:val="22"/>
        <w:tblpPr w:leftFromText="180" w:rightFromText="180" w:vertAnchor="page" w:horzAnchor="margin" w:tblpY="2059"/>
        <w:tblW w:w="5137" w:type="pct"/>
        <w:tblInd w:w="0" w:type="dxa"/>
        <w:tblLayout w:type="fixed"/>
        <w:tblCellMar>
          <w:top w:w="0" w:type="dxa"/>
          <w:left w:w="108" w:type="dxa"/>
          <w:bottom w:w="0" w:type="dxa"/>
          <w:right w:w="108" w:type="dxa"/>
        </w:tblCellMar>
      </w:tblPr>
      <w:tblGrid>
        <w:gridCol w:w="2662"/>
        <w:gridCol w:w="280"/>
        <w:gridCol w:w="5814"/>
      </w:tblGrid>
      <w:tr>
        <w:tblPrEx>
          <w:tblCellMar>
            <w:top w:w="0" w:type="dxa"/>
            <w:left w:w="108" w:type="dxa"/>
            <w:bottom w:w="0" w:type="dxa"/>
            <w:right w:w="108" w:type="dxa"/>
          </w:tblCellMar>
        </w:tblPrEx>
        <w:trPr>
          <w:trHeight w:val="737" w:hRule="atLeast"/>
        </w:trPr>
        <w:tc>
          <w:tcPr>
            <w:tcW w:w="1520" w:type="pct"/>
            <w:vAlign w:val="center"/>
          </w:tcPr>
          <w:p>
            <w:pPr>
              <w:spacing w:line="500" w:lineRule="exact"/>
              <w:ind w:firstLine="0" w:firstLineChars="0"/>
              <w:jc w:val="distribute"/>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项目名称</w:t>
            </w:r>
          </w:p>
        </w:tc>
        <w:tc>
          <w:tcPr>
            <w:tcW w:w="16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w:t>
            </w:r>
          </w:p>
        </w:tc>
        <w:tc>
          <w:tcPr>
            <w:tcW w:w="332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璧山区“十四五”林业发展规划</w:t>
            </w:r>
          </w:p>
        </w:tc>
      </w:tr>
      <w:tr>
        <w:tblPrEx>
          <w:tblCellMar>
            <w:top w:w="0" w:type="dxa"/>
            <w:left w:w="108" w:type="dxa"/>
            <w:bottom w:w="0" w:type="dxa"/>
            <w:right w:w="108" w:type="dxa"/>
          </w:tblCellMar>
        </w:tblPrEx>
        <w:trPr>
          <w:trHeight w:val="737" w:hRule="atLeast"/>
        </w:trPr>
        <w:tc>
          <w:tcPr>
            <w:tcW w:w="1520" w:type="pct"/>
            <w:vAlign w:val="center"/>
          </w:tcPr>
          <w:p>
            <w:pPr>
              <w:spacing w:line="500" w:lineRule="exact"/>
              <w:ind w:firstLine="0" w:firstLineChars="0"/>
              <w:jc w:val="distribute"/>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项目委托方</w:t>
            </w:r>
          </w:p>
        </w:tc>
        <w:tc>
          <w:tcPr>
            <w:tcW w:w="16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w:t>
            </w:r>
          </w:p>
        </w:tc>
        <w:tc>
          <w:tcPr>
            <w:tcW w:w="332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重庆市璧山区林业局</w:t>
            </w:r>
          </w:p>
        </w:tc>
      </w:tr>
      <w:tr>
        <w:tblPrEx>
          <w:tblCellMar>
            <w:top w:w="0" w:type="dxa"/>
            <w:left w:w="108" w:type="dxa"/>
            <w:bottom w:w="0" w:type="dxa"/>
            <w:right w:w="108" w:type="dxa"/>
          </w:tblCellMar>
        </w:tblPrEx>
        <w:trPr>
          <w:trHeight w:val="737" w:hRule="atLeast"/>
        </w:trPr>
        <w:tc>
          <w:tcPr>
            <w:tcW w:w="1520" w:type="pct"/>
            <w:vAlign w:val="center"/>
          </w:tcPr>
          <w:p>
            <w:pPr>
              <w:spacing w:line="500" w:lineRule="exact"/>
              <w:ind w:firstLine="0" w:firstLineChars="0"/>
              <w:jc w:val="distribute"/>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项目</w:t>
            </w:r>
            <w:r>
              <w:rPr>
                <w:rFonts w:ascii="Calibri" w:hAnsi="Calibri"/>
                <w:b/>
                <w:bCs/>
                <w:color w:val="000000" w:themeColor="text1"/>
                <w:sz w:val="30"/>
                <w:szCs w:val="30"/>
                <w14:textFill>
                  <w14:solidFill>
                    <w14:schemeClr w14:val="tx1"/>
                  </w14:solidFill>
                </w14:textFill>
              </w:rPr>
              <w:t>承担方</w:t>
            </w:r>
          </w:p>
        </w:tc>
        <w:tc>
          <w:tcPr>
            <w:tcW w:w="16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w:t>
            </w:r>
          </w:p>
        </w:tc>
        <w:tc>
          <w:tcPr>
            <w:tcW w:w="332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国家林业和</w:t>
            </w:r>
            <w:r>
              <w:rPr>
                <w:rFonts w:ascii="Calibri" w:hAnsi="Calibri"/>
                <w:b/>
                <w:bCs/>
                <w:color w:val="000000" w:themeColor="text1"/>
                <w:sz w:val="30"/>
                <w:szCs w:val="30"/>
                <w14:textFill>
                  <w14:solidFill>
                    <w14:schemeClr w14:val="tx1"/>
                  </w14:solidFill>
                </w14:textFill>
              </w:rPr>
              <w:t>草原</w:t>
            </w:r>
            <w:r>
              <w:rPr>
                <w:rFonts w:hint="eastAsia" w:ascii="Calibri" w:hAnsi="Calibri"/>
                <w:b/>
                <w:bCs/>
                <w:color w:val="000000" w:themeColor="text1"/>
                <w:sz w:val="30"/>
                <w:szCs w:val="30"/>
                <w14:textFill>
                  <w14:solidFill>
                    <w14:schemeClr w14:val="tx1"/>
                  </w14:solidFill>
                </w14:textFill>
              </w:rPr>
              <w:t>局西北调查规划设计院</w:t>
            </w:r>
          </w:p>
        </w:tc>
      </w:tr>
      <w:tr>
        <w:tblPrEx>
          <w:tblCellMar>
            <w:top w:w="0" w:type="dxa"/>
            <w:left w:w="108" w:type="dxa"/>
            <w:bottom w:w="0" w:type="dxa"/>
            <w:right w:w="108" w:type="dxa"/>
          </w:tblCellMar>
        </w:tblPrEx>
        <w:trPr>
          <w:trHeight w:val="737" w:hRule="atLeast"/>
        </w:trPr>
        <w:tc>
          <w:tcPr>
            <w:tcW w:w="1520" w:type="pct"/>
            <w:vAlign w:val="center"/>
          </w:tcPr>
          <w:p>
            <w:pPr>
              <w:spacing w:line="500" w:lineRule="exact"/>
              <w:ind w:firstLine="0" w:firstLineChars="0"/>
              <w:jc w:val="distribute"/>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统一社会信用代码</w:t>
            </w:r>
          </w:p>
        </w:tc>
        <w:tc>
          <w:tcPr>
            <w:tcW w:w="16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w:t>
            </w:r>
          </w:p>
        </w:tc>
        <w:tc>
          <w:tcPr>
            <w:tcW w:w="332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ascii="Calibri" w:hAnsi="Calibri"/>
                <w:b/>
                <w:bCs/>
                <w:color w:val="000000" w:themeColor="text1"/>
                <w:sz w:val="30"/>
                <w:szCs w:val="30"/>
                <w14:textFill>
                  <w14:solidFill>
                    <w14:schemeClr w14:val="tx1"/>
                  </w14:solidFill>
                </w14:textFill>
              </w:rPr>
              <w:t>12100000435231000M</w:t>
            </w:r>
          </w:p>
        </w:tc>
      </w:tr>
      <w:tr>
        <w:trPr>
          <w:trHeight w:val="737" w:hRule="atLeast"/>
        </w:trPr>
        <w:tc>
          <w:tcPr>
            <w:tcW w:w="1520" w:type="pct"/>
            <w:vAlign w:val="center"/>
          </w:tcPr>
          <w:p>
            <w:pPr>
              <w:spacing w:line="500" w:lineRule="exact"/>
              <w:ind w:firstLine="0" w:firstLineChars="0"/>
              <w:jc w:val="distribute"/>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资质证书</w:t>
            </w:r>
          </w:p>
        </w:tc>
        <w:tc>
          <w:tcPr>
            <w:tcW w:w="160" w:type="pct"/>
            <w:vAlign w:val="center"/>
          </w:tcPr>
          <w:p>
            <w:pPr>
              <w:spacing w:line="500" w:lineRule="exact"/>
              <w:ind w:firstLine="0" w:firstLineChars="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w:t>
            </w:r>
          </w:p>
        </w:tc>
        <w:tc>
          <w:tcPr>
            <w:tcW w:w="3320" w:type="pct"/>
            <w:vAlign w:val="center"/>
          </w:tcPr>
          <w:p>
            <w:pPr>
              <w:spacing w:line="360" w:lineRule="auto"/>
              <w:ind w:left="1506" w:hanging="1505" w:hangingChars="500"/>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中华人民共和国国家发展和改革委员会</w:t>
            </w:r>
          </w:p>
          <w:p>
            <w:pPr>
              <w:spacing w:line="360" w:lineRule="auto"/>
              <w:ind w:firstLine="0" w:firstLineChars="0"/>
              <w:rPr>
                <w:rFonts w:hAnsi="宋体" w:asciiTheme="minorHAnsi"/>
                <w:bCs/>
                <w:color w:val="000000" w:themeColor="text1"/>
                <w:spacing w:val="-4"/>
                <w:sz w:val="30"/>
                <w:szCs w:val="24"/>
                <w14:textFill>
                  <w14:solidFill>
                    <w14:schemeClr w14:val="tx1"/>
                  </w14:solidFill>
                </w14:textFill>
              </w:rPr>
            </w:pPr>
            <w:r>
              <w:rPr>
                <w:rFonts w:hint="eastAsia" w:ascii="Calibri" w:hAnsi="Calibri"/>
                <w:b/>
                <w:bCs/>
                <w:color w:val="000000" w:themeColor="text1"/>
                <w:sz w:val="30"/>
                <w:szCs w:val="30"/>
                <w14:textFill>
                  <w14:solidFill>
                    <w14:schemeClr w14:val="tx1"/>
                  </w14:solidFill>
                </w14:textFill>
              </w:rPr>
              <w:t>工程咨询资格证书 工咨甲23220070001号</w:t>
            </w:r>
          </w:p>
        </w:tc>
      </w:tr>
    </w:tbl>
    <w:p>
      <w:pPr>
        <w:ind w:firstLine="0" w:firstLineChars="0"/>
        <w:jc w:val="center"/>
        <w:rPr>
          <w:rFonts w:ascii="黑体" w:hAnsi="黑体" w:eastAsia="黑体"/>
          <w:color w:val="000000" w:themeColor="text1"/>
          <w:sz w:val="40"/>
          <w:szCs w:val="40"/>
          <w14:textFill>
            <w14:solidFill>
              <w14:schemeClr w14:val="tx1"/>
            </w14:solidFill>
          </w14:textFill>
        </w:rPr>
      </w:pPr>
    </w:p>
    <w:tbl>
      <w:tblPr>
        <w:tblStyle w:val="22"/>
        <w:tblW w:w="4067" w:type="pct"/>
        <w:tblInd w:w="1385" w:type="dxa"/>
        <w:tblLayout w:type="fixed"/>
        <w:tblCellMar>
          <w:top w:w="0" w:type="dxa"/>
          <w:left w:w="108" w:type="dxa"/>
          <w:bottom w:w="0" w:type="dxa"/>
          <w:right w:w="108" w:type="dxa"/>
        </w:tblCellMar>
      </w:tblPr>
      <w:tblGrid>
        <w:gridCol w:w="2514"/>
        <w:gridCol w:w="311"/>
        <w:gridCol w:w="1274"/>
        <w:gridCol w:w="1370"/>
        <w:gridCol w:w="1463"/>
      </w:tblGrid>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pacing w:val="-2"/>
                <w:sz w:val="30"/>
                <w:szCs w:val="30"/>
                <w14:textFill>
                  <w14:solidFill>
                    <w14:schemeClr w14:val="tx1"/>
                  </w14:solidFill>
                </w14:textFill>
              </w:rPr>
              <w:t>院长</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ascii="Calibri" w:hAnsi="Calibri"/>
                <w:bCs/>
                <w:color w:val="000000" w:themeColor="text1"/>
                <w:sz w:val="30"/>
                <w:szCs w:val="30"/>
                <w14:textFill>
                  <w14:solidFill>
                    <w14:schemeClr w14:val="tx1"/>
                  </w14:solidFill>
                </w14:textFill>
              </w:rPr>
              <w:t>李谭宝</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spacing w:val="-2"/>
                <w:sz w:val="30"/>
                <w:szCs w:val="30"/>
                <w14:textFill>
                  <w14:solidFill>
                    <w14:schemeClr w14:val="tx1"/>
                  </w14:solidFill>
                </w14:textFill>
              </w:rPr>
            </w:pPr>
            <w:r>
              <w:rPr>
                <w:rFonts w:hint="eastAsia" w:ascii="Calibri" w:hAnsi="Calibri"/>
                <w:b/>
                <w:bCs/>
                <w:color w:val="000000" w:themeColor="text1"/>
                <w:spacing w:val="-2"/>
                <w:sz w:val="30"/>
                <w:szCs w:val="30"/>
                <w14:textFill>
                  <w14:solidFill>
                    <w14:schemeClr w14:val="tx1"/>
                  </w14:solidFill>
                </w14:textFill>
              </w:rPr>
              <w:t>主管</w:t>
            </w:r>
            <w:r>
              <w:rPr>
                <w:rFonts w:ascii="Calibri" w:hAnsi="Calibri"/>
                <w:b/>
                <w:bCs/>
                <w:color w:val="000000" w:themeColor="text1"/>
                <w:spacing w:val="-2"/>
                <w:sz w:val="30"/>
                <w:szCs w:val="30"/>
                <w14:textFill>
                  <w14:solidFill>
                    <w14:schemeClr w14:val="tx1"/>
                  </w14:solidFill>
                </w14:textFill>
              </w:rPr>
              <w:t>副院长</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王吉斌</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pacing w:val="-2"/>
                <w:sz w:val="30"/>
                <w:szCs w:val="30"/>
                <w14:textFill>
                  <w14:solidFill>
                    <w14:schemeClr w14:val="tx1"/>
                  </w14:solidFill>
                </w14:textFill>
              </w:rPr>
              <w:t>总工程师</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王吉斌</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sz w:val="30"/>
                <w:szCs w:val="30"/>
                <w14:textFill>
                  <w14:solidFill>
                    <w14:schemeClr w14:val="tx1"/>
                  </w14:solidFill>
                </w14:textFill>
              </w:rPr>
            </w:pPr>
            <w:r>
              <w:rPr>
                <w:rFonts w:hint="eastAsia" w:ascii="Calibri" w:hAnsi="Calibri"/>
                <w:b/>
                <w:bCs/>
                <w:color w:val="000000" w:themeColor="text1"/>
                <w:spacing w:val="-2"/>
                <w:sz w:val="30"/>
                <w:szCs w:val="30"/>
                <w14:textFill>
                  <w14:solidFill>
                    <w14:schemeClr w14:val="tx1"/>
                  </w14:solidFill>
                </w14:textFill>
              </w:rPr>
              <w:t>生产技术处处长</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魏智海</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spacing w:val="-10"/>
                <w:w w:val="79"/>
                <w:sz w:val="30"/>
                <w:szCs w:val="30"/>
                <w14:textFill>
                  <w14:solidFill>
                    <w14:schemeClr w14:val="tx1"/>
                  </w14:solidFill>
                </w14:textFill>
              </w:rPr>
            </w:pPr>
            <w:r>
              <w:rPr>
                <w:rFonts w:hint="eastAsia" w:ascii="Calibri" w:hAnsi="Calibri"/>
                <w:b/>
                <w:bCs/>
                <w:color w:val="000000" w:themeColor="text1"/>
                <w:spacing w:val="-10"/>
                <w:sz w:val="30"/>
                <w:szCs w:val="30"/>
                <w14:textFill>
                  <w14:solidFill>
                    <w14:schemeClr w14:val="tx1"/>
                  </w14:solidFill>
                </w14:textFill>
              </w:rPr>
              <w:t>主管副总工工程师</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薄乖民</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w w:val="79"/>
                <w:sz w:val="30"/>
                <w:szCs w:val="30"/>
                <w14:textFill>
                  <w14:solidFill>
                    <w14:schemeClr w14:val="tx1"/>
                  </w14:solidFill>
                </w14:textFill>
              </w:rPr>
            </w:pPr>
            <w:r>
              <w:rPr>
                <w:rFonts w:hint="eastAsia" w:ascii="Calibri" w:hAnsi="Calibri"/>
                <w:b/>
                <w:bCs/>
                <w:color w:val="000000" w:themeColor="text1"/>
                <w:spacing w:val="-2"/>
                <w:sz w:val="30"/>
                <w:szCs w:val="30"/>
                <w14:textFill>
                  <w14:solidFill>
                    <w14:schemeClr w14:val="tx1"/>
                  </w14:solidFill>
                </w14:textFill>
              </w:rPr>
              <w:t>项目处室处长</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陈  喆</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c>
          <w:tcPr>
            <w:tcW w:w="1813" w:type="pct"/>
          </w:tcPr>
          <w:p>
            <w:pPr>
              <w:spacing w:line="600" w:lineRule="exact"/>
              <w:ind w:firstLine="0" w:firstLineChars="0"/>
              <w:jc w:val="distribute"/>
              <w:rPr>
                <w:rFonts w:ascii="Calibri" w:hAnsi="Calibri"/>
                <w:b/>
                <w:bCs/>
                <w:color w:val="000000" w:themeColor="text1"/>
                <w:w w:val="79"/>
                <w:sz w:val="30"/>
                <w:szCs w:val="30"/>
                <w14:textFill>
                  <w14:solidFill>
                    <w14:schemeClr w14:val="tx1"/>
                  </w14:solidFill>
                </w14:textFill>
              </w:rPr>
            </w:pPr>
            <w:r>
              <w:rPr>
                <w:rFonts w:hint="eastAsia" w:ascii="Calibri" w:hAnsi="Calibri"/>
                <w:b/>
                <w:bCs/>
                <w:color w:val="000000" w:themeColor="text1"/>
                <w:spacing w:val="-2"/>
                <w:sz w:val="30"/>
                <w:szCs w:val="30"/>
                <w14:textFill>
                  <w14:solidFill>
                    <w14:schemeClr w14:val="tx1"/>
                  </w14:solidFill>
                </w14:textFill>
              </w:rPr>
              <w:t>主管副处长</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刘友林</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spacing w:val="-2"/>
                <w:sz w:val="30"/>
                <w:szCs w:val="30"/>
                <w14:textFill>
                  <w14:solidFill>
                    <w14:schemeClr w14:val="tx1"/>
                  </w14:solidFill>
                </w14:textFill>
              </w:rPr>
            </w:pPr>
            <w:r>
              <w:rPr>
                <w:rFonts w:hint="eastAsia" w:ascii="Calibri" w:hAnsi="Calibri"/>
                <w:b/>
                <w:bCs/>
                <w:color w:val="000000" w:themeColor="text1"/>
                <w:spacing w:val="-2"/>
                <w:sz w:val="30"/>
                <w:szCs w:val="30"/>
                <w14:textFill>
                  <w14:solidFill>
                    <w14:schemeClr w14:val="tx1"/>
                  </w14:solidFill>
                </w14:textFill>
              </w:rPr>
              <w:t>项目负责人</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刘  涛</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w w:val="79"/>
                <w:sz w:val="30"/>
                <w:szCs w:val="30"/>
                <w14:textFill>
                  <w14:solidFill>
                    <w14:schemeClr w14:val="tx1"/>
                  </w14:solidFill>
                </w14:textFill>
              </w:rPr>
            </w:pPr>
            <w:r>
              <w:rPr>
                <w:rFonts w:hint="eastAsia" w:ascii="Calibri" w:hAnsi="Calibri"/>
                <w:b/>
                <w:bCs/>
                <w:color w:val="000000" w:themeColor="text1"/>
                <w:w w:val="79"/>
                <w:sz w:val="30"/>
                <w:szCs w:val="30"/>
                <w14:textFill>
                  <w14:solidFill>
                    <w14:schemeClr w14:val="tx1"/>
                  </w14:solidFill>
                </w14:textFill>
              </w:rPr>
              <w:t>技术负责人</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 xml:space="preserve">张 </w:t>
            </w:r>
            <w:r>
              <w:rPr>
                <w:rFonts w:ascii="Calibri" w:hAnsi="Calibri"/>
                <w:bCs/>
                <w:color w:val="000000" w:themeColor="text1"/>
                <w:sz w:val="30"/>
                <w:szCs w:val="30"/>
                <w14:textFill>
                  <w14:solidFill>
                    <w14:schemeClr w14:val="tx1"/>
                  </w14:solidFill>
                </w14:textFill>
              </w:rPr>
              <w:t xml:space="preserve"> </w:t>
            </w:r>
            <w:r>
              <w:rPr>
                <w:rFonts w:hint="eastAsia" w:ascii="Calibri" w:hAnsi="Calibri"/>
                <w:bCs/>
                <w:color w:val="000000" w:themeColor="text1"/>
                <w:sz w:val="30"/>
                <w:szCs w:val="30"/>
                <w14:textFill>
                  <w14:solidFill>
                    <w14:schemeClr w14:val="tx1"/>
                  </w14:solidFill>
                </w14:textFill>
              </w:rPr>
              <w:t>丹</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spacing w:val="-2"/>
                <w:sz w:val="30"/>
                <w:szCs w:val="30"/>
                <w14:textFill>
                  <w14:solidFill>
                    <w14:schemeClr w14:val="tx1"/>
                  </w14:solidFill>
                </w14:textFill>
              </w:rPr>
            </w:pPr>
            <w:r>
              <w:rPr>
                <w:rFonts w:hint="eastAsia" w:ascii="Calibri" w:hAnsi="Calibri"/>
                <w:b/>
                <w:bCs/>
                <w:color w:val="000000" w:themeColor="text1"/>
                <w:spacing w:val="-2"/>
                <w:sz w:val="30"/>
                <w:szCs w:val="30"/>
                <w14:textFill>
                  <w14:solidFill>
                    <w14:schemeClr w14:val="tx1"/>
                  </w14:solidFill>
                </w14:textFill>
              </w:rPr>
              <w:t>项目参加人员</w:t>
            </w: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w:t>
            </w: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 xml:space="preserve">刘 </w:t>
            </w:r>
            <w:r>
              <w:rPr>
                <w:rFonts w:ascii="Calibri" w:hAnsi="Calibri"/>
                <w:bCs/>
                <w:color w:val="000000" w:themeColor="text1"/>
                <w:sz w:val="30"/>
                <w:szCs w:val="30"/>
                <w14:textFill>
                  <w14:solidFill>
                    <w14:schemeClr w14:val="tx1"/>
                  </w14:solidFill>
                </w14:textFill>
              </w:rPr>
              <w:t xml:space="preserve"> </w:t>
            </w:r>
            <w:r>
              <w:rPr>
                <w:rFonts w:hint="eastAsia" w:ascii="Calibri" w:hAnsi="Calibri"/>
                <w:bCs/>
                <w:color w:val="000000" w:themeColor="text1"/>
                <w:sz w:val="30"/>
                <w:szCs w:val="30"/>
                <w14:textFill>
                  <w14:solidFill>
                    <w14:schemeClr w14:val="tx1"/>
                  </w14:solidFill>
                </w14:textFill>
              </w:rPr>
              <w:t>涛</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时亚坤</w:t>
            </w: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 xml:space="preserve">张 </w:t>
            </w:r>
            <w:r>
              <w:rPr>
                <w:rFonts w:ascii="Calibri" w:hAnsi="Calibri"/>
                <w:bCs/>
                <w:color w:val="000000" w:themeColor="text1"/>
                <w:sz w:val="30"/>
                <w:szCs w:val="30"/>
                <w14:textFill>
                  <w14:solidFill>
                    <w14:schemeClr w14:val="tx1"/>
                  </w14:solidFill>
                </w14:textFill>
              </w:rPr>
              <w:t xml:space="preserve"> </w:t>
            </w:r>
            <w:r>
              <w:rPr>
                <w:rFonts w:hint="eastAsia" w:ascii="Calibri" w:hAnsi="Calibri"/>
                <w:bCs/>
                <w:color w:val="000000" w:themeColor="text1"/>
                <w:sz w:val="30"/>
                <w:szCs w:val="30"/>
                <w14:textFill>
                  <w14:solidFill>
                    <w14:schemeClr w14:val="tx1"/>
                  </w14:solidFill>
                </w14:textFill>
              </w:rPr>
              <w:t>丹</w:t>
            </w:r>
          </w:p>
        </w:tc>
      </w:tr>
      <w:tr>
        <w:tc>
          <w:tcPr>
            <w:tcW w:w="1813" w:type="pct"/>
          </w:tcPr>
          <w:p>
            <w:pPr>
              <w:spacing w:line="600" w:lineRule="exact"/>
              <w:ind w:firstLine="0" w:firstLineChars="0"/>
              <w:jc w:val="distribute"/>
              <w:rPr>
                <w:rFonts w:ascii="Calibri" w:hAnsi="Calibri"/>
                <w:b/>
                <w:bCs/>
                <w:color w:val="000000" w:themeColor="text1"/>
                <w:spacing w:val="-2"/>
                <w:sz w:val="30"/>
                <w:szCs w:val="30"/>
                <w14:textFill>
                  <w14:solidFill>
                    <w14:schemeClr w14:val="tx1"/>
                  </w14:solidFill>
                </w14:textFill>
              </w:rPr>
            </w:pP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刘永辉</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 xml:space="preserve">曾 </w:t>
            </w:r>
            <w:r>
              <w:rPr>
                <w:rFonts w:ascii="Calibri" w:hAnsi="Calibri"/>
                <w:bCs/>
                <w:color w:val="000000" w:themeColor="text1"/>
                <w:sz w:val="30"/>
                <w:szCs w:val="30"/>
                <w14:textFill>
                  <w14:solidFill>
                    <w14:schemeClr w14:val="tx1"/>
                  </w14:solidFill>
                </w14:textFill>
              </w:rPr>
              <w:t xml:space="preserve"> </w:t>
            </w:r>
            <w:r>
              <w:rPr>
                <w:rFonts w:hint="eastAsia" w:ascii="Calibri" w:hAnsi="Calibri"/>
                <w:bCs/>
                <w:color w:val="000000" w:themeColor="text1"/>
                <w:sz w:val="30"/>
                <w:szCs w:val="30"/>
                <w14:textFill>
                  <w14:solidFill>
                    <w14:schemeClr w14:val="tx1"/>
                  </w14:solidFill>
                </w14:textFill>
              </w:rPr>
              <w:t>诚</w:t>
            </w: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 xml:space="preserve">袁 </w:t>
            </w:r>
            <w:r>
              <w:rPr>
                <w:rFonts w:ascii="Calibri" w:hAnsi="Calibri"/>
                <w:bCs/>
                <w:color w:val="000000" w:themeColor="text1"/>
                <w:sz w:val="30"/>
                <w:szCs w:val="30"/>
                <w14:textFill>
                  <w14:solidFill>
                    <w14:schemeClr w14:val="tx1"/>
                  </w14:solidFill>
                </w14:textFill>
              </w:rPr>
              <w:t xml:space="preserve"> </w:t>
            </w:r>
            <w:r>
              <w:rPr>
                <w:rFonts w:hint="eastAsia" w:ascii="Calibri" w:hAnsi="Calibri"/>
                <w:bCs/>
                <w:color w:val="000000" w:themeColor="text1"/>
                <w:sz w:val="30"/>
                <w:szCs w:val="30"/>
                <w14:textFill>
                  <w14:solidFill>
                    <w14:schemeClr w14:val="tx1"/>
                  </w14:solidFill>
                </w14:textFill>
              </w:rPr>
              <w:t>耀</w:t>
            </w:r>
          </w:p>
        </w:tc>
      </w:tr>
      <w:tr>
        <w:tblPrEx>
          <w:tblCellMar>
            <w:top w:w="0" w:type="dxa"/>
            <w:left w:w="108" w:type="dxa"/>
            <w:bottom w:w="0" w:type="dxa"/>
            <w:right w:w="108" w:type="dxa"/>
          </w:tblCellMar>
        </w:tblPrEx>
        <w:tc>
          <w:tcPr>
            <w:tcW w:w="1813" w:type="pct"/>
          </w:tcPr>
          <w:p>
            <w:pPr>
              <w:spacing w:line="600" w:lineRule="exact"/>
              <w:ind w:firstLine="0" w:firstLineChars="0"/>
              <w:jc w:val="distribute"/>
              <w:rPr>
                <w:rFonts w:ascii="Calibri" w:hAnsi="Calibri"/>
                <w:b/>
                <w:bCs/>
                <w:color w:val="000000" w:themeColor="text1"/>
                <w:spacing w:val="-2"/>
                <w:sz w:val="30"/>
                <w:szCs w:val="30"/>
                <w14:textFill>
                  <w14:solidFill>
                    <w14:schemeClr w14:val="tx1"/>
                  </w14:solidFill>
                </w14:textFill>
              </w:rPr>
            </w:pPr>
          </w:p>
        </w:tc>
        <w:tc>
          <w:tcPr>
            <w:tcW w:w="224"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919"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r>
              <w:rPr>
                <w:rFonts w:hint="eastAsia" w:ascii="Calibri" w:hAnsi="Calibri"/>
                <w:bCs/>
                <w:color w:val="000000" w:themeColor="text1"/>
                <w:sz w:val="30"/>
                <w:szCs w:val="30"/>
                <w14:textFill>
                  <w14:solidFill>
                    <w14:schemeClr w14:val="tx1"/>
                  </w14:solidFill>
                </w14:textFill>
              </w:rPr>
              <w:t xml:space="preserve">唐 </w:t>
            </w:r>
            <w:r>
              <w:rPr>
                <w:rFonts w:ascii="Calibri" w:hAnsi="Calibri"/>
                <w:bCs/>
                <w:color w:val="000000" w:themeColor="text1"/>
                <w:sz w:val="30"/>
                <w:szCs w:val="30"/>
                <w14:textFill>
                  <w14:solidFill>
                    <w14:schemeClr w14:val="tx1"/>
                  </w14:solidFill>
                </w14:textFill>
              </w:rPr>
              <w:t xml:space="preserve"> </w:t>
            </w:r>
            <w:r>
              <w:rPr>
                <w:rFonts w:hint="eastAsia" w:ascii="Calibri" w:hAnsi="Calibri"/>
                <w:bCs/>
                <w:color w:val="000000" w:themeColor="text1"/>
                <w:sz w:val="30"/>
                <w:szCs w:val="30"/>
                <w14:textFill>
                  <w14:solidFill>
                    <w14:schemeClr w14:val="tx1"/>
                  </w14:solidFill>
                </w14:textFill>
              </w:rPr>
              <w:t>雄</w:t>
            </w:r>
          </w:p>
        </w:tc>
        <w:tc>
          <w:tcPr>
            <w:tcW w:w="988"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c>
          <w:tcPr>
            <w:tcW w:w="1055" w:type="pct"/>
          </w:tcPr>
          <w:p>
            <w:pPr>
              <w:spacing w:line="600" w:lineRule="exact"/>
              <w:ind w:firstLine="0" w:firstLineChars="0"/>
              <w:jc w:val="center"/>
              <w:rPr>
                <w:rFonts w:ascii="Calibri" w:hAnsi="Calibri"/>
                <w:bCs/>
                <w:color w:val="000000" w:themeColor="text1"/>
                <w:sz w:val="30"/>
                <w:szCs w:val="30"/>
                <w14:textFill>
                  <w14:solidFill>
                    <w14:schemeClr w14:val="tx1"/>
                  </w14:solidFill>
                </w14:textFill>
              </w:rPr>
            </w:pPr>
          </w:p>
        </w:tc>
      </w:tr>
    </w:tbl>
    <w:p>
      <w:pPr>
        <w:ind w:firstLine="0" w:firstLineChars="0"/>
        <w:jc w:val="center"/>
        <w:rPr>
          <w:rFonts w:ascii="黑体" w:hAnsi="黑体" w:eastAsia="黑体"/>
          <w:color w:val="000000" w:themeColor="text1"/>
          <w:sz w:val="40"/>
          <w:szCs w:val="40"/>
          <w14:textFill>
            <w14:solidFill>
              <w14:schemeClr w14:val="tx1"/>
            </w14:solidFill>
          </w14:textFill>
        </w:rPr>
      </w:pPr>
    </w:p>
    <w:p>
      <w:pPr>
        <w:ind w:firstLine="0" w:firstLineChars="0"/>
        <w:jc w:val="left"/>
        <w:rPr>
          <w:rFonts w:ascii="黑体" w:hAnsi="黑体" w:eastAsia="黑体"/>
          <w:color w:val="000000" w:themeColor="text1"/>
          <w:sz w:val="40"/>
          <w:szCs w:val="40"/>
          <w14:textFill>
            <w14:solidFill>
              <w14:schemeClr w14:val="tx1"/>
            </w14:solidFill>
          </w14:textFill>
        </w:rPr>
      </w:pPr>
    </w:p>
    <w:p>
      <w:pPr>
        <w:ind w:firstLine="0" w:firstLineChars="0"/>
        <w:jc w:val="center"/>
        <w:rPr>
          <w:rFonts w:ascii="黑体" w:hAnsi="黑体" w:eastAsia="黑体"/>
          <w:color w:val="000000" w:themeColor="text1"/>
          <w:sz w:val="40"/>
          <w:szCs w:val="40"/>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pPr>
        <w:pStyle w:val="2"/>
        <w:widowControl/>
        <w:spacing w:before="156" w:beforeLines="50" w:after="62" w:afterLines="20" w:line="600" w:lineRule="exact"/>
        <w:ind w:firstLine="642" w:firstLineChars="200"/>
        <w:rPr>
          <w:rFonts w:cs="Times New Roman"/>
          <w:sz w:val="32"/>
          <w:lang w:val="zh-CN" w:eastAsia="zh-CN"/>
        </w:rPr>
      </w:pPr>
      <w:bookmarkStart w:id="0" w:name="_Toc93615528"/>
      <w:r>
        <w:rPr>
          <w:rFonts w:hint="eastAsia" w:cs="Times New Roman"/>
          <w:sz w:val="32"/>
          <w:lang w:val="zh-CN" w:eastAsia="zh-CN"/>
        </w:rPr>
        <w:t>前  言</w:t>
      </w:r>
      <w:bookmarkEnd w:id="0"/>
    </w:p>
    <w:p>
      <w:pPr>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璧山区地处重庆中心城区“西大门”，是主城都市区的“迎客厅”，坐拥缙云山、云雾山两大生态屏障，是重庆山清水秀生态空间重要组成部分。“十三五”期间，在区委、区政府的坚强领导和市林业局的指导下，全区林业工作以加快构筑长江上游重要生态屏障为目标，以林业重点工程和林长制试点工作为抓手，着力深化改革，强化生态保护，培育森林资源，发展绿色经济，林业生态建设和改革发展取得显著成效。</w:t>
      </w:r>
    </w:p>
    <w:p>
      <w:pPr>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十四五”是我国开启全面建设社会主义现代化国家新征程、向第二个百年奋斗目标进军的第一个五年，是我区建设高质量发展示范区、打造高品质生活样板区的关键期、攻坚期。根据《重庆市璧山区国民经济和社会发展第十四个五年规划和二〇三五年远景目标纲要》和《重庆市“十四五”林业草原发展规划》精神，在紧密衔接上位规划的基础上，区林业局组织编制了《璧山区“十四五”林业发展规划》，提出了“十四五”时期林业发展的指导思想、发展目标、主要任务和重大工程项目，以期在全区范围内构建健康稳定、优质高效的森林生态系统，筑牢生态安全屏障，大力发展绿色经济，助力重庆市建设山清水秀美丽之地。</w:t>
      </w:r>
    </w:p>
    <w:p>
      <w:pPr>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本规划基准年为2</w:t>
      </w:r>
      <w:r>
        <w:rPr>
          <w:rFonts w:ascii="方正仿宋_GBK" w:eastAsia="方正仿宋_GBK" w:cs="Times New Roman"/>
          <w:color w:val="000000"/>
          <w:sz w:val="32"/>
          <w:szCs w:val="32"/>
        </w:rPr>
        <w:t>020</w:t>
      </w:r>
      <w:r>
        <w:rPr>
          <w:rFonts w:hint="eastAsia" w:ascii="方正仿宋_GBK" w:eastAsia="方正仿宋_GBK" w:cs="Times New Roman"/>
          <w:color w:val="000000"/>
          <w:sz w:val="32"/>
          <w:szCs w:val="32"/>
        </w:rPr>
        <w:t>年，规划期为2</w:t>
      </w:r>
      <w:r>
        <w:rPr>
          <w:rFonts w:ascii="方正仿宋_GBK" w:eastAsia="方正仿宋_GBK" w:cs="Times New Roman"/>
          <w:color w:val="000000"/>
          <w:sz w:val="32"/>
          <w:szCs w:val="32"/>
        </w:rPr>
        <w:t>021</w:t>
      </w:r>
      <w:r>
        <w:rPr>
          <w:rFonts w:hint="eastAsia" w:ascii="方正仿宋_GBK" w:eastAsia="方正仿宋_GBK" w:cs="Times New Roman"/>
          <w:color w:val="000000"/>
          <w:sz w:val="32"/>
          <w:szCs w:val="32"/>
        </w:rPr>
        <w:t>—2</w:t>
      </w:r>
      <w:r>
        <w:rPr>
          <w:rFonts w:ascii="方正仿宋_GBK" w:eastAsia="方正仿宋_GBK" w:cs="Times New Roman"/>
          <w:color w:val="000000"/>
          <w:sz w:val="32"/>
          <w:szCs w:val="32"/>
        </w:rPr>
        <w:t>025</w:t>
      </w:r>
      <w:r>
        <w:rPr>
          <w:rFonts w:hint="eastAsia" w:ascii="方正仿宋_GBK" w:eastAsia="方正仿宋_GBK" w:cs="Times New Roman"/>
          <w:color w:val="000000"/>
          <w:sz w:val="32"/>
          <w:szCs w:val="32"/>
        </w:rPr>
        <w:t>年。</w:t>
      </w:r>
    </w:p>
    <w:p>
      <w:pPr>
        <w:ind w:firstLine="640"/>
        <w:rPr>
          <w:rFonts w:ascii="方正仿宋_GBK" w:eastAsia="方正仿宋_GBK" w:cs="Times New Roman"/>
          <w:color w:val="000000"/>
          <w:sz w:val="32"/>
          <w:szCs w:val="32"/>
        </w:rPr>
      </w:pPr>
    </w:p>
    <w:p>
      <w:pPr>
        <w:widowControl/>
        <w:spacing w:line="240" w:lineRule="auto"/>
        <w:ind w:firstLine="0" w:firstLineChars="0"/>
        <w:jc w:val="left"/>
        <w:rPr>
          <w:rFonts w:eastAsia="方正黑体_GBK" w:cs="Times New Roman"/>
          <w:bCs/>
          <w:kern w:val="0"/>
          <w:sz w:val="32"/>
          <w:szCs w:val="28"/>
          <w:lang w:val="zh-CN"/>
        </w:rPr>
      </w:pPr>
      <w:r>
        <w:rPr>
          <w:rFonts w:eastAsia="方正黑体_GBK" w:cs="Times New Roman"/>
          <w:bCs/>
          <w:sz w:val="32"/>
          <w:szCs w:val="28"/>
          <w:lang w:val="zh-CN"/>
        </w:rPr>
        <w:br w:type="page"/>
      </w:r>
    </w:p>
    <w:p>
      <w:pPr>
        <w:pStyle w:val="15"/>
        <w:tabs>
          <w:tab w:val="right" w:leader="dot" w:pos="8296"/>
        </w:tabs>
        <w:spacing w:line="440" w:lineRule="exact"/>
        <w:jc w:val="center"/>
        <w:rPr>
          <w:rFonts w:ascii="Times New Roman" w:hAnsi="Times New Roman" w:eastAsia="方正黑体_GBK" w:cs="Times New Roman"/>
          <w:bCs/>
          <w:sz w:val="32"/>
          <w:szCs w:val="28"/>
          <w:lang w:val="zh-CN"/>
        </w:rPr>
      </w:pPr>
      <w:r>
        <w:rPr>
          <w:rFonts w:hint="eastAsia" w:ascii="Times New Roman" w:hAnsi="Times New Roman" w:eastAsia="方正黑体_GBK" w:cs="Times New Roman"/>
          <w:bCs/>
          <w:sz w:val="32"/>
          <w:szCs w:val="28"/>
          <w:lang w:val="zh-CN"/>
        </w:rPr>
        <w:t xml:space="preserve">目 </w:t>
      </w:r>
      <w:r>
        <w:rPr>
          <w:rFonts w:ascii="Times New Roman" w:hAnsi="Times New Roman" w:eastAsia="方正黑体_GBK" w:cs="Times New Roman"/>
          <w:bCs/>
          <w:sz w:val="32"/>
          <w:szCs w:val="28"/>
          <w:lang w:val="zh-CN"/>
        </w:rPr>
        <w:t xml:space="preserve"> </w:t>
      </w:r>
      <w:r>
        <w:rPr>
          <w:rFonts w:hint="eastAsia" w:ascii="Times New Roman" w:hAnsi="Times New Roman" w:eastAsia="方正黑体_GBK" w:cs="Times New Roman"/>
          <w:bCs/>
          <w:sz w:val="32"/>
          <w:szCs w:val="28"/>
          <w:lang w:val="zh-CN"/>
        </w:rPr>
        <w:t>录</w:t>
      </w:r>
    </w:p>
    <w:p>
      <w:pPr>
        <w:pStyle w:val="15"/>
        <w:tabs>
          <w:tab w:val="right" w:leader="dot" w:pos="8296"/>
        </w:tabs>
        <w:spacing w:line="500" w:lineRule="exact"/>
        <w:rPr>
          <w:rFonts w:ascii="方正仿宋_GBK" w:hAnsi="Times New Roman" w:eastAsia="方正仿宋_GBK"/>
          <w:color w:val="000000"/>
          <w:kern w:val="2"/>
          <w:sz w:val="28"/>
          <w:szCs w:val="28"/>
        </w:rPr>
      </w:pPr>
      <w:r>
        <w:rPr>
          <w:rStyle w:val="25"/>
          <w:rFonts w:ascii="方正黑体_GBK" w:hAnsi="Times New Roman" w:eastAsia="方正黑体_GBK" w:cs="Times New Roman"/>
          <w:bCs/>
          <w:kern w:val="44"/>
          <w:sz w:val="28"/>
          <w:szCs w:val="28"/>
        </w:rPr>
        <w:fldChar w:fldCharType="begin"/>
      </w:r>
      <w:r>
        <w:rPr>
          <w:rStyle w:val="25"/>
          <w:rFonts w:ascii="方正黑体_GBK" w:hAnsi="Times New Roman" w:eastAsia="方正黑体_GBK" w:cs="Times New Roman"/>
          <w:bCs/>
          <w:kern w:val="44"/>
          <w:sz w:val="28"/>
          <w:szCs w:val="28"/>
        </w:rPr>
        <w:instrText xml:space="preserve"> </w:instrText>
      </w:r>
      <w:r>
        <w:rPr>
          <w:rStyle w:val="25"/>
          <w:rFonts w:hint="eastAsia" w:ascii="方正黑体_GBK" w:hAnsi="Times New Roman" w:eastAsia="方正黑体_GBK" w:cs="Times New Roman"/>
          <w:bCs/>
          <w:kern w:val="44"/>
          <w:sz w:val="28"/>
          <w:szCs w:val="28"/>
        </w:rPr>
        <w:instrText xml:space="preserve">TOC \o "1-2" \h \z \u</w:instrText>
      </w:r>
      <w:r>
        <w:rPr>
          <w:rStyle w:val="25"/>
          <w:rFonts w:ascii="方正黑体_GBK" w:hAnsi="Times New Roman" w:eastAsia="方正黑体_GBK" w:cs="Times New Roman"/>
          <w:bCs/>
          <w:kern w:val="44"/>
          <w:sz w:val="28"/>
          <w:szCs w:val="28"/>
        </w:rPr>
        <w:instrText xml:space="preserve"> </w:instrText>
      </w:r>
      <w:r>
        <w:rPr>
          <w:rStyle w:val="25"/>
          <w:rFonts w:ascii="方正黑体_GBK" w:hAnsi="Times New Roman" w:eastAsia="方正黑体_GBK" w:cs="Times New Roman"/>
          <w:bCs/>
          <w:kern w:val="44"/>
          <w:sz w:val="28"/>
          <w:szCs w:val="28"/>
        </w:rPr>
        <w:fldChar w:fldCharType="separate"/>
      </w:r>
      <w:r>
        <w:fldChar w:fldCharType="begin"/>
      </w:r>
      <w:r>
        <w:instrText xml:space="preserve"> HYPERLINK \l "_Toc93615529" </w:instrText>
      </w:r>
      <w:r>
        <w:fldChar w:fldCharType="separate"/>
      </w:r>
      <w:r>
        <w:rPr>
          <w:rFonts w:ascii="方正仿宋_GBK" w:hAnsi="Times New Roman" w:eastAsia="方正仿宋_GBK"/>
          <w:color w:val="000000"/>
          <w:kern w:val="2"/>
          <w:sz w:val="28"/>
          <w:szCs w:val="28"/>
        </w:rPr>
        <w:t>第一章  发展现状和问题</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_Toc93615529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1</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hAnsi="Times New Roman" w:eastAsia="方正仿宋_GBK"/>
          <w:color w:val="000000"/>
          <w:kern w:val="2"/>
          <w:sz w:val="28"/>
          <w:szCs w:val="28"/>
        </w:rPr>
      </w:pPr>
      <w:r>
        <w:fldChar w:fldCharType="begin"/>
      </w:r>
      <w:r>
        <w:instrText xml:space="preserve"> HYPERLINK \l "_Toc93615530" </w:instrText>
      </w:r>
      <w:r>
        <w:fldChar w:fldCharType="separate"/>
      </w:r>
      <w:r>
        <w:rPr>
          <w:rFonts w:ascii="方正仿宋_GBK" w:eastAsia="方正仿宋_GBK"/>
          <w:color w:val="000000"/>
          <w:kern w:val="2"/>
          <w:sz w:val="28"/>
          <w:szCs w:val="28"/>
        </w:rPr>
        <w:t>第一节  发展现状</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_Toc93615530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1</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hAnsi="Times New Roman" w:eastAsia="方正仿宋_GBK"/>
          <w:color w:val="000000"/>
          <w:kern w:val="2"/>
          <w:sz w:val="28"/>
          <w:szCs w:val="28"/>
        </w:rPr>
      </w:pPr>
      <w:r>
        <w:fldChar w:fldCharType="begin"/>
      </w:r>
      <w:r>
        <w:instrText xml:space="preserve"> HYPERLINK \l "_Toc93615531" </w:instrText>
      </w:r>
      <w:r>
        <w:fldChar w:fldCharType="separate"/>
      </w:r>
      <w:r>
        <w:rPr>
          <w:rFonts w:ascii="方正仿宋_GBK" w:eastAsia="方正仿宋_GBK"/>
          <w:color w:val="000000"/>
          <w:kern w:val="2"/>
          <w:sz w:val="28"/>
          <w:szCs w:val="28"/>
        </w:rPr>
        <w:t>第二节  存在问题</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_Toc93615531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3</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5"/>
        <w:tabs>
          <w:tab w:val="right" w:leader="dot" w:pos="8296"/>
        </w:tabs>
        <w:spacing w:line="500" w:lineRule="exact"/>
        <w:rPr>
          <w:rFonts w:ascii="方正仿宋_GBK" w:hAnsi="Times New Roman" w:eastAsia="方正仿宋_GBK"/>
          <w:color w:val="000000"/>
          <w:kern w:val="2"/>
          <w:sz w:val="28"/>
          <w:szCs w:val="28"/>
        </w:rPr>
      </w:pPr>
      <w:r>
        <w:fldChar w:fldCharType="begin"/>
      </w:r>
      <w:r>
        <w:instrText xml:space="preserve"> HYPERLINK \l "_Toc93615532" </w:instrText>
      </w:r>
      <w:r>
        <w:fldChar w:fldCharType="separate"/>
      </w:r>
      <w:r>
        <w:rPr>
          <w:rFonts w:ascii="方正仿宋_GBK" w:hAnsi="Times New Roman" w:eastAsia="方正仿宋_GBK"/>
          <w:color w:val="000000"/>
          <w:kern w:val="2"/>
          <w:sz w:val="28"/>
          <w:szCs w:val="28"/>
        </w:rPr>
        <w:t>第二章  发展思路</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_Toc93615532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6</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"_Toc93615533" </w:instrText>
      </w:r>
      <w:r>
        <w:fldChar w:fldCharType="separate"/>
      </w:r>
      <w:r>
        <w:rPr>
          <w:rFonts w:ascii="方正仿宋_GBK" w:eastAsia="方正仿宋_GBK"/>
          <w:color w:val="000000"/>
          <w:kern w:val="2"/>
          <w:sz w:val="28"/>
          <w:szCs w:val="28"/>
        </w:rPr>
        <w:t>第一节 指导思想</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_Toc93615533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6</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"_Toc93615534" </w:instrText>
      </w:r>
      <w:r>
        <w:fldChar w:fldCharType="separate"/>
      </w:r>
      <w:r>
        <w:rPr>
          <w:rFonts w:ascii="方正仿宋_GBK" w:eastAsia="方正仿宋_GBK"/>
          <w:color w:val="000000"/>
          <w:kern w:val="2"/>
          <w:sz w:val="28"/>
          <w:szCs w:val="28"/>
        </w:rPr>
        <w:t>第二节 规划原则</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_Toc93615534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6</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"_Toc93615535" </w:instrText>
      </w:r>
      <w:r>
        <w:fldChar w:fldCharType="separate"/>
      </w:r>
      <w:r>
        <w:rPr>
          <w:rFonts w:ascii="方正仿宋_GBK" w:eastAsia="方正仿宋_GBK"/>
          <w:color w:val="000000"/>
          <w:kern w:val="2"/>
          <w:sz w:val="28"/>
          <w:szCs w:val="28"/>
        </w:rPr>
        <w:t>第三节 主要目标</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_Toc93615535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7</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"_Toc93615536" </w:instrText>
      </w:r>
      <w:r>
        <w:fldChar w:fldCharType="separate"/>
      </w:r>
      <w:r>
        <w:rPr>
          <w:rFonts w:ascii="方正仿宋_GBK" w:eastAsia="方正仿宋_GBK"/>
          <w:color w:val="000000"/>
          <w:kern w:val="2"/>
          <w:sz w:val="28"/>
          <w:szCs w:val="28"/>
        </w:rPr>
        <w:t>第四节 空间布局</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_Toc93615536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9</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5"/>
        <w:tabs>
          <w:tab w:val="right" w:leader="dot" w:pos="8296"/>
        </w:tabs>
        <w:spacing w:line="500" w:lineRule="exact"/>
        <w:rPr>
          <w:rFonts w:ascii="方正仿宋_GBK" w:hAnsi="Times New Roman" w:eastAsia="方正仿宋_GBK"/>
          <w:color w:val="000000"/>
          <w:kern w:val="2"/>
          <w:sz w:val="28"/>
          <w:szCs w:val="28"/>
        </w:rPr>
      </w:pPr>
      <w:r>
        <w:fldChar w:fldCharType="begin"/>
      </w:r>
      <w:r>
        <w:instrText xml:space="preserve"> HYPERLINK \l "_Toc93615537" </w:instrText>
      </w:r>
      <w:r>
        <w:fldChar w:fldCharType="separate"/>
      </w:r>
      <w:r>
        <w:rPr>
          <w:rFonts w:ascii="方正仿宋_GBK" w:hAnsi="Times New Roman" w:eastAsia="方正仿宋_GBK"/>
          <w:color w:val="000000"/>
          <w:kern w:val="2"/>
          <w:sz w:val="28"/>
          <w:szCs w:val="28"/>
        </w:rPr>
        <w:t>第三章  生态保护</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_Toc93615537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12</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"_Toc93615538" </w:instrText>
      </w:r>
      <w:r>
        <w:fldChar w:fldCharType="separate"/>
      </w:r>
      <w:r>
        <w:rPr>
          <w:rFonts w:ascii="方正仿宋_GBK" w:eastAsia="方正仿宋_GBK"/>
          <w:color w:val="000000"/>
          <w:kern w:val="2"/>
          <w:sz w:val="28"/>
          <w:szCs w:val="28"/>
        </w:rPr>
        <w:t>第一节 严格森林资源保护管理</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_Toc93615538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12</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"_Toc93615539" </w:instrText>
      </w:r>
      <w:r>
        <w:fldChar w:fldCharType="separate"/>
      </w:r>
      <w:r>
        <w:rPr>
          <w:rFonts w:ascii="方正仿宋_GBK" w:eastAsia="方正仿宋_GBK"/>
          <w:color w:val="000000"/>
          <w:kern w:val="2"/>
          <w:sz w:val="28"/>
          <w:szCs w:val="28"/>
        </w:rPr>
        <w:t>第二节 加强生物多样性保护</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_Toc93615539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13</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"_Toc93615540" </w:instrText>
      </w:r>
      <w:r>
        <w:fldChar w:fldCharType="separate"/>
      </w:r>
      <w:r>
        <w:rPr>
          <w:rFonts w:ascii="方正仿宋_GBK" w:eastAsia="方正仿宋_GBK"/>
          <w:color w:val="000000"/>
          <w:kern w:val="2"/>
          <w:sz w:val="28"/>
          <w:szCs w:val="28"/>
        </w:rPr>
        <w:t>第三节 加强自然保护地体系建设</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_Toc93615540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14</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"_Toc93615541" </w:instrText>
      </w:r>
      <w:r>
        <w:fldChar w:fldCharType="separate"/>
      </w:r>
      <w:r>
        <w:rPr>
          <w:rFonts w:ascii="方正仿宋_GBK" w:eastAsia="方正仿宋_GBK"/>
          <w:color w:val="000000"/>
          <w:kern w:val="2"/>
          <w:sz w:val="28"/>
          <w:szCs w:val="28"/>
        </w:rPr>
        <w:t>第四节 加强湿地资源保护管理</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_Toc93615541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16</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"_Toc93615542" </w:instrText>
      </w:r>
      <w:r>
        <w:fldChar w:fldCharType="separate"/>
      </w:r>
      <w:r>
        <w:rPr>
          <w:rFonts w:ascii="方正仿宋_GBK" w:eastAsia="方正仿宋_GBK"/>
          <w:color w:val="000000"/>
          <w:kern w:val="2"/>
          <w:sz w:val="28"/>
          <w:szCs w:val="28"/>
        </w:rPr>
        <w:t>第五节 加强森林防灭火能力建设</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_Toc93615542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17</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"_Toc93615543" </w:instrText>
      </w:r>
      <w:r>
        <w:fldChar w:fldCharType="separate"/>
      </w:r>
      <w:r>
        <w:rPr>
          <w:rFonts w:ascii="方正仿宋_GBK" w:eastAsia="方正仿宋_GBK"/>
          <w:color w:val="000000"/>
          <w:kern w:val="2"/>
          <w:sz w:val="28"/>
          <w:szCs w:val="28"/>
        </w:rPr>
        <w:t>第六节 加强重大林业有害生物防治</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_Toc93615543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18</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5"/>
        <w:tabs>
          <w:tab w:val="right" w:leader="dot" w:pos="8296"/>
        </w:tabs>
        <w:spacing w:line="500" w:lineRule="exact"/>
        <w:rPr>
          <w:rFonts w:ascii="方正仿宋_GBK" w:hAnsi="Times New Roman" w:eastAsia="方正仿宋_GBK"/>
          <w:color w:val="000000"/>
          <w:kern w:val="2"/>
          <w:sz w:val="28"/>
          <w:szCs w:val="28"/>
        </w:rPr>
      </w:pPr>
      <w:r>
        <w:fldChar w:fldCharType="begin"/>
      </w:r>
      <w:r>
        <w:instrText xml:space="preserve"> HYPERLINK \l "_Toc93615544" </w:instrText>
      </w:r>
      <w:r>
        <w:fldChar w:fldCharType="separate"/>
      </w:r>
      <w:r>
        <w:rPr>
          <w:rFonts w:ascii="方正仿宋_GBK" w:hAnsi="Times New Roman" w:eastAsia="方正仿宋_GBK"/>
          <w:color w:val="000000"/>
          <w:kern w:val="2"/>
          <w:sz w:val="28"/>
          <w:szCs w:val="28"/>
        </w:rPr>
        <w:t>第四章  生态修复</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_Toc93615544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20</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"_Toc93615545" </w:instrText>
      </w:r>
      <w:r>
        <w:fldChar w:fldCharType="separate"/>
      </w:r>
      <w:r>
        <w:rPr>
          <w:rFonts w:ascii="方正仿宋_GBK" w:eastAsia="方正仿宋_GBK"/>
          <w:color w:val="000000"/>
          <w:kern w:val="2"/>
          <w:sz w:val="28"/>
          <w:szCs w:val="28"/>
        </w:rPr>
        <w:t>第一节 生态廊道修复</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_Toc93615545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20</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"_Toc93615546" </w:instrText>
      </w:r>
      <w:r>
        <w:fldChar w:fldCharType="separate"/>
      </w:r>
      <w:r>
        <w:rPr>
          <w:rFonts w:ascii="方正仿宋_GBK" w:eastAsia="方正仿宋_GBK"/>
          <w:color w:val="000000"/>
          <w:kern w:val="2"/>
          <w:sz w:val="28"/>
          <w:szCs w:val="28"/>
        </w:rPr>
        <w:t>第二节 绿色生态屏障建设</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_Toc93615546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21</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5"/>
        <w:tabs>
          <w:tab w:val="right" w:leader="dot" w:pos="8296"/>
        </w:tabs>
        <w:spacing w:line="500" w:lineRule="exact"/>
        <w:rPr>
          <w:rFonts w:ascii="方正仿宋_GBK" w:hAnsi="Times New Roman" w:eastAsia="方正仿宋_GBK"/>
          <w:color w:val="000000"/>
          <w:kern w:val="2"/>
          <w:sz w:val="28"/>
          <w:szCs w:val="28"/>
        </w:rPr>
      </w:pPr>
      <w:r>
        <w:fldChar w:fldCharType="begin"/>
      </w:r>
      <w:r>
        <w:instrText xml:space="preserve"> HYPERLINK \l "_Toc93615547" </w:instrText>
      </w:r>
      <w:r>
        <w:fldChar w:fldCharType="separate"/>
      </w:r>
      <w:r>
        <w:rPr>
          <w:rFonts w:ascii="方正仿宋_GBK" w:hAnsi="Times New Roman" w:eastAsia="方正仿宋_GBK"/>
          <w:color w:val="000000"/>
          <w:kern w:val="2"/>
          <w:sz w:val="28"/>
          <w:szCs w:val="28"/>
        </w:rPr>
        <w:t>第五章  生态惠民</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_Toc93615547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26</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"_Toc93615548" </w:instrText>
      </w:r>
      <w:r>
        <w:fldChar w:fldCharType="separate"/>
      </w:r>
      <w:r>
        <w:rPr>
          <w:rFonts w:ascii="方正仿宋_GBK" w:eastAsia="方正仿宋_GBK"/>
          <w:color w:val="000000"/>
          <w:kern w:val="2"/>
          <w:sz w:val="28"/>
          <w:szCs w:val="28"/>
        </w:rPr>
        <w:t>第一节 发展生态惠民产业</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_Toc93615548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26</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"_Toc93615549" </w:instrText>
      </w:r>
      <w:r>
        <w:fldChar w:fldCharType="separate"/>
      </w:r>
      <w:r>
        <w:rPr>
          <w:rFonts w:ascii="方正仿宋_GBK" w:eastAsia="方正仿宋_GBK"/>
          <w:color w:val="000000"/>
          <w:kern w:val="2"/>
          <w:sz w:val="28"/>
          <w:szCs w:val="28"/>
        </w:rPr>
        <w:t>第二节 弘扬生态文化</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_Toc93615549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29</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5"/>
        <w:tabs>
          <w:tab w:val="right" w:leader="dot" w:pos="8296"/>
        </w:tabs>
        <w:spacing w:line="500" w:lineRule="exact"/>
        <w:rPr>
          <w:rFonts w:ascii="方正仿宋_GBK" w:hAnsi="Times New Roman" w:eastAsia="方正仿宋_GBK"/>
          <w:color w:val="000000"/>
          <w:kern w:val="2"/>
          <w:sz w:val="28"/>
          <w:szCs w:val="28"/>
        </w:rPr>
      </w:pPr>
      <w:r>
        <w:fldChar w:fldCharType="begin"/>
      </w:r>
      <w:r>
        <w:instrText xml:space="preserve"> HYPERLINK \l "_Toc93615550" </w:instrText>
      </w:r>
      <w:r>
        <w:fldChar w:fldCharType="separate"/>
      </w:r>
      <w:r>
        <w:rPr>
          <w:rFonts w:ascii="方正仿宋_GBK" w:hAnsi="Times New Roman" w:eastAsia="方正仿宋_GBK"/>
          <w:color w:val="000000"/>
          <w:kern w:val="2"/>
          <w:sz w:val="28"/>
          <w:szCs w:val="28"/>
        </w:rPr>
        <w:t>第六章  保障能力</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_Toc93615550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31</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"_Toc93615551" </w:instrText>
      </w:r>
      <w:r>
        <w:fldChar w:fldCharType="separate"/>
      </w:r>
      <w:r>
        <w:rPr>
          <w:rFonts w:ascii="方正仿宋_GBK" w:eastAsia="方正仿宋_GBK"/>
          <w:color w:val="000000"/>
          <w:kern w:val="2"/>
          <w:sz w:val="28"/>
          <w:szCs w:val="28"/>
        </w:rPr>
        <w:t>第一节 智慧林长建设</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_Toc93615551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31</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"_Toc93615552" </w:instrText>
      </w:r>
      <w:r>
        <w:fldChar w:fldCharType="separate"/>
      </w:r>
      <w:r>
        <w:rPr>
          <w:rFonts w:ascii="方正仿宋_GBK" w:eastAsia="方正仿宋_GBK"/>
          <w:color w:val="000000"/>
          <w:kern w:val="2"/>
          <w:sz w:val="28"/>
          <w:szCs w:val="28"/>
        </w:rPr>
        <w:t>第二节 种苗供给保障</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_Toc93615552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31</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"_Toc93615553" </w:instrText>
      </w:r>
      <w:r>
        <w:fldChar w:fldCharType="separate"/>
      </w:r>
      <w:r>
        <w:rPr>
          <w:rFonts w:ascii="方正仿宋_GBK" w:eastAsia="方正仿宋_GBK"/>
          <w:color w:val="000000"/>
          <w:kern w:val="2"/>
          <w:sz w:val="28"/>
          <w:szCs w:val="28"/>
        </w:rPr>
        <w:t>第三节 国有林场发展</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_Toc93615553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32</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"_Toc93615554" </w:instrText>
      </w:r>
      <w:r>
        <w:fldChar w:fldCharType="separate"/>
      </w:r>
      <w:r>
        <w:rPr>
          <w:rFonts w:ascii="方正仿宋_GBK" w:eastAsia="方正仿宋_GBK"/>
          <w:color w:val="000000"/>
          <w:kern w:val="2"/>
          <w:sz w:val="28"/>
          <w:szCs w:val="28"/>
        </w:rPr>
        <w:t>第四节 林业安全生产</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_Toc93615554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33</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"_Toc93615555" </w:instrText>
      </w:r>
      <w:r>
        <w:fldChar w:fldCharType="separate"/>
      </w:r>
      <w:r>
        <w:rPr>
          <w:rFonts w:ascii="方正仿宋_GBK" w:eastAsia="方正仿宋_GBK"/>
          <w:color w:val="000000"/>
          <w:kern w:val="2"/>
          <w:sz w:val="28"/>
          <w:szCs w:val="28"/>
        </w:rPr>
        <w:t>第五节 林业执法能力</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_Toc93615555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34</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5"/>
        <w:tabs>
          <w:tab w:val="right" w:leader="dot" w:pos="8296"/>
        </w:tabs>
        <w:spacing w:line="500" w:lineRule="exact"/>
        <w:rPr>
          <w:rFonts w:ascii="方正仿宋_GBK" w:hAnsi="Times New Roman" w:eastAsia="方正仿宋_GBK"/>
          <w:color w:val="000000"/>
          <w:kern w:val="2"/>
          <w:sz w:val="28"/>
          <w:szCs w:val="28"/>
        </w:rPr>
      </w:pPr>
      <w:r>
        <w:fldChar w:fldCharType="begin"/>
      </w:r>
      <w:r>
        <w:instrText xml:space="preserve"> HYPERLINK \l "_Toc93615556" </w:instrText>
      </w:r>
      <w:r>
        <w:fldChar w:fldCharType="separate"/>
      </w:r>
      <w:r>
        <w:rPr>
          <w:rFonts w:ascii="方正仿宋_GBK" w:hAnsi="Times New Roman" w:eastAsia="方正仿宋_GBK"/>
          <w:color w:val="000000"/>
          <w:kern w:val="2"/>
          <w:sz w:val="28"/>
          <w:szCs w:val="28"/>
        </w:rPr>
        <w:t>第七章  改革创新</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_Toc93615556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35</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"_Toc93615557" </w:instrText>
      </w:r>
      <w:r>
        <w:fldChar w:fldCharType="separate"/>
      </w:r>
      <w:r>
        <w:rPr>
          <w:rFonts w:ascii="方正仿宋_GBK" w:eastAsia="方正仿宋_GBK"/>
          <w:color w:val="000000"/>
          <w:kern w:val="2"/>
          <w:sz w:val="28"/>
          <w:szCs w:val="28"/>
        </w:rPr>
        <w:t>第一节 林业改革</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_Toc93615557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35</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"_Toc93615558" </w:instrText>
      </w:r>
      <w:r>
        <w:fldChar w:fldCharType="separate"/>
      </w:r>
      <w:r>
        <w:rPr>
          <w:rFonts w:ascii="方正仿宋_GBK" w:eastAsia="方正仿宋_GBK"/>
          <w:color w:val="000000"/>
          <w:kern w:val="2"/>
          <w:sz w:val="28"/>
          <w:szCs w:val="28"/>
        </w:rPr>
        <w:t>第二节 科技创新</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_Toc93615558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36</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5"/>
        <w:tabs>
          <w:tab w:val="right" w:leader="dot" w:pos="8296"/>
        </w:tabs>
        <w:spacing w:line="500" w:lineRule="exact"/>
        <w:rPr>
          <w:rFonts w:ascii="方正仿宋_GBK" w:hAnsi="Times New Roman" w:eastAsia="方正仿宋_GBK"/>
          <w:color w:val="000000"/>
          <w:kern w:val="2"/>
          <w:sz w:val="28"/>
          <w:szCs w:val="28"/>
        </w:rPr>
      </w:pPr>
      <w:r>
        <w:fldChar w:fldCharType="begin"/>
      </w:r>
      <w:r>
        <w:instrText xml:space="preserve"> HYPERLINK \l "_Toc93615559" </w:instrText>
      </w:r>
      <w:r>
        <w:fldChar w:fldCharType="separate"/>
      </w:r>
      <w:r>
        <w:rPr>
          <w:rFonts w:ascii="方正仿宋_GBK" w:hAnsi="Times New Roman" w:eastAsia="方正仿宋_GBK"/>
          <w:color w:val="000000"/>
          <w:kern w:val="2"/>
          <w:sz w:val="28"/>
          <w:szCs w:val="28"/>
        </w:rPr>
        <w:t>第八章  投资估算</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_Toc93615559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38</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"_Toc93615560" </w:instrText>
      </w:r>
      <w:r>
        <w:fldChar w:fldCharType="separate"/>
      </w:r>
      <w:r>
        <w:rPr>
          <w:rFonts w:ascii="方正仿宋_GBK" w:eastAsia="方正仿宋_GBK"/>
          <w:color w:val="000000"/>
          <w:kern w:val="2"/>
          <w:sz w:val="28"/>
          <w:szCs w:val="28"/>
        </w:rPr>
        <w:t>第一节 估算依据</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_Toc93615560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38</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"_Toc93615561" </w:instrText>
      </w:r>
      <w:r>
        <w:fldChar w:fldCharType="separate"/>
      </w:r>
      <w:r>
        <w:rPr>
          <w:rFonts w:ascii="方正仿宋_GBK" w:eastAsia="方正仿宋_GBK"/>
          <w:color w:val="000000"/>
          <w:kern w:val="2"/>
          <w:sz w:val="28"/>
          <w:szCs w:val="28"/>
        </w:rPr>
        <w:t>第二节 投资估算</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_Toc93615561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38</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5"/>
        <w:tabs>
          <w:tab w:val="right" w:leader="dot" w:pos="8296"/>
        </w:tabs>
        <w:spacing w:line="500" w:lineRule="exact"/>
        <w:rPr>
          <w:rFonts w:ascii="方正仿宋_GBK" w:hAnsi="Times New Roman" w:eastAsia="方正仿宋_GBK"/>
          <w:color w:val="000000"/>
          <w:kern w:val="2"/>
          <w:sz w:val="28"/>
          <w:szCs w:val="28"/>
        </w:rPr>
      </w:pPr>
      <w:r>
        <w:fldChar w:fldCharType="begin"/>
      </w:r>
      <w:r>
        <w:instrText xml:space="preserve"> HYPERLINK \l "_Toc93615562" </w:instrText>
      </w:r>
      <w:r>
        <w:fldChar w:fldCharType="separate"/>
      </w:r>
      <w:r>
        <w:rPr>
          <w:rFonts w:ascii="方正仿宋_GBK" w:hAnsi="Times New Roman" w:eastAsia="方正仿宋_GBK"/>
          <w:color w:val="000000"/>
          <w:kern w:val="2"/>
          <w:sz w:val="28"/>
          <w:szCs w:val="28"/>
        </w:rPr>
        <w:t>第九章  保障措施</w:t>
      </w:r>
      <w:r>
        <w:rPr>
          <w:rFonts w:ascii="方正仿宋_GBK" w:hAnsi="Times New Roman" w:eastAsia="方正仿宋_GBK"/>
          <w:color w:val="000000"/>
          <w:kern w:val="2"/>
          <w:sz w:val="28"/>
          <w:szCs w:val="28"/>
        </w:rPr>
        <w:tab/>
      </w:r>
      <w:r>
        <w:rPr>
          <w:rFonts w:ascii="方正仿宋_GBK" w:hAnsi="Times New Roman" w:eastAsia="方正仿宋_GBK"/>
          <w:color w:val="000000"/>
          <w:kern w:val="2"/>
          <w:sz w:val="28"/>
          <w:szCs w:val="28"/>
        </w:rPr>
        <w:fldChar w:fldCharType="begin"/>
      </w:r>
      <w:r>
        <w:rPr>
          <w:rFonts w:ascii="方正仿宋_GBK" w:hAnsi="Times New Roman" w:eastAsia="方正仿宋_GBK"/>
          <w:color w:val="000000"/>
          <w:kern w:val="2"/>
          <w:sz w:val="28"/>
          <w:szCs w:val="28"/>
        </w:rPr>
        <w:instrText xml:space="preserve"> PAGEREF _Toc93615562 \h </w:instrText>
      </w:r>
      <w:r>
        <w:rPr>
          <w:rFonts w:ascii="方正仿宋_GBK" w:hAnsi="Times New Roman" w:eastAsia="方正仿宋_GBK"/>
          <w:color w:val="000000"/>
          <w:kern w:val="2"/>
          <w:sz w:val="28"/>
          <w:szCs w:val="28"/>
        </w:rPr>
        <w:fldChar w:fldCharType="separate"/>
      </w:r>
      <w:r>
        <w:rPr>
          <w:rFonts w:ascii="方正仿宋_GBK" w:hAnsi="Times New Roman" w:eastAsia="方正仿宋_GBK"/>
          <w:color w:val="000000"/>
          <w:kern w:val="2"/>
          <w:sz w:val="28"/>
          <w:szCs w:val="28"/>
        </w:rPr>
        <w:t>40</w:t>
      </w:r>
      <w:r>
        <w:rPr>
          <w:rFonts w:ascii="方正仿宋_GBK" w:hAnsi="Times New Roman" w:eastAsia="方正仿宋_GBK"/>
          <w:color w:val="000000"/>
          <w:kern w:val="2"/>
          <w:sz w:val="28"/>
          <w:szCs w:val="28"/>
        </w:rPr>
        <w:fldChar w:fldCharType="end"/>
      </w:r>
      <w:r>
        <w:rPr>
          <w:rFonts w:ascii="方正仿宋_GBK" w:hAnsi="Times New Roman"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"_Toc93615563" </w:instrText>
      </w:r>
      <w:r>
        <w:fldChar w:fldCharType="separate"/>
      </w:r>
      <w:r>
        <w:rPr>
          <w:rFonts w:ascii="方正仿宋_GBK" w:eastAsia="方正仿宋_GBK"/>
          <w:color w:val="000000"/>
          <w:kern w:val="2"/>
          <w:sz w:val="28"/>
          <w:szCs w:val="28"/>
        </w:rPr>
        <w:t>第一节 组织保障</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_Toc93615563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40</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"_Toc93615564" </w:instrText>
      </w:r>
      <w:r>
        <w:fldChar w:fldCharType="separate"/>
      </w:r>
      <w:r>
        <w:rPr>
          <w:rFonts w:ascii="方正仿宋_GBK" w:eastAsia="方正仿宋_GBK"/>
          <w:color w:val="000000"/>
          <w:kern w:val="2"/>
          <w:sz w:val="28"/>
          <w:szCs w:val="28"/>
        </w:rPr>
        <w:t>第二节 资金保障</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_Toc93615564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40</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pStyle w:val="18"/>
        <w:tabs>
          <w:tab w:val="right" w:leader="dot" w:pos="8296"/>
        </w:tabs>
        <w:spacing w:line="500" w:lineRule="exact"/>
        <w:ind w:left="0" w:firstLine="440" w:firstLineChars="200"/>
        <w:rPr>
          <w:rFonts w:ascii="方正仿宋_GBK" w:eastAsia="方正仿宋_GBK"/>
          <w:color w:val="000000"/>
          <w:kern w:val="2"/>
          <w:sz w:val="28"/>
          <w:szCs w:val="28"/>
        </w:rPr>
      </w:pPr>
      <w:r>
        <w:fldChar w:fldCharType="begin"/>
      </w:r>
      <w:r>
        <w:instrText xml:space="preserve"> HYPERLINK \l "_Toc93615565" </w:instrText>
      </w:r>
      <w:r>
        <w:fldChar w:fldCharType="separate"/>
      </w:r>
      <w:r>
        <w:rPr>
          <w:rFonts w:ascii="方正仿宋_GBK" w:eastAsia="方正仿宋_GBK"/>
          <w:color w:val="000000"/>
          <w:kern w:val="2"/>
          <w:sz w:val="28"/>
          <w:szCs w:val="28"/>
        </w:rPr>
        <w:t>第三节 宣传保障</w:t>
      </w:r>
      <w:r>
        <w:rPr>
          <w:rFonts w:ascii="方正仿宋_GBK" w:eastAsia="方正仿宋_GBK"/>
          <w:color w:val="000000"/>
          <w:kern w:val="2"/>
          <w:sz w:val="28"/>
          <w:szCs w:val="28"/>
        </w:rPr>
        <w:tab/>
      </w:r>
      <w:r>
        <w:rPr>
          <w:rFonts w:ascii="方正仿宋_GBK" w:eastAsia="方正仿宋_GBK"/>
          <w:color w:val="000000"/>
          <w:kern w:val="2"/>
          <w:sz w:val="28"/>
          <w:szCs w:val="28"/>
        </w:rPr>
        <w:fldChar w:fldCharType="begin"/>
      </w:r>
      <w:r>
        <w:rPr>
          <w:rFonts w:ascii="方正仿宋_GBK" w:eastAsia="方正仿宋_GBK"/>
          <w:color w:val="000000"/>
          <w:kern w:val="2"/>
          <w:sz w:val="28"/>
          <w:szCs w:val="28"/>
        </w:rPr>
        <w:instrText xml:space="preserve"> PAGEREF _Toc93615565 \h </w:instrText>
      </w:r>
      <w:r>
        <w:rPr>
          <w:rFonts w:ascii="方正仿宋_GBK" w:eastAsia="方正仿宋_GBK"/>
          <w:color w:val="000000"/>
          <w:kern w:val="2"/>
          <w:sz w:val="28"/>
          <w:szCs w:val="28"/>
        </w:rPr>
        <w:fldChar w:fldCharType="separate"/>
      </w:r>
      <w:r>
        <w:rPr>
          <w:rFonts w:ascii="方正仿宋_GBK" w:eastAsia="方正仿宋_GBK"/>
          <w:color w:val="000000"/>
          <w:kern w:val="2"/>
          <w:sz w:val="28"/>
          <w:szCs w:val="28"/>
        </w:rPr>
        <w:t>41</w:t>
      </w:r>
      <w:r>
        <w:rPr>
          <w:rFonts w:ascii="方正仿宋_GBK" w:eastAsia="方正仿宋_GBK"/>
          <w:color w:val="000000"/>
          <w:kern w:val="2"/>
          <w:sz w:val="28"/>
          <w:szCs w:val="28"/>
        </w:rPr>
        <w:fldChar w:fldCharType="end"/>
      </w:r>
      <w:r>
        <w:rPr>
          <w:rFonts w:ascii="方正仿宋_GBK" w:eastAsia="方正仿宋_GBK"/>
          <w:color w:val="000000"/>
          <w:kern w:val="2"/>
          <w:sz w:val="28"/>
          <w:szCs w:val="28"/>
        </w:rPr>
        <w:fldChar w:fldCharType="end"/>
      </w:r>
    </w:p>
    <w:p>
      <w:pPr>
        <w:spacing w:line="500" w:lineRule="exact"/>
        <w:ind w:firstLine="560"/>
        <w:jc w:val="left"/>
        <w:rPr>
          <w:rStyle w:val="25"/>
          <w:rFonts w:ascii="方正黑体_GBK" w:eastAsia="方正黑体_GBK" w:cs="Times New Roman"/>
          <w:kern w:val="44"/>
          <w:sz w:val="32"/>
          <w:szCs w:val="28"/>
        </w:rPr>
      </w:pPr>
      <w:r>
        <w:rPr>
          <w:rStyle w:val="25"/>
          <w:rFonts w:ascii="方正黑体_GBK" w:eastAsia="方正黑体_GBK" w:cs="Times New Roman"/>
          <w:bCs/>
          <w:kern w:val="44"/>
          <w:szCs w:val="28"/>
        </w:rPr>
        <w:fldChar w:fldCharType="end"/>
      </w:r>
    </w:p>
    <w:p>
      <w:pPr>
        <w:spacing w:line="240" w:lineRule="auto"/>
        <w:ind w:firstLine="0" w:firstLineChars="0"/>
        <w:jc w:val="left"/>
        <w:rPr>
          <w:rFonts w:ascii="方正仿宋_GBK" w:eastAsia="方正仿宋_GBK"/>
          <w:color w:val="000000"/>
          <w:szCs w:val="28"/>
        </w:rPr>
      </w:pPr>
      <w:r>
        <w:rPr>
          <w:rFonts w:hint="eastAsia" w:ascii="方正仿宋_GBK" w:eastAsia="方正仿宋_GBK"/>
          <w:color w:val="000000"/>
          <w:szCs w:val="28"/>
        </w:rPr>
        <w:t>附表：璧山区“十四五”林业发展规划重点项目及投资表</w:t>
      </w:r>
    </w:p>
    <w:p>
      <w:pPr>
        <w:spacing w:line="240" w:lineRule="auto"/>
        <w:ind w:firstLine="0" w:firstLineChars="0"/>
        <w:jc w:val="left"/>
        <w:rPr>
          <w:rFonts w:ascii="方正仿宋_GBK" w:eastAsia="方正仿宋_GBK"/>
          <w:color w:val="000000"/>
          <w:szCs w:val="28"/>
        </w:rPr>
      </w:pPr>
      <w:r>
        <w:rPr>
          <w:rFonts w:hint="eastAsia" w:ascii="方正仿宋_GBK" w:eastAsia="方正仿宋_GBK"/>
          <w:color w:val="000000"/>
          <w:szCs w:val="28"/>
        </w:rPr>
        <w:t>附件：璧山区“十四五”林业发展规划评审会专家信息表</w:t>
      </w:r>
    </w:p>
    <w:p>
      <w:pPr>
        <w:spacing w:line="240" w:lineRule="auto"/>
        <w:ind w:firstLine="840" w:firstLineChars="300"/>
        <w:jc w:val="left"/>
        <w:rPr>
          <w:rFonts w:ascii="方正仿宋_GBK" w:eastAsia="方正仿宋_GBK"/>
          <w:color w:val="000000"/>
          <w:szCs w:val="28"/>
        </w:rPr>
      </w:pPr>
      <w:r>
        <w:rPr>
          <w:rFonts w:hint="eastAsia" w:ascii="方正仿宋_GBK" w:eastAsia="方正仿宋_GBK"/>
          <w:color w:val="000000"/>
          <w:szCs w:val="28"/>
        </w:rPr>
        <w:t>璧山区“十四五”林业发展规划评审会评审意见</w:t>
      </w:r>
    </w:p>
    <w:p>
      <w:pPr>
        <w:spacing w:line="240" w:lineRule="auto"/>
        <w:ind w:firstLine="0" w:firstLineChars="0"/>
        <w:jc w:val="left"/>
        <w:rPr>
          <w:rFonts w:ascii="方正仿宋_GBK" w:eastAsia="方正仿宋_GBK"/>
          <w:color w:val="000000"/>
          <w:sz w:val="32"/>
          <w:szCs w:val="32"/>
        </w:rPr>
      </w:pPr>
    </w:p>
    <w:p>
      <w:pPr>
        <w:spacing w:line="240" w:lineRule="auto"/>
        <w:ind w:firstLine="0" w:firstLineChars="0"/>
        <w:jc w:val="left"/>
        <w:rPr>
          <w:rFonts w:ascii="方正仿宋_GBK" w:eastAsia="方正仿宋_GBK"/>
          <w:color w:val="000000"/>
          <w:sz w:val="32"/>
          <w:szCs w:val="32"/>
        </w:rPr>
      </w:pPr>
    </w:p>
    <w:p>
      <w:pPr>
        <w:spacing w:before="312" w:beforeLines="100" w:after="312" w:afterLines="100"/>
        <w:ind w:firstLine="0" w:firstLineChars="0"/>
        <w:jc w:val="center"/>
        <w:rPr>
          <w:rFonts w:ascii="黑体" w:hAnsi="黑体" w:eastAsia="黑体"/>
          <w:bCs/>
          <w:color w:val="000000" w:themeColor="text1"/>
          <w:sz w:val="32"/>
          <w:szCs w:val="36"/>
          <w14:textFill>
            <w14:solidFill>
              <w14:schemeClr w14:val="tx1"/>
            </w14:solidFill>
          </w14:textFill>
        </w:rPr>
        <w:sectPr>
          <w:footerReference r:id="rId11" w:type="default"/>
          <w:pgSz w:w="11906" w:h="16838"/>
          <w:pgMar w:top="1440" w:right="1800" w:bottom="1440" w:left="1800" w:header="851" w:footer="992" w:gutter="0"/>
          <w:cols w:space="425" w:num="1"/>
          <w:docGrid w:type="lines" w:linePitch="312" w:charSpace="0"/>
        </w:sectPr>
      </w:pPr>
    </w:p>
    <w:p>
      <w:pPr>
        <w:pStyle w:val="2"/>
        <w:spacing w:before="0" w:beforeLines="0" w:after="312" w:line="360" w:lineRule="auto"/>
        <w:rPr>
          <w:rFonts w:ascii="方正小标宋_GBK" w:eastAsia="方正小标宋_GBK" w:hAnsiTheme="minorHAnsi"/>
          <w:b w:val="0"/>
          <w:szCs w:val="28"/>
        </w:rPr>
      </w:pPr>
      <w:bookmarkStart w:id="1" w:name="_Toc93615529"/>
      <w:r>
        <w:rPr>
          <w:rFonts w:hint="eastAsia" w:ascii="方正小标宋_GBK" w:eastAsia="方正小标宋_GBK" w:hAnsiTheme="minorHAnsi"/>
          <w:b w:val="0"/>
          <w:szCs w:val="28"/>
        </w:rPr>
        <w:t xml:space="preserve">第一章 </w:t>
      </w:r>
      <w:r>
        <w:rPr>
          <w:rFonts w:ascii="方正小标宋_GBK" w:eastAsia="方正小标宋_GBK" w:hAnsiTheme="minorHAnsi"/>
          <w:b w:val="0"/>
          <w:szCs w:val="28"/>
        </w:rPr>
        <w:t xml:space="preserve"> </w:t>
      </w:r>
      <w:r>
        <w:rPr>
          <w:rFonts w:hint="eastAsia" w:ascii="方正小标宋_GBK" w:eastAsia="方正小标宋_GBK" w:hAnsiTheme="minorHAnsi"/>
          <w:b w:val="0"/>
          <w:szCs w:val="28"/>
        </w:rPr>
        <w:t>发展现状和问题</w:t>
      </w:r>
      <w:bookmarkEnd w:id="1"/>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2" w:name="_Toc93615530"/>
      <w:r>
        <w:rPr>
          <w:rFonts w:hint="eastAsia" w:ascii="方正黑体_GBK" w:hAnsi="Times New Roman" w:eastAsia="方正黑体_GBK" w:cs="Times New Roman"/>
          <w:b w:val="0"/>
          <w:szCs w:val="36"/>
        </w:rPr>
        <w:t>第一节  发展现状</w:t>
      </w:r>
      <w:bookmarkEnd w:id="2"/>
    </w:p>
    <w:p>
      <w:pPr>
        <w:spacing w:line="240" w:lineRule="auto"/>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十三五”期间，全区林业工作以习近平新时代中国特色社会主义思想为指导，认真践行“绿水青山就是金山银山”理念，以林业重点工程和林长制试点工作为抓手，着力深化改革，强化生态保护，培育森林资源，发展绿色经济，林业生态建设和改革发展取得显著成效。</w:t>
      </w:r>
    </w:p>
    <w:p>
      <w:pPr>
        <w:ind w:firstLine="640"/>
        <w:rPr>
          <w:rFonts w:ascii="方正仿宋_GBK" w:eastAsia="方正仿宋_GBK" w:cs="Times New Roman"/>
          <w:color w:val="000000"/>
          <w:sz w:val="32"/>
          <w:szCs w:val="32"/>
        </w:rPr>
      </w:pPr>
      <w:r>
        <w:rPr>
          <w:rFonts w:hint="eastAsia" w:eastAsia="方正楷体_GBK" w:cs="Times New Roman"/>
          <w:b/>
          <w:bCs/>
          <w:sz w:val="32"/>
          <w:szCs w:val="20"/>
        </w:rPr>
        <w:t>资源总量持续增长</w:t>
      </w:r>
      <w:r>
        <w:rPr>
          <w:rFonts w:hint="eastAsia" w:ascii="方正仿宋_GBK" w:eastAsia="方正仿宋_GBK" w:cs="Times New Roman"/>
          <w:color w:val="000000"/>
          <w:sz w:val="32"/>
          <w:szCs w:val="32"/>
        </w:rPr>
        <w:t xml:space="preserve"> </w:t>
      </w:r>
      <w:r>
        <w:rPr>
          <w:rFonts w:ascii="方正仿宋_GBK" w:eastAsia="方正仿宋_GBK" w:cs="Times New Roman"/>
          <w:color w:val="000000"/>
          <w:sz w:val="32"/>
          <w:szCs w:val="32"/>
        </w:rPr>
        <w:t xml:space="preserve"> </w:t>
      </w:r>
      <w:r>
        <w:rPr>
          <w:rFonts w:hint="eastAsia" w:ascii="方正仿宋_GBK" w:eastAsia="方正仿宋_GBK" w:cs="Times New Roman"/>
          <w:color w:val="000000"/>
          <w:sz w:val="32"/>
          <w:szCs w:val="32"/>
        </w:rPr>
        <w:t>以加快构筑长江上游重要生态屏障为目标，深入推进天然林资源保护、新一轮退耕还林、长江防护林三期、湿地保护恢复、国土绿化提升行动等一系列林业生态建设工程。整合优化资金，以“两山三河”（缙云山、云雾山和璧南河、璧北河、梅江河）为重点，实施了一批交通干线、河流湿地、美丽乡村等绿化美化工程，森林资源总量持续增长，生态本底不断夯实。累计完成营造林面积</w:t>
      </w:r>
      <w:r>
        <w:rPr>
          <w:rFonts w:eastAsia="方正仿宋_GBK" w:cs="Times New Roman"/>
          <w:sz w:val="32"/>
          <w:szCs w:val="32"/>
        </w:rPr>
        <w:t>37.6</w:t>
      </w:r>
      <w:r>
        <w:rPr>
          <w:rFonts w:hint="eastAsia" w:ascii="方正仿宋_GBK" w:eastAsia="方正仿宋_GBK" w:cs="Times New Roman"/>
          <w:color w:val="000000"/>
          <w:sz w:val="32"/>
          <w:szCs w:val="32"/>
        </w:rPr>
        <w:t>万亩，森林覆盖率提高了</w:t>
      </w:r>
      <w:r>
        <w:rPr>
          <w:rFonts w:eastAsia="方正仿宋_GBK" w:cs="Times New Roman"/>
          <w:sz w:val="32"/>
          <w:szCs w:val="32"/>
        </w:rPr>
        <w:t>5</w:t>
      </w:r>
      <w:r>
        <w:rPr>
          <w:rFonts w:hint="eastAsia" w:ascii="方正仿宋_GBK" w:eastAsia="方正仿宋_GBK" w:cs="Times New Roman"/>
          <w:color w:val="000000"/>
          <w:sz w:val="32"/>
          <w:szCs w:val="32"/>
        </w:rPr>
        <w:t>个百分点，达到</w:t>
      </w:r>
      <w:r>
        <w:rPr>
          <w:rFonts w:eastAsia="方正仿宋_GBK" w:cs="Times New Roman"/>
          <w:sz w:val="32"/>
          <w:szCs w:val="32"/>
        </w:rPr>
        <w:t>47.2</w:t>
      </w:r>
      <w:r>
        <w:rPr>
          <w:rFonts w:hint="eastAsia" w:eastAsia="方正仿宋_GBK" w:cs="Times New Roman"/>
          <w:sz w:val="32"/>
          <w:szCs w:val="32"/>
        </w:rPr>
        <w:t>%</w:t>
      </w:r>
      <w:r>
        <w:rPr>
          <w:rFonts w:hint="eastAsia" w:ascii="方正仿宋_GBK" w:eastAsia="方正仿宋_GBK" w:cs="Times New Roman"/>
          <w:color w:val="000000"/>
          <w:sz w:val="32"/>
          <w:szCs w:val="32"/>
        </w:rPr>
        <w:t>。建成</w:t>
      </w:r>
      <w:r>
        <w:rPr>
          <w:rFonts w:hint="eastAsia" w:eastAsia="方正仿宋_GBK" w:cs="Times New Roman"/>
          <w:sz w:val="32"/>
          <w:szCs w:val="32"/>
        </w:rPr>
        <w:t>1</w:t>
      </w:r>
      <w:r>
        <w:rPr>
          <w:rFonts w:eastAsia="方正仿宋_GBK" w:cs="Times New Roman"/>
          <w:sz w:val="32"/>
          <w:szCs w:val="32"/>
        </w:rPr>
        <w:t>5</w:t>
      </w:r>
      <w:r>
        <w:rPr>
          <w:rFonts w:hint="eastAsia" w:ascii="方正仿宋_GBK" w:eastAsia="方正仿宋_GBK" w:cs="Times New Roman"/>
          <w:color w:val="000000"/>
          <w:sz w:val="32"/>
          <w:szCs w:val="32"/>
        </w:rPr>
        <w:t>个义务植树基地、点，义务植树达到</w:t>
      </w:r>
      <w:r>
        <w:rPr>
          <w:rFonts w:hint="eastAsia" w:eastAsia="方正仿宋_GBK" w:cs="Times New Roman"/>
          <w:sz w:val="32"/>
          <w:szCs w:val="32"/>
        </w:rPr>
        <w:t>6</w:t>
      </w:r>
      <w:r>
        <w:rPr>
          <w:rFonts w:eastAsia="方正仿宋_GBK" w:cs="Times New Roman"/>
          <w:sz w:val="32"/>
          <w:szCs w:val="32"/>
        </w:rPr>
        <w:t>50</w:t>
      </w:r>
      <w:r>
        <w:rPr>
          <w:rFonts w:hint="eastAsia" w:ascii="方正仿宋_GBK" w:eastAsia="方正仿宋_GBK" w:cs="Times New Roman"/>
          <w:color w:val="000000"/>
          <w:sz w:val="32"/>
          <w:szCs w:val="32"/>
        </w:rPr>
        <w:t>万株以上。</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资源保护全面加强 </w:t>
      </w:r>
      <w:r>
        <w:rPr>
          <w:rFonts w:eastAsia="方正楷体_GBK" w:cs="Times New Roman"/>
          <w:b/>
          <w:bCs/>
          <w:sz w:val="32"/>
          <w:szCs w:val="20"/>
        </w:rPr>
        <w:t xml:space="preserve"> </w:t>
      </w:r>
      <w:r>
        <w:rPr>
          <w:rFonts w:hint="eastAsia" w:ascii="方正仿宋_GBK" w:eastAsia="方正仿宋_GBK" w:cs="Times New Roman"/>
          <w:color w:val="000000"/>
          <w:sz w:val="32"/>
          <w:szCs w:val="32"/>
        </w:rPr>
        <w:t>严格实行林地用途管制和森林限额采伐，重点项目占用林地审批率达</w:t>
      </w:r>
      <w:r>
        <w:rPr>
          <w:rFonts w:hint="eastAsia" w:eastAsia="方正仿宋_GBK" w:cs="Times New Roman"/>
          <w:sz w:val="32"/>
          <w:szCs w:val="32"/>
        </w:rPr>
        <w:t>100%</w:t>
      </w:r>
      <w:r>
        <w:rPr>
          <w:rFonts w:hint="eastAsia" w:ascii="方正仿宋_GBK" w:eastAsia="方正仿宋_GBK" w:cs="Times New Roman"/>
          <w:color w:val="000000"/>
          <w:sz w:val="32"/>
          <w:szCs w:val="32"/>
        </w:rPr>
        <w:t>。开展森林督查、绿盾行动、自然保护地大检查大整治等系列专项行动，严厉打击破坏森林资源违法行为，查处涉林案件</w:t>
      </w:r>
      <w:r>
        <w:rPr>
          <w:rFonts w:hint="eastAsia" w:eastAsia="方正仿宋_GBK" w:cs="Times New Roman"/>
          <w:sz w:val="32"/>
          <w:szCs w:val="32"/>
        </w:rPr>
        <w:t>221</w:t>
      </w:r>
      <w:r>
        <w:rPr>
          <w:rFonts w:hint="eastAsia" w:ascii="方正仿宋_GBK" w:eastAsia="方正仿宋_GBK" w:cs="Times New Roman"/>
          <w:color w:val="000000"/>
          <w:sz w:val="32"/>
          <w:szCs w:val="32"/>
        </w:rPr>
        <w:t>件（其中刑事案件</w:t>
      </w:r>
      <w:r>
        <w:rPr>
          <w:rFonts w:hint="eastAsia" w:eastAsia="方正仿宋_GBK" w:cs="Times New Roman"/>
          <w:sz w:val="32"/>
          <w:szCs w:val="32"/>
        </w:rPr>
        <w:t>6</w:t>
      </w:r>
      <w:r>
        <w:rPr>
          <w:rFonts w:hint="eastAsia" w:ascii="方正仿宋_GBK" w:eastAsia="方正仿宋_GBK" w:cs="Times New Roman"/>
          <w:color w:val="000000"/>
          <w:sz w:val="32"/>
          <w:szCs w:val="32"/>
        </w:rPr>
        <w:t>件），查处非法猎捕野生动物案件</w:t>
      </w:r>
      <w:r>
        <w:rPr>
          <w:rFonts w:hint="eastAsia" w:eastAsia="方正仿宋_GBK" w:cs="Times New Roman"/>
          <w:sz w:val="32"/>
          <w:szCs w:val="32"/>
        </w:rPr>
        <w:t>10</w:t>
      </w:r>
      <w:r>
        <w:rPr>
          <w:rFonts w:hint="eastAsia" w:ascii="方正仿宋_GBK" w:eastAsia="方正仿宋_GBK" w:cs="Times New Roman"/>
          <w:color w:val="000000"/>
          <w:sz w:val="32"/>
          <w:szCs w:val="32"/>
        </w:rPr>
        <w:t>件。全面启动自然保护地整合优化，完成预案编制上报。按照自愿原则，完成缙云山国家级自然保护区</w:t>
      </w:r>
      <w:r>
        <w:rPr>
          <w:rFonts w:hint="eastAsia" w:eastAsia="方正仿宋_GBK" w:cs="Times New Roman"/>
          <w:sz w:val="32"/>
          <w:szCs w:val="32"/>
        </w:rPr>
        <w:t>110</w:t>
      </w:r>
      <w:r>
        <w:rPr>
          <w:rFonts w:hint="eastAsia" w:ascii="方正仿宋_GBK" w:eastAsia="方正仿宋_GBK" w:cs="Times New Roman"/>
          <w:color w:val="000000"/>
          <w:sz w:val="32"/>
          <w:szCs w:val="32"/>
        </w:rPr>
        <w:t>户</w:t>
      </w:r>
      <w:r>
        <w:rPr>
          <w:rFonts w:hint="eastAsia" w:eastAsia="方正仿宋_GBK" w:cs="Times New Roman"/>
          <w:sz w:val="32"/>
          <w:szCs w:val="32"/>
        </w:rPr>
        <w:t>264</w:t>
      </w:r>
      <w:r>
        <w:rPr>
          <w:rFonts w:hint="eastAsia" w:ascii="方正仿宋_GBK" w:eastAsia="方正仿宋_GBK" w:cs="Times New Roman"/>
          <w:color w:val="000000"/>
          <w:sz w:val="32"/>
          <w:szCs w:val="32"/>
        </w:rPr>
        <w:t>人的搬迁工作，投入搬迁及复绿费用</w:t>
      </w:r>
      <w:r>
        <w:rPr>
          <w:rFonts w:hint="eastAsia" w:eastAsia="方正仿宋_GBK" w:cs="Times New Roman"/>
          <w:sz w:val="32"/>
          <w:szCs w:val="32"/>
        </w:rPr>
        <w:t>6000</w:t>
      </w:r>
      <w:r>
        <w:rPr>
          <w:rFonts w:hint="eastAsia" w:ascii="方正仿宋_GBK" w:eastAsia="方正仿宋_GBK" w:cs="Times New Roman"/>
          <w:color w:val="000000"/>
          <w:sz w:val="32"/>
          <w:szCs w:val="32"/>
        </w:rPr>
        <w:t>余万元，房屋拆除率、生态复绿率均达</w:t>
      </w:r>
      <w:r>
        <w:rPr>
          <w:rFonts w:hint="eastAsia" w:eastAsia="方正仿宋_GBK" w:cs="Times New Roman"/>
          <w:sz w:val="32"/>
          <w:szCs w:val="32"/>
        </w:rPr>
        <w:t>100%</w:t>
      </w:r>
      <w:r>
        <w:rPr>
          <w:rFonts w:hint="eastAsia" w:ascii="方正仿宋_GBK" w:eastAsia="方正仿宋_GBK" w:cs="Times New Roman"/>
          <w:color w:val="000000"/>
          <w:sz w:val="32"/>
          <w:szCs w:val="32"/>
        </w:rPr>
        <w:t>。全面开展林业有害生物防控，完成松材线虫病防治面积</w:t>
      </w:r>
      <w:r>
        <w:rPr>
          <w:rFonts w:hint="eastAsia" w:eastAsia="方正仿宋_GBK" w:cs="Times New Roman"/>
          <w:sz w:val="32"/>
          <w:szCs w:val="32"/>
        </w:rPr>
        <w:t>17.99</w:t>
      </w:r>
      <w:r>
        <w:rPr>
          <w:rFonts w:hint="eastAsia" w:ascii="方正仿宋_GBK" w:eastAsia="方正仿宋_GBK" w:cs="Times New Roman"/>
          <w:color w:val="000000"/>
          <w:sz w:val="32"/>
          <w:szCs w:val="32"/>
        </w:rPr>
        <w:t>万亩，除治清理疫木</w:t>
      </w:r>
      <w:r>
        <w:rPr>
          <w:rFonts w:hint="eastAsia" w:eastAsia="方正仿宋_GBK" w:cs="Times New Roman"/>
          <w:sz w:val="32"/>
          <w:szCs w:val="32"/>
        </w:rPr>
        <w:t>19.76</w:t>
      </w:r>
      <w:r>
        <w:rPr>
          <w:rFonts w:hint="eastAsia" w:ascii="方正仿宋_GBK" w:eastAsia="方正仿宋_GBK" w:cs="Times New Roman"/>
          <w:color w:val="000000"/>
          <w:sz w:val="32"/>
          <w:szCs w:val="32"/>
        </w:rPr>
        <w:t>万株，实现璧泉、来凤两个疫点无疫情，林业有害生物成灾率控制在</w:t>
      </w:r>
      <w:r>
        <w:rPr>
          <w:rFonts w:hint="eastAsia" w:eastAsia="方正仿宋_GBK" w:cs="Times New Roman"/>
          <w:sz w:val="32"/>
          <w:szCs w:val="32"/>
        </w:rPr>
        <w:t>2‰</w:t>
      </w:r>
      <w:r>
        <w:rPr>
          <w:rFonts w:hint="eastAsia" w:ascii="方正仿宋_GBK" w:eastAsia="方正仿宋_GBK" w:cs="Times New Roman"/>
          <w:color w:val="000000"/>
          <w:sz w:val="32"/>
          <w:szCs w:val="32"/>
        </w:rPr>
        <w:t>以下。持续加强森林防火工作，森林火灾受害率稳定控制在</w:t>
      </w:r>
      <w:r>
        <w:rPr>
          <w:rFonts w:hint="eastAsia" w:eastAsia="方正仿宋_GBK" w:cs="Times New Roman"/>
          <w:sz w:val="32"/>
          <w:szCs w:val="32"/>
        </w:rPr>
        <w:t>0.1‰</w:t>
      </w:r>
      <w:r>
        <w:rPr>
          <w:rFonts w:hint="eastAsia" w:ascii="方正仿宋_GBK" w:eastAsia="方正仿宋_GBK" w:cs="Times New Roman"/>
          <w:color w:val="000000"/>
          <w:sz w:val="32"/>
          <w:szCs w:val="32"/>
        </w:rPr>
        <w:t>以下，未发生重大森林火灾及人员伤亡。</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林业产业稳步发展 </w:t>
      </w:r>
      <w:r>
        <w:rPr>
          <w:rFonts w:eastAsia="方正楷体_GBK" w:cs="Times New Roman"/>
          <w:b/>
          <w:bCs/>
          <w:sz w:val="32"/>
          <w:szCs w:val="20"/>
        </w:rPr>
        <w:t xml:space="preserve"> </w:t>
      </w:r>
      <w:r>
        <w:rPr>
          <w:rFonts w:hint="eastAsia" w:ascii="方正仿宋_GBK" w:eastAsia="方正仿宋_GBK" w:cs="Times New Roman"/>
          <w:color w:val="000000"/>
          <w:sz w:val="32"/>
          <w:szCs w:val="32"/>
        </w:rPr>
        <w:t>认真践行“两山”理念，大力发展特色林业产业，持续壮大龙头产业，积极培育新型产业，全区林业经济实力明显加强。结合国土绿化提升，积极调整传统产业结构，发展以樱桃、蜜柚、血橙、茶叶、花椒等为主的名特优品种经济林，种植规模达到</w:t>
      </w:r>
      <w:r>
        <w:rPr>
          <w:rFonts w:hint="eastAsia" w:eastAsia="方正仿宋_GBK" w:cs="Times New Roman"/>
          <w:sz w:val="32"/>
          <w:szCs w:val="32"/>
        </w:rPr>
        <w:t>1</w:t>
      </w:r>
      <w:r>
        <w:rPr>
          <w:rFonts w:eastAsia="方正仿宋_GBK" w:cs="Times New Roman"/>
          <w:sz w:val="32"/>
          <w:szCs w:val="32"/>
        </w:rPr>
        <w:t>6.67</w:t>
      </w:r>
      <w:r>
        <w:rPr>
          <w:rFonts w:hint="eastAsia" w:ascii="方正仿宋_GBK" w:eastAsia="方正仿宋_GBK" w:cs="Times New Roman"/>
          <w:color w:val="000000"/>
          <w:sz w:val="32"/>
          <w:szCs w:val="32"/>
        </w:rPr>
        <w:t>万亩，初步形成“一镇一品”。创建“绿爽”牌璧玉毛峰、璧玉翠芽系列产品，被评为重庆市名牌农产品，获进出口自主经营权。“十三五”期末，全区花卉苗木种植面积近</w:t>
      </w:r>
      <w:r>
        <w:rPr>
          <w:rFonts w:hint="eastAsia" w:eastAsia="方正仿宋_GBK" w:cs="Times New Roman"/>
          <w:sz w:val="32"/>
          <w:szCs w:val="32"/>
        </w:rPr>
        <w:t>10</w:t>
      </w:r>
      <w:r>
        <w:rPr>
          <w:rFonts w:hint="eastAsia" w:ascii="方正仿宋_GBK" w:eastAsia="方正仿宋_GBK" w:cs="Times New Roman"/>
          <w:color w:val="000000"/>
          <w:sz w:val="32"/>
          <w:szCs w:val="32"/>
        </w:rPr>
        <w:t>万亩、品种近</w:t>
      </w:r>
      <w:r>
        <w:rPr>
          <w:rFonts w:hint="eastAsia" w:eastAsia="方正仿宋_GBK" w:cs="Times New Roman"/>
          <w:sz w:val="32"/>
          <w:szCs w:val="32"/>
        </w:rPr>
        <w:t>400</w:t>
      </w:r>
      <w:r>
        <w:rPr>
          <w:rFonts w:hint="eastAsia" w:ascii="方正仿宋_GBK" w:eastAsia="方正仿宋_GBK" w:cs="Times New Roman"/>
          <w:color w:val="000000"/>
          <w:sz w:val="32"/>
          <w:szCs w:val="32"/>
        </w:rPr>
        <w:t>个，从业人员</w:t>
      </w:r>
      <w:r>
        <w:rPr>
          <w:rFonts w:hint="eastAsia" w:eastAsia="方正仿宋_GBK" w:cs="Times New Roman"/>
          <w:sz w:val="32"/>
          <w:szCs w:val="32"/>
        </w:rPr>
        <w:t>2</w:t>
      </w:r>
      <w:r>
        <w:rPr>
          <w:rFonts w:hint="eastAsia" w:ascii="方正仿宋_GBK" w:eastAsia="方正仿宋_GBK" w:cs="Times New Roman"/>
          <w:color w:val="000000"/>
          <w:sz w:val="32"/>
          <w:szCs w:val="32"/>
        </w:rPr>
        <w:t>万余人，已成为重庆市三大花卉苗木基地之一。林业产业产值稳步增长，</w:t>
      </w:r>
      <w:r>
        <w:rPr>
          <w:rFonts w:hint="eastAsia" w:eastAsia="方正仿宋_GBK" w:cs="Times New Roman"/>
          <w:sz w:val="32"/>
          <w:szCs w:val="32"/>
        </w:rPr>
        <w:t>2</w:t>
      </w:r>
      <w:r>
        <w:rPr>
          <w:rFonts w:eastAsia="方正仿宋_GBK" w:cs="Times New Roman"/>
          <w:sz w:val="32"/>
          <w:szCs w:val="32"/>
        </w:rPr>
        <w:t>020</w:t>
      </w:r>
      <w:r>
        <w:rPr>
          <w:rFonts w:hint="eastAsia" w:ascii="方正仿宋_GBK" w:eastAsia="方正仿宋_GBK" w:cs="Times New Roman"/>
          <w:color w:val="000000"/>
          <w:sz w:val="32"/>
          <w:szCs w:val="32"/>
        </w:rPr>
        <w:t>年达到</w:t>
      </w:r>
      <w:r>
        <w:rPr>
          <w:rFonts w:hint="eastAsia" w:eastAsia="方正仿宋_GBK" w:cs="Times New Roman"/>
          <w:sz w:val="32"/>
          <w:szCs w:val="32"/>
        </w:rPr>
        <w:t>50</w:t>
      </w:r>
      <w:r>
        <w:rPr>
          <w:rFonts w:hint="eastAsia" w:ascii="方正仿宋_GBK" w:eastAsia="方正仿宋_GBK" w:cs="Times New Roman"/>
          <w:color w:val="000000"/>
          <w:sz w:val="32"/>
          <w:szCs w:val="32"/>
        </w:rPr>
        <w:t>亿元，是</w:t>
      </w:r>
      <w:r>
        <w:rPr>
          <w:rFonts w:hint="eastAsia" w:eastAsia="方正仿宋_GBK" w:cs="Times New Roman"/>
          <w:sz w:val="32"/>
          <w:szCs w:val="32"/>
        </w:rPr>
        <w:t>2015</w:t>
      </w:r>
      <w:r>
        <w:rPr>
          <w:rFonts w:hint="eastAsia" w:ascii="方正仿宋_GBK" w:eastAsia="方正仿宋_GBK" w:cs="Times New Roman"/>
          <w:color w:val="000000"/>
          <w:sz w:val="32"/>
          <w:szCs w:val="32"/>
        </w:rPr>
        <w:t>年的</w:t>
      </w:r>
      <w:r>
        <w:rPr>
          <w:rFonts w:hint="eastAsia" w:eastAsia="方正仿宋_GBK" w:cs="Times New Roman"/>
          <w:sz w:val="32"/>
          <w:szCs w:val="32"/>
        </w:rPr>
        <w:t>1.7</w:t>
      </w:r>
      <w:r>
        <w:rPr>
          <w:rFonts w:hint="eastAsia" w:ascii="方正仿宋_GBK" w:eastAsia="方正仿宋_GBK" w:cs="Times New Roman"/>
          <w:color w:val="000000"/>
          <w:sz w:val="32"/>
          <w:szCs w:val="32"/>
        </w:rPr>
        <w:t>倍。加快拓展绿色经济发展途径，积极引导、示范推动林药以及森林景观利用等新型产业发展。成功创建</w:t>
      </w:r>
      <w:r>
        <w:rPr>
          <w:rFonts w:eastAsia="方正仿宋_GBK" w:cs="Times New Roman"/>
          <w:sz w:val="32"/>
          <w:szCs w:val="32"/>
        </w:rPr>
        <w:t>6</w:t>
      </w:r>
      <w:r>
        <w:rPr>
          <w:rFonts w:hint="eastAsia" w:ascii="方正仿宋_GBK" w:eastAsia="方正仿宋_GBK" w:cs="Times New Roman"/>
          <w:color w:val="000000"/>
          <w:sz w:val="32"/>
          <w:szCs w:val="32"/>
        </w:rPr>
        <w:t>个“国家森林乡村”，</w:t>
      </w:r>
      <w:r>
        <w:rPr>
          <w:rFonts w:hint="eastAsia" w:eastAsia="方正仿宋_GBK" w:cs="Times New Roman"/>
          <w:sz w:val="32"/>
          <w:szCs w:val="32"/>
        </w:rPr>
        <w:t>3</w:t>
      </w:r>
      <w:r>
        <w:rPr>
          <w:rFonts w:eastAsia="方正仿宋_GBK" w:cs="Times New Roman"/>
          <w:sz w:val="32"/>
          <w:szCs w:val="32"/>
        </w:rPr>
        <w:t>8</w:t>
      </w:r>
      <w:r>
        <w:rPr>
          <w:rFonts w:hint="eastAsia" w:ascii="方正仿宋_GBK" w:eastAsia="方正仿宋_GBK" w:cs="Times New Roman"/>
          <w:color w:val="000000"/>
          <w:sz w:val="32"/>
          <w:szCs w:val="32"/>
        </w:rPr>
        <w:t>个“市级绿色示范村”；举办</w:t>
      </w:r>
      <w:r>
        <w:rPr>
          <w:rFonts w:hint="eastAsia" w:eastAsia="方正仿宋_GBK" w:cs="Times New Roman"/>
          <w:sz w:val="32"/>
          <w:szCs w:val="32"/>
        </w:rPr>
        <w:t>2019</w:t>
      </w:r>
      <w:r>
        <w:rPr>
          <w:rFonts w:hint="eastAsia" w:ascii="方正仿宋_GBK" w:eastAsia="方正仿宋_GBK" w:cs="Times New Roman"/>
          <w:color w:val="000000"/>
          <w:sz w:val="32"/>
          <w:szCs w:val="32"/>
        </w:rPr>
        <w:t>中国国际田园康养旅居产业发展峰会，建成三担湖康养小镇、重医一院青杠老年护养中心等生态康养基地。</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基础能力显著提升 </w:t>
      </w:r>
      <w:r>
        <w:rPr>
          <w:rFonts w:eastAsia="方正楷体_GBK" w:cs="Times New Roman"/>
          <w:b/>
          <w:bCs/>
          <w:sz w:val="32"/>
          <w:szCs w:val="20"/>
        </w:rPr>
        <w:t xml:space="preserve"> </w:t>
      </w:r>
      <w:r>
        <w:rPr>
          <w:rFonts w:hint="eastAsia" w:ascii="方正仿宋_GBK" w:eastAsia="方正仿宋_GBK" w:cs="Times New Roman"/>
          <w:color w:val="000000"/>
          <w:sz w:val="32"/>
          <w:szCs w:val="32"/>
        </w:rPr>
        <w:t>建成防火应急物资库</w:t>
      </w:r>
      <w:r>
        <w:rPr>
          <w:rFonts w:hint="eastAsia" w:eastAsia="方正仿宋_GBK" w:cs="Times New Roman"/>
          <w:sz w:val="32"/>
          <w:szCs w:val="32"/>
        </w:rPr>
        <w:t>17</w:t>
      </w:r>
      <w:r>
        <w:rPr>
          <w:rFonts w:hint="eastAsia" w:ascii="方正仿宋_GBK" w:eastAsia="方正仿宋_GBK" w:cs="Times New Roman"/>
          <w:color w:val="000000"/>
          <w:sz w:val="32"/>
          <w:szCs w:val="32"/>
        </w:rPr>
        <w:t>个，固定防火检查站、瞭望点</w:t>
      </w:r>
      <w:r>
        <w:rPr>
          <w:rFonts w:eastAsia="方正仿宋_GBK" w:cs="Times New Roman"/>
          <w:sz w:val="32"/>
          <w:szCs w:val="32"/>
        </w:rPr>
        <w:t>190</w:t>
      </w:r>
      <w:r>
        <w:rPr>
          <w:rFonts w:hint="eastAsia" w:ascii="方正仿宋_GBK" w:eastAsia="方正仿宋_GBK" w:cs="Times New Roman"/>
          <w:color w:val="000000"/>
          <w:sz w:val="32"/>
          <w:szCs w:val="32"/>
        </w:rPr>
        <w:t>个，森林防火通道</w:t>
      </w:r>
      <w:r>
        <w:rPr>
          <w:rFonts w:hint="eastAsia" w:eastAsia="方正仿宋_GBK" w:cs="Times New Roman"/>
          <w:sz w:val="32"/>
          <w:szCs w:val="32"/>
        </w:rPr>
        <w:t>2</w:t>
      </w:r>
      <w:r>
        <w:rPr>
          <w:rFonts w:eastAsia="方正仿宋_GBK" w:cs="Times New Roman"/>
          <w:sz w:val="32"/>
          <w:szCs w:val="32"/>
        </w:rPr>
        <w:t>69</w:t>
      </w:r>
      <w:r>
        <w:rPr>
          <w:rFonts w:hint="eastAsia" w:ascii="方正仿宋_GBK" w:eastAsia="方正仿宋_GBK" w:cs="Times New Roman"/>
          <w:color w:val="000000"/>
          <w:sz w:val="32"/>
          <w:szCs w:val="32"/>
        </w:rPr>
        <w:t>公里，消防蓄水池</w:t>
      </w:r>
      <w:r>
        <w:rPr>
          <w:rFonts w:eastAsia="方正仿宋_GBK" w:cs="Times New Roman"/>
          <w:sz w:val="32"/>
          <w:szCs w:val="32"/>
        </w:rPr>
        <w:t>21</w:t>
      </w:r>
      <w:r>
        <w:rPr>
          <w:rFonts w:hint="eastAsia" w:ascii="方正仿宋_GBK" w:eastAsia="方正仿宋_GBK" w:cs="Times New Roman"/>
          <w:color w:val="000000"/>
          <w:sz w:val="32"/>
          <w:szCs w:val="32"/>
        </w:rPr>
        <w:t>口。成立国有林场森林消防专业队伍，开展常态化森林火灾扑救综合演练。建设森林火险因子监测站</w:t>
      </w:r>
      <w:r>
        <w:rPr>
          <w:rFonts w:hint="eastAsia" w:eastAsia="方正仿宋_GBK" w:cs="Times New Roman"/>
          <w:sz w:val="32"/>
          <w:szCs w:val="32"/>
        </w:rPr>
        <w:t>3</w:t>
      </w:r>
      <w:r>
        <w:rPr>
          <w:rFonts w:hint="eastAsia" w:ascii="方正仿宋_GBK" w:eastAsia="方正仿宋_GBK" w:cs="Times New Roman"/>
          <w:color w:val="000000"/>
          <w:sz w:val="32"/>
          <w:szCs w:val="32"/>
        </w:rPr>
        <w:t>个、森林防火监控平台</w:t>
      </w:r>
      <w:r>
        <w:rPr>
          <w:rFonts w:hint="eastAsia" w:eastAsia="方正仿宋_GBK" w:cs="Times New Roman"/>
          <w:sz w:val="32"/>
          <w:szCs w:val="32"/>
        </w:rPr>
        <w:t>5</w:t>
      </w:r>
      <w:r>
        <w:rPr>
          <w:rFonts w:hint="eastAsia" w:ascii="方正仿宋_GBK" w:eastAsia="方正仿宋_GBK" w:cs="Times New Roman"/>
          <w:color w:val="000000"/>
          <w:sz w:val="32"/>
          <w:szCs w:val="32"/>
        </w:rPr>
        <w:t>个，购买无人机</w:t>
      </w:r>
      <w:r>
        <w:rPr>
          <w:rFonts w:hint="eastAsia" w:eastAsia="方正仿宋_GBK" w:cs="Times New Roman"/>
          <w:sz w:val="32"/>
          <w:szCs w:val="32"/>
        </w:rPr>
        <w:t>2</w:t>
      </w:r>
      <w:r>
        <w:rPr>
          <w:rFonts w:hint="eastAsia" w:ascii="方正仿宋_GBK" w:eastAsia="方正仿宋_GBK" w:cs="Times New Roman"/>
          <w:color w:val="000000"/>
          <w:sz w:val="32"/>
          <w:szCs w:val="32"/>
        </w:rPr>
        <w:t>架，森林资源调查、巡山护林、森林防火能力不断提升。在全市率先探索构建“智慧林长”体系，“智慧林场”、缙云山森林火灾治理项目顺利实施，重点林区覆盖</w:t>
      </w:r>
      <w:r>
        <w:rPr>
          <w:rFonts w:eastAsia="方正仿宋_GBK" w:cs="Times New Roman"/>
          <w:sz w:val="32"/>
          <w:szCs w:val="32"/>
        </w:rPr>
        <w:t>90</w:t>
      </w:r>
      <w:r>
        <w:rPr>
          <w:rFonts w:hint="eastAsia" w:eastAsia="方正仿宋_GBK" w:cs="Times New Roman"/>
          <w:sz w:val="32"/>
          <w:szCs w:val="32"/>
        </w:rPr>
        <w:t>%</w:t>
      </w:r>
      <w:r>
        <w:rPr>
          <w:rFonts w:hint="eastAsia" w:ascii="方正仿宋_GBK" w:eastAsia="方正仿宋_GBK" w:cs="Times New Roman"/>
          <w:color w:val="000000"/>
          <w:sz w:val="32"/>
          <w:szCs w:val="32"/>
        </w:rPr>
        <w:t>以上，初步实现森林资源智能化监管。</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林业改革不断深化 </w:t>
      </w:r>
      <w:r>
        <w:rPr>
          <w:rFonts w:eastAsia="方正楷体_GBK" w:cs="Times New Roman"/>
          <w:b/>
          <w:bCs/>
          <w:sz w:val="32"/>
          <w:szCs w:val="20"/>
        </w:rPr>
        <w:t xml:space="preserve"> </w:t>
      </w:r>
      <w:r>
        <w:rPr>
          <w:rFonts w:hint="eastAsia" w:ascii="方正仿宋_GBK" w:eastAsia="方正仿宋_GBK" w:cs="Times New Roman"/>
          <w:color w:val="000000"/>
          <w:sz w:val="32"/>
          <w:szCs w:val="32"/>
        </w:rPr>
        <w:t>完成全区林业机构改革，职能职责进一步明确，组建自然保护地服务中心、林业综合行政执法支队。明确东风林场公益属性、经费性质和人员编制，完成国有林场改革，获得“全国十佳林场”称号。推动林权制度改革，鼓励各种经营主体依法依规参与流转林权，累计流转林地</w:t>
      </w:r>
      <w:r>
        <w:rPr>
          <w:rFonts w:hint="eastAsia" w:eastAsia="方正仿宋_GBK" w:cs="Times New Roman"/>
          <w:sz w:val="32"/>
          <w:szCs w:val="32"/>
        </w:rPr>
        <w:t>2.44</w:t>
      </w:r>
      <w:r>
        <w:rPr>
          <w:rFonts w:hint="eastAsia" w:ascii="方正仿宋_GBK" w:eastAsia="方正仿宋_GBK" w:cs="Times New Roman"/>
          <w:color w:val="000000"/>
          <w:sz w:val="32"/>
          <w:szCs w:val="32"/>
        </w:rPr>
        <w:t>万亩。开展林长制试点工作，全面建立区、镇（街道）、村（社区）“三级林长+三级山林警长+山林检察长和网格护林员”责任体系，设立各级林长</w:t>
      </w:r>
      <w:r>
        <w:rPr>
          <w:rFonts w:hint="eastAsia" w:eastAsia="方正仿宋_GBK" w:cs="Times New Roman"/>
          <w:sz w:val="32"/>
          <w:szCs w:val="32"/>
        </w:rPr>
        <w:t>385</w:t>
      </w:r>
      <w:r>
        <w:rPr>
          <w:rFonts w:hint="eastAsia" w:ascii="方正仿宋_GBK" w:eastAsia="方正仿宋_GBK" w:cs="Times New Roman"/>
          <w:color w:val="000000"/>
          <w:sz w:val="32"/>
          <w:szCs w:val="32"/>
        </w:rPr>
        <w:t>名，累计开展巡林</w:t>
      </w:r>
      <w:r>
        <w:rPr>
          <w:rFonts w:hint="eastAsia" w:eastAsia="方正仿宋_GBK" w:cs="Times New Roman"/>
          <w:sz w:val="32"/>
          <w:szCs w:val="32"/>
        </w:rPr>
        <w:t>1.52</w:t>
      </w:r>
      <w:r>
        <w:rPr>
          <w:rFonts w:hint="eastAsia" w:ascii="方正仿宋_GBK" w:eastAsia="方正仿宋_GBK" w:cs="Times New Roman"/>
          <w:color w:val="000000"/>
          <w:sz w:val="32"/>
          <w:szCs w:val="32"/>
        </w:rPr>
        <w:t>万人次，实现全区林长制管理责任全覆盖。</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3" w:name="_Toc93615531"/>
      <w:r>
        <w:rPr>
          <w:rFonts w:hint="eastAsia" w:ascii="方正黑体_GBK" w:hAnsi="Times New Roman" w:eastAsia="方正黑体_GBK" w:cs="Times New Roman"/>
          <w:b w:val="0"/>
          <w:szCs w:val="36"/>
        </w:rPr>
        <w:t>第二节  存在问题</w:t>
      </w:r>
      <w:bookmarkEnd w:id="3"/>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生态保护压力大 </w:t>
      </w:r>
      <w:r>
        <w:rPr>
          <w:rFonts w:eastAsia="方正楷体_GBK" w:cs="Times New Roman"/>
          <w:b/>
          <w:bCs/>
          <w:sz w:val="32"/>
          <w:szCs w:val="20"/>
        </w:rPr>
        <w:t xml:space="preserve"> </w:t>
      </w:r>
      <w:r>
        <w:rPr>
          <w:rFonts w:hint="eastAsia" w:ascii="方正仿宋_GBK" w:eastAsia="方正仿宋_GBK" w:cs="Times New Roman"/>
          <w:color w:val="000000"/>
          <w:sz w:val="32"/>
          <w:szCs w:val="32"/>
        </w:rPr>
        <w:t>“十四五”时期是我区加快“同城化”进程，融入重庆中心城区，打造重庆主城都市区“迎客厅”的关键期、攻坚期，随着重庆主城向西扩容，项目开发、经济建设等用地量逐年增加，工业园区、城市建设、机场、道路、电力、水利等建设项目用地将在短期内保持较大的需求，均</w:t>
      </w:r>
      <w:r>
        <w:rPr>
          <w:rFonts w:hint="eastAsia" w:ascii="方正仿宋_GBK" w:eastAsia="方正仿宋_GBK" w:cs="Times New Roman"/>
          <w:color w:val="000000"/>
          <w:sz w:val="32"/>
          <w:szCs w:val="32"/>
          <w:lang w:eastAsia="zh-CN"/>
        </w:rPr>
        <w:t>涉及</w:t>
      </w:r>
      <w:r>
        <w:rPr>
          <w:rFonts w:hint="eastAsia" w:ascii="方正仿宋_GBK" w:eastAsia="方正仿宋_GBK" w:cs="Times New Roman"/>
          <w:color w:val="000000"/>
          <w:sz w:val="32"/>
          <w:szCs w:val="32"/>
        </w:rPr>
        <w:t>林地的使用，资源保护与经济发展之间的矛盾日益突出，林地保护压力增大。重点区域火灾隐患排查不彻底，林火阻隔系统未建成，基础设施仍有欠账，全民防火意识不强，森林防火压力大。松材线虫病、松毛虫等林业有害生物长期危害，特别是松材线虫病仍是世界上最具有危险性的森林病害，且致病力强、扩散蔓延迅速、防治极为困难，防控形势仍然严峻。</w:t>
      </w:r>
      <w:r>
        <w:rPr>
          <w:rFonts w:ascii="方正仿宋_GBK" w:eastAsia="方正仿宋_GBK" w:cs="Times New Roman"/>
          <w:color w:val="000000"/>
          <w:sz w:val="32"/>
          <w:szCs w:val="32"/>
        </w:rPr>
        <w:t xml:space="preserve"> </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森林质量有待提高 </w:t>
      </w:r>
      <w:r>
        <w:rPr>
          <w:rFonts w:eastAsia="方正楷体_GBK" w:cs="Times New Roman"/>
          <w:b/>
          <w:bCs/>
          <w:sz w:val="32"/>
          <w:szCs w:val="20"/>
        </w:rPr>
        <w:t xml:space="preserve"> </w:t>
      </w:r>
      <w:r>
        <w:rPr>
          <w:rFonts w:hint="eastAsia" w:ascii="方正仿宋_GBK" w:eastAsia="方正仿宋_GBK" w:cs="Times New Roman"/>
          <w:color w:val="000000"/>
          <w:sz w:val="32"/>
          <w:szCs w:val="32"/>
        </w:rPr>
        <w:t>全区林地结构不合理，森林资源质量总体不高，呈现出中幼林多成熟林少，针叶林多阔叶林少，纯林多混交林少，低效林多优质林少，单位面积蓄积量低的特点，严重制约林业综合效益的发挥。森林质量提质增效已成为当前林业发展之要。</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林业产业转型升级缓慢 </w:t>
      </w:r>
      <w:r>
        <w:rPr>
          <w:rFonts w:eastAsia="方正楷体_GBK" w:cs="Times New Roman"/>
          <w:b/>
          <w:bCs/>
          <w:sz w:val="32"/>
          <w:szCs w:val="20"/>
        </w:rPr>
        <w:t xml:space="preserve"> </w:t>
      </w:r>
      <w:r>
        <w:rPr>
          <w:rFonts w:hint="eastAsia" w:ascii="方正仿宋_GBK" w:eastAsia="方正仿宋_GBK" w:cs="Times New Roman"/>
          <w:color w:val="000000"/>
          <w:sz w:val="32"/>
          <w:szCs w:val="32"/>
        </w:rPr>
        <w:t>林业产业虽然得到了较快的发展，但由于集约化经营程度不高，基础设施建设薄弱，现代化经营管理水平较低，林地产出率和经济效益不高。林业产业“大资源、小产业、低效益”的状况未改变，以樱桃、蜜柚、血橙、茶叶、花椒为主的经济林和苗木花卉等重点产业发展水平较低，抗风险能力较弱。龙头企业和新型经营主体数量少、规模小。林业产品品牌效应尚未形成，一、二、三产融合不够，产业链不长，附加值不高，产业转型升级任务艰巨。</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“两山”发展路径有待拓宽 </w:t>
      </w:r>
      <w:r>
        <w:rPr>
          <w:rFonts w:eastAsia="方正楷体_GBK" w:cs="Times New Roman"/>
          <w:b/>
          <w:bCs/>
          <w:sz w:val="32"/>
          <w:szCs w:val="20"/>
        </w:rPr>
        <w:t xml:space="preserve"> </w:t>
      </w:r>
      <w:r>
        <w:rPr>
          <w:rFonts w:hint="eastAsia" w:ascii="方正仿宋_GBK" w:eastAsia="方正仿宋_GBK" w:cs="Times New Roman"/>
          <w:color w:val="000000"/>
          <w:sz w:val="32"/>
          <w:szCs w:val="32"/>
        </w:rPr>
        <w:t>以缙云山、云雾山构成的</w:t>
      </w:r>
      <w:bookmarkStart w:id="54" w:name="_GoBack"/>
      <w:bookmarkEnd w:id="54"/>
      <w:r>
        <w:rPr>
          <w:rFonts w:hint="eastAsia" w:ascii="方正仿宋_GBK" w:eastAsia="方正仿宋_GBK" w:cs="Times New Roman"/>
          <w:color w:val="000000"/>
          <w:sz w:val="32"/>
          <w:szCs w:val="32"/>
        </w:rPr>
        <w:t>生态连绵空间，占国土面积</w:t>
      </w:r>
      <w:r>
        <w:rPr>
          <w:rFonts w:eastAsia="方正仿宋_GBK" w:cs="Times New Roman"/>
          <w:sz w:val="32"/>
          <w:szCs w:val="32"/>
        </w:rPr>
        <w:t>22</w:t>
      </w:r>
      <w:r>
        <w:rPr>
          <w:rFonts w:hint="eastAsia" w:eastAsia="方正仿宋_GBK" w:cs="Times New Roman"/>
          <w:sz w:val="32"/>
          <w:szCs w:val="32"/>
        </w:rPr>
        <w:t>%</w:t>
      </w:r>
      <w:r>
        <w:rPr>
          <w:rFonts w:hint="eastAsia" w:ascii="方正仿宋_GBK" w:eastAsia="方正仿宋_GBK" w:cs="Times New Roman"/>
          <w:color w:val="000000"/>
          <w:sz w:val="32"/>
          <w:szCs w:val="32"/>
        </w:rPr>
        <w:t>，林地面积</w:t>
      </w:r>
      <w:r>
        <w:rPr>
          <w:rFonts w:eastAsia="方正仿宋_GBK" w:cs="Times New Roman"/>
          <w:sz w:val="32"/>
          <w:szCs w:val="32"/>
        </w:rPr>
        <w:t>51.5</w:t>
      </w:r>
      <w:r>
        <w:rPr>
          <w:rFonts w:hint="eastAsia" w:eastAsia="方正仿宋_GBK" w:cs="Times New Roman"/>
          <w:sz w:val="32"/>
          <w:szCs w:val="32"/>
        </w:rPr>
        <w:t>%</w:t>
      </w:r>
      <w:r>
        <w:rPr>
          <w:rFonts w:hint="eastAsia" w:ascii="方正仿宋_GBK" w:eastAsia="方正仿宋_GBK" w:cs="Times New Roman"/>
          <w:color w:val="000000"/>
          <w:sz w:val="32"/>
          <w:szCs w:val="32"/>
        </w:rPr>
        <w:t>，森林资源、生物多样性丰富，全区自然保护地均处“两山”，生态区位重要，是我区重要生态安全屏障，是重庆山清水秀生态空间重要组成，发挥生态廊道作用。“两山”优良的生态优势尚未完全转化为发展优势，森林景观利用不够，生态惠民富民潜力挖掘不够，森林生态系统服务功能价值利用不够，生态产品价值实现机制未形成，“绿水青山就是金山银山”发展路径有待拓宽。</w:t>
      </w:r>
    </w:p>
    <w:p>
      <w:pPr>
        <w:spacing w:line="360" w:lineRule="auto"/>
        <w:ind w:firstLine="640"/>
        <w:rPr>
          <w:rFonts w:ascii="宋体" w:hAnsi="宋体"/>
          <w:color w:val="000000" w:themeColor="text1"/>
          <w14:textFill>
            <w14:solidFill>
              <w14:schemeClr w14:val="tx1"/>
            </w14:solidFill>
          </w14:textFill>
        </w:rPr>
      </w:pPr>
      <w:r>
        <w:rPr>
          <w:rFonts w:hint="eastAsia" w:eastAsia="方正楷体_GBK" w:cs="Times New Roman"/>
          <w:b/>
          <w:bCs/>
          <w:sz w:val="32"/>
          <w:szCs w:val="20"/>
        </w:rPr>
        <w:t xml:space="preserve">林政管理方式滞后 </w:t>
      </w:r>
      <w:r>
        <w:rPr>
          <w:rFonts w:eastAsia="方正楷体_GBK" w:cs="Times New Roman"/>
          <w:b/>
          <w:bCs/>
          <w:sz w:val="32"/>
          <w:szCs w:val="20"/>
        </w:rPr>
        <w:t xml:space="preserve"> </w:t>
      </w:r>
      <w:r>
        <w:rPr>
          <w:rFonts w:hint="eastAsia" w:ascii="方正仿宋_GBK" w:eastAsia="方正仿宋_GBK" w:cs="Times New Roman"/>
          <w:color w:val="000000"/>
          <w:sz w:val="32"/>
          <w:szCs w:val="32"/>
        </w:rPr>
        <w:t>面对新形势、新任务，传统的林业资源保护管理方式已无法满足自然资源管理要求。机构改革后，防灭职能分离，行业监管任务日益繁重。森林资源管理、自然保护地管理、森林防火预警监测、林业有害生物防治等监管平台尚未互联互通，管理效率不高。部门监管手段少、科技含量低、时效性差，事前、事中、事后监管能力欠缺。“天空地”一体化监管应用滞后，新科技应用跟踪不足。</w:t>
      </w:r>
      <w:r>
        <w:rPr>
          <w:rFonts w:ascii="宋体" w:hAnsi="宋体"/>
          <w:color w:val="000000" w:themeColor="text1"/>
          <w14:textFill>
            <w14:solidFill>
              <w14:schemeClr w14:val="tx1"/>
            </w14:solidFill>
          </w14:textFill>
        </w:rPr>
        <w:br w:type="page"/>
      </w:r>
    </w:p>
    <w:p>
      <w:pPr>
        <w:pStyle w:val="2"/>
        <w:spacing w:before="0" w:beforeLines="0" w:after="312" w:line="360" w:lineRule="auto"/>
        <w:rPr>
          <w:rFonts w:ascii="方正小标宋_GBK" w:eastAsia="方正小标宋_GBK" w:hAnsiTheme="minorHAnsi"/>
          <w:b w:val="0"/>
          <w:szCs w:val="28"/>
        </w:rPr>
      </w:pPr>
      <w:bookmarkStart w:id="4" w:name="_Toc93615532"/>
      <w:r>
        <w:rPr>
          <w:rFonts w:hint="eastAsia" w:ascii="方正小标宋_GBK" w:eastAsia="方正小标宋_GBK" w:hAnsiTheme="minorHAnsi"/>
          <w:b w:val="0"/>
          <w:szCs w:val="28"/>
        </w:rPr>
        <w:t xml:space="preserve">第二章 </w:t>
      </w:r>
      <w:r>
        <w:rPr>
          <w:rFonts w:ascii="方正小标宋_GBK" w:eastAsia="方正小标宋_GBK" w:hAnsiTheme="minorHAnsi"/>
          <w:b w:val="0"/>
          <w:szCs w:val="28"/>
        </w:rPr>
        <w:t xml:space="preserve"> </w:t>
      </w:r>
      <w:r>
        <w:rPr>
          <w:rFonts w:hint="eastAsia" w:ascii="方正小标宋_GBK" w:eastAsia="方正小标宋_GBK" w:hAnsiTheme="minorHAnsi"/>
          <w:b w:val="0"/>
          <w:szCs w:val="28"/>
        </w:rPr>
        <w:t>发展思路</w:t>
      </w:r>
      <w:bookmarkEnd w:id="4"/>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5" w:name="_Toc93615533"/>
      <w:r>
        <w:rPr>
          <w:rFonts w:hint="eastAsia" w:ascii="方正黑体_GBK" w:hAnsi="Times New Roman" w:eastAsia="方正黑体_GBK" w:cs="Times New Roman"/>
          <w:b w:val="0"/>
          <w:szCs w:val="36"/>
        </w:rPr>
        <w:t>第一节 指导思想</w:t>
      </w:r>
      <w:bookmarkEnd w:id="5"/>
    </w:p>
    <w:p>
      <w:pPr>
        <w:spacing w:line="240" w:lineRule="auto"/>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以习近平新时代中国特色社会主义思想为指导，认真践行“两山”理论，坚持“山水林田湖草生命共同体”理念，深入贯彻党的十九大和十九届二中、三中、四中、五中、六中全会精神，全面落实习近平总书记对重庆提出的营造良好政治生态，坚持“两点”定位、“两地”“两高”目标，发挥“三个作用”和推动成渝地区双城经济圈建设等重要指示要求，以推动林业高质量发展为主线，以全面落实林长制为抓手，以深化林业改革创新为动力，协调推进生态保护、经济社会发展和民生改善，突出抓好生态保护、修复、发展、治理、保障建设，发展绿色经济，筑牢生态安全屏障，为加快与中心城区同城化发展，建设高质量发展示范区、打造高品质生活样板区做出林业贡献。</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6" w:name="_Toc93615534"/>
      <w:r>
        <w:rPr>
          <w:rFonts w:hint="eastAsia" w:ascii="方正黑体_GBK" w:hAnsi="Times New Roman" w:eastAsia="方正黑体_GBK" w:cs="Times New Roman"/>
          <w:b w:val="0"/>
          <w:szCs w:val="36"/>
        </w:rPr>
        <w:t>第二节 规划原则</w:t>
      </w:r>
      <w:bookmarkEnd w:id="6"/>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坚持生态优先、绿色发展 </w:t>
      </w:r>
      <w:r>
        <w:rPr>
          <w:rFonts w:eastAsia="方正楷体_GBK" w:cs="Times New Roman"/>
          <w:b/>
          <w:bCs/>
          <w:sz w:val="32"/>
          <w:szCs w:val="20"/>
        </w:rPr>
        <w:t xml:space="preserve"> </w:t>
      </w:r>
      <w:r>
        <w:rPr>
          <w:rFonts w:hint="eastAsia" w:ascii="方正仿宋_GBK" w:eastAsia="方正仿宋_GBK" w:cs="Times New Roman"/>
          <w:color w:val="000000"/>
          <w:sz w:val="32"/>
          <w:szCs w:val="32"/>
        </w:rPr>
        <w:t>立足自然保护和生态优先，践行绿水青山就是金山银山理念，统筹兼顾生态、经济与社会效益，推动林业产业转型升级，促进林农增收，服务乡村振兴。</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坚持保护自然、保障民生 </w:t>
      </w:r>
      <w:r>
        <w:rPr>
          <w:rFonts w:eastAsia="方正楷体_GBK" w:cs="Times New Roman"/>
          <w:b/>
          <w:bCs/>
          <w:sz w:val="32"/>
          <w:szCs w:val="20"/>
        </w:rPr>
        <w:t xml:space="preserve"> </w:t>
      </w:r>
      <w:r>
        <w:rPr>
          <w:rFonts w:hint="eastAsia" w:ascii="方正仿宋_GBK" w:eastAsia="方正仿宋_GBK" w:cs="Times New Roman"/>
          <w:color w:val="000000"/>
          <w:sz w:val="32"/>
          <w:szCs w:val="32"/>
        </w:rPr>
        <w:t>将以人民为中心作为林业发展的根本出发点和落脚点，把保障民生作为林业发展的重要任务，着力解决人民群众最关心、最直接、最现实的林业问题，创造丰富的生态产品，实现生态惠民。</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坚持统筹兼顾、突出重点 </w:t>
      </w:r>
      <w:r>
        <w:rPr>
          <w:rFonts w:eastAsia="方正楷体_GBK" w:cs="Times New Roman"/>
          <w:b/>
          <w:bCs/>
          <w:sz w:val="32"/>
          <w:szCs w:val="20"/>
        </w:rPr>
        <w:t xml:space="preserve"> </w:t>
      </w:r>
      <w:r>
        <w:rPr>
          <w:rFonts w:hint="eastAsia" w:ascii="方正仿宋_GBK" w:eastAsia="方正仿宋_GBK" w:cs="Times New Roman"/>
          <w:color w:val="000000"/>
          <w:sz w:val="32"/>
          <w:szCs w:val="32"/>
        </w:rPr>
        <w:t>坚持科学保护，统筹安排、长远谋划，又立足当前、实事求是，全面摸清林业发展的现实情况与突出问题，主动衔接相关规划，突出重点，集中力量攻坚重点难点问题，全力推动我区林业现代化建设和高质量发展。</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坚持科学治理、分区施策 </w:t>
      </w:r>
      <w:r>
        <w:rPr>
          <w:rFonts w:eastAsia="方正楷体_GBK" w:cs="Times New Roman"/>
          <w:b/>
          <w:bCs/>
          <w:sz w:val="32"/>
          <w:szCs w:val="20"/>
        </w:rPr>
        <w:t xml:space="preserve"> </w:t>
      </w:r>
      <w:r>
        <w:rPr>
          <w:rFonts w:hint="eastAsia" w:ascii="方正仿宋_GBK" w:eastAsia="方正仿宋_GBK" w:cs="Times New Roman"/>
          <w:color w:val="000000"/>
          <w:sz w:val="32"/>
          <w:szCs w:val="32"/>
        </w:rPr>
        <w:t>坚持山水林田湖草生命共同体理念，遵循生态系统内在机理，立足不同区域的特点、优势和功能定位，分区施策，共建生态网络。</w:t>
      </w:r>
    </w:p>
    <w:p>
      <w:pPr>
        <w:spacing w:line="360" w:lineRule="auto"/>
        <w:ind w:firstLine="640"/>
        <w:rPr>
          <w:rFonts w:ascii="宋体" w:hAnsi="宋体"/>
          <w:color w:val="000000" w:themeColor="text1"/>
          <w14:textFill>
            <w14:solidFill>
              <w14:schemeClr w14:val="tx1"/>
            </w14:solidFill>
          </w14:textFill>
        </w:rPr>
      </w:pPr>
      <w:r>
        <w:rPr>
          <w:rFonts w:hint="eastAsia" w:eastAsia="方正楷体_GBK" w:cs="Times New Roman"/>
          <w:b/>
          <w:bCs/>
          <w:sz w:val="32"/>
          <w:szCs w:val="20"/>
        </w:rPr>
        <w:t xml:space="preserve">坚持深化改革、创新发展 </w:t>
      </w:r>
      <w:r>
        <w:rPr>
          <w:rFonts w:eastAsia="方正楷体_GBK" w:cs="Times New Roman"/>
          <w:b/>
          <w:bCs/>
          <w:sz w:val="32"/>
          <w:szCs w:val="20"/>
        </w:rPr>
        <w:t xml:space="preserve"> </w:t>
      </w:r>
      <w:r>
        <w:rPr>
          <w:rFonts w:hint="eastAsia" w:ascii="方正仿宋_GBK" w:eastAsia="方正仿宋_GBK" w:cs="Times New Roman"/>
          <w:color w:val="000000"/>
          <w:sz w:val="32"/>
          <w:szCs w:val="32"/>
        </w:rPr>
        <w:t>坚持把改革创新作为林业发展的根本动力，巩固扩大改革成果，激发创新活力，推动改革在新发展阶段打开新局面。</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7" w:name="_Toc93615535"/>
      <w:r>
        <w:rPr>
          <w:rFonts w:hint="eastAsia" w:ascii="方正黑体_GBK" w:hAnsi="Times New Roman" w:eastAsia="方正黑体_GBK" w:cs="Times New Roman"/>
          <w:b w:val="0"/>
          <w:szCs w:val="36"/>
        </w:rPr>
        <w:t>第三节 主要目标</w:t>
      </w:r>
      <w:bookmarkEnd w:id="7"/>
    </w:p>
    <w:p>
      <w:pPr>
        <w:spacing w:line="360" w:lineRule="auto"/>
        <w:ind w:firstLine="640"/>
        <w:rPr>
          <w:rFonts w:ascii="方正仿宋_GBK" w:eastAsia="方正仿宋_GBK" w:cs="Times New Roman"/>
          <w:color w:val="000000"/>
          <w:sz w:val="32"/>
          <w:szCs w:val="32"/>
        </w:rPr>
      </w:pPr>
      <w:bookmarkStart w:id="8" w:name="_Hlk86084993"/>
      <w:r>
        <w:rPr>
          <w:rFonts w:hint="eastAsia" w:ascii="方正仿宋_GBK" w:eastAsia="方正仿宋_GBK" w:cs="Times New Roman"/>
          <w:color w:val="000000"/>
          <w:sz w:val="32"/>
          <w:szCs w:val="32"/>
        </w:rPr>
        <w:t>到</w:t>
      </w:r>
      <w:r>
        <w:rPr>
          <w:rFonts w:hint="eastAsia" w:eastAsia="方正仿宋_GBK" w:cs="Times New Roman"/>
          <w:sz w:val="32"/>
          <w:szCs w:val="32"/>
        </w:rPr>
        <w:t>2025</w:t>
      </w:r>
      <w:r>
        <w:rPr>
          <w:rFonts w:hint="eastAsia" w:ascii="方正仿宋_GBK" w:eastAsia="方正仿宋_GBK" w:cs="Times New Roman"/>
          <w:color w:val="000000"/>
          <w:sz w:val="32"/>
          <w:szCs w:val="32"/>
        </w:rPr>
        <w:t>年，全区森林覆盖率达到</w:t>
      </w:r>
      <w:r>
        <w:rPr>
          <w:rFonts w:hint="eastAsia" w:eastAsia="方正仿宋_GBK" w:cs="Times New Roman"/>
          <w:sz w:val="32"/>
          <w:szCs w:val="32"/>
        </w:rPr>
        <w:t>5</w:t>
      </w:r>
      <w:r>
        <w:rPr>
          <w:rFonts w:eastAsia="方正仿宋_GBK" w:cs="Times New Roman"/>
          <w:sz w:val="32"/>
          <w:szCs w:val="32"/>
        </w:rPr>
        <w:t>5</w:t>
      </w:r>
      <w:r>
        <w:rPr>
          <w:rFonts w:hint="eastAsia" w:eastAsia="方正仿宋_GBK" w:cs="Times New Roman"/>
          <w:sz w:val="32"/>
          <w:szCs w:val="32"/>
        </w:rPr>
        <w:t>%</w:t>
      </w:r>
      <w:r>
        <w:rPr>
          <w:rFonts w:hint="eastAsia" w:ascii="方正仿宋_GBK" w:eastAsia="方正仿宋_GBK" w:cs="Times New Roman"/>
          <w:color w:val="000000"/>
          <w:sz w:val="32"/>
          <w:szCs w:val="32"/>
        </w:rPr>
        <w:t>（含横向生态补偿购买森林覆盖率指标，下同），生态屏障更加牢固，绿色经济蓬勃发展，支撑保障能力显著提升，林业改革创新持续深化，生态文化产品更加丰富。</w:t>
      </w:r>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b/>
          <w:bCs/>
          <w:color w:val="000000"/>
          <w:sz w:val="32"/>
          <w:szCs w:val="32"/>
        </w:rPr>
        <w:t>——生态屏障更加牢固。</w:t>
      </w:r>
      <w:r>
        <w:rPr>
          <w:rFonts w:hint="eastAsia" w:ascii="方正仿宋_GBK" w:eastAsia="方正仿宋_GBK" w:cs="Times New Roman"/>
          <w:color w:val="000000"/>
          <w:sz w:val="32"/>
          <w:szCs w:val="32"/>
        </w:rPr>
        <w:t>森林与林地、湿地、野生动植物等资源得到全面保护，生态系统更加稳定、结构更加合理、功能更加完备。重点</w:t>
      </w:r>
      <w:r>
        <w:rPr>
          <w:rFonts w:ascii="方正仿宋_GBK" w:eastAsia="方正仿宋_GBK" w:cs="Times New Roman"/>
          <w:color w:val="000000"/>
          <w:sz w:val="32"/>
          <w:szCs w:val="32"/>
        </w:rPr>
        <w:t>加强缙云山、云雾山等重要生态保护片区森林资源</w:t>
      </w:r>
      <w:r>
        <w:rPr>
          <w:rFonts w:hint="eastAsia" w:ascii="方正仿宋_GBK" w:eastAsia="方正仿宋_GBK" w:cs="Times New Roman"/>
          <w:color w:val="000000"/>
          <w:sz w:val="32"/>
          <w:szCs w:val="32"/>
        </w:rPr>
        <w:t xml:space="preserve">生态保护、建设、修复，推进自然保护地体系建设，强化森林资源灾害防控。到 </w:t>
      </w:r>
      <w:r>
        <w:rPr>
          <w:rFonts w:hint="eastAsia" w:eastAsia="方正仿宋_GBK" w:cs="Times New Roman"/>
          <w:sz w:val="32"/>
          <w:szCs w:val="32"/>
        </w:rPr>
        <w:t>2025</w:t>
      </w:r>
      <w:r>
        <w:rPr>
          <w:rFonts w:hint="eastAsia" w:ascii="方正仿宋_GBK" w:eastAsia="方正仿宋_GBK" w:cs="Times New Roman"/>
          <w:color w:val="000000"/>
          <w:sz w:val="32"/>
          <w:szCs w:val="32"/>
        </w:rPr>
        <w:t>年，全区森林覆盖率达到</w:t>
      </w:r>
      <w:r>
        <w:rPr>
          <w:rFonts w:eastAsia="方正仿宋_GBK" w:cs="Times New Roman"/>
          <w:sz w:val="32"/>
          <w:szCs w:val="32"/>
        </w:rPr>
        <w:t>55</w:t>
      </w:r>
      <w:r>
        <w:rPr>
          <w:rFonts w:hint="eastAsia" w:eastAsia="方正仿宋_GBK" w:cs="Times New Roman"/>
          <w:sz w:val="32"/>
          <w:szCs w:val="32"/>
        </w:rPr>
        <w:t>%</w:t>
      </w:r>
      <w:r>
        <w:rPr>
          <w:rFonts w:hint="eastAsia" w:ascii="方正仿宋_GBK" w:eastAsia="方正仿宋_GBK" w:cs="Times New Roman"/>
          <w:color w:val="000000"/>
          <w:sz w:val="32"/>
          <w:szCs w:val="32"/>
        </w:rPr>
        <w:t>以上，森林蓄积量达到</w:t>
      </w:r>
      <w:r>
        <w:rPr>
          <w:rFonts w:eastAsia="方正仿宋_GBK" w:cs="Times New Roman"/>
          <w:sz w:val="32"/>
          <w:szCs w:val="32"/>
        </w:rPr>
        <w:t>44.7</w:t>
      </w:r>
      <w:r>
        <w:rPr>
          <w:rFonts w:hint="eastAsia" w:ascii="方正仿宋_GBK" w:eastAsia="方正仿宋_GBK" w:cs="Times New Roman"/>
          <w:color w:val="000000"/>
          <w:sz w:val="32"/>
          <w:szCs w:val="32"/>
        </w:rPr>
        <w:t>万立方米以上，林业有害生物成灾率控制在</w:t>
      </w:r>
      <w:r>
        <w:rPr>
          <w:rFonts w:eastAsia="方正仿宋_GBK" w:cs="Times New Roman"/>
          <w:sz w:val="32"/>
          <w:szCs w:val="32"/>
        </w:rPr>
        <w:t>2</w:t>
      </w:r>
      <w:r>
        <w:rPr>
          <w:rFonts w:hint="eastAsia" w:eastAsia="方正仿宋_GBK" w:cs="Times New Roman"/>
          <w:sz w:val="32"/>
          <w:szCs w:val="32"/>
        </w:rPr>
        <w:t>‰</w:t>
      </w:r>
      <w:r>
        <w:rPr>
          <w:rFonts w:hint="eastAsia" w:ascii="方正仿宋_GBK" w:eastAsia="方正仿宋_GBK" w:cs="Times New Roman"/>
          <w:color w:val="000000"/>
          <w:sz w:val="32"/>
          <w:szCs w:val="32"/>
        </w:rPr>
        <w:t>以下，森林火灾受害率控制在</w:t>
      </w:r>
      <w:r>
        <w:rPr>
          <w:rFonts w:hint="eastAsia" w:eastAsia="方正仿宋_GBK" w:cs="Times New Roman"/>
          <w:sz w:val="32"/>
          <w:szCs w:val="32"/>
        </w:rPr>
        <w:t>0.</w:t>
      </w:r>
      <w:r>
        <w:rPr>
          <w:rFonts w:eastAsia="方正仿宋_GBK" w:cs="Times New Roman"/>
          <w:sz w:val="32"/>
          <w:szCs w:val="32"/>
        </w:rPr>
        <w:t>1</w:t>
      </w:r>
      <w:r>
        <w:rPr>
          <w:rFonts w:hint="eastAsia" w:eastAsia="方正仿宋_GBK" w:cs="Times New Roman"/>
          <w:sz w:val="32"/>
          <w:szCs w:val="32"/>
        </w:rPr>
        <w:t>‰</w:t>
      </w:r>
      <w:r>
        <w:rPr>
          <w:rFonts w:hint="eastAsia" w:ascii="方正仿宋_GBK" w:eastAsia="方正仿宋_GBK" w:cs="Times New Roman"/>
          <w:color w:val="000000"/>
          <w:sz w:val="32"/>
          <w:szCs w:val="32"/>
        </w:rPr>
        <w:t>以下，自然保护地面积占国土面积比例达到</w:t>
      </w:r>
      <w:r>
        <w:rPr>
          <w:rFonts w:eastAsia="方正仿宋_GBK" w:cs="Times New Roman"/>
          <w:sz w:val="32"/>
          <w:szCs w:val="32"/>
        </w:rPr>
        <w:t>13</w:t>
      </w:r>
      <w:r>
        <w:rPr>
          <w:rFonts w:hint="eastAsia" w:eastAsia="方正仿宋_GBK" w:cs="Times New Roman"/>
          <w:sz w:val="32"/>
          <w:szCs w:val="32"/>
        </w:rPr>
        <w:t>%</w:t>
      </w:r>
      <w:r>
        <w:rPr>
          <w:rFonts w:hint="eastAsia" w:ascii="方正仿宋_GBK" w:eastAsia="方正仿宋_GBK" w:cs="Times New Roman"/>
          <w:color w:val="000000"/>
          <w:sz w:val="32"/>
          <w:szCs w:val="32"/>
        </w:rPr>
        <w:t>以上。</w:t>
      </w:r>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b/>
          <w:bCs/>
          <w:color w:val="000000"/>
          <w:sz w:val="32"/>
          <w:szCs w:val="32"/>
        </w:rPr>
        <w:t>——绿色经济蓬勃发展。</w:t>
      </w:r>
      <w:r>
        <w:rPr>
          <w:rFonts w:ascii="方正仿宋_GBK" w:eastAsia="方正仿宋_GBK" w:cs="Times New Roman"/>
          <w:color w:val="000000"/>
          <w:sz w:val="32"/>
          <w:szCs w:val="32"/>
        </w:rPr>
        <w:t>优化林业产业布局，</w:t>
      </w:r>
      <w:r>
        <w:rPr>
          <w:rFonts w:hint="eastAsia" w:ascii="方正仿宋_GBK" w:eastAsia="方正仿宋_GBK" w:cs="Times New Roman"/>
          <w:color w:val="000000"/>
          <w:sz w:val="32"/>
          <w:szCs w:val="32"/>
        </w:rPr>
        <w:t>发展</w:t>
      </w:r>
      <w:r>
        <w:rPr>
          <w:rFonts w:ascii="方正仿宋_GBK" w:eastAsia="方正仿宋_GBK" w:cs="Times New Roman"/>
          <w:color w:val="000000"/>
          <w:sz w:val="32"/>
          <w:szCs w:val="32"/>
        </w:rPr>
        <w:t>壮大林业产业规模，培育林业新</w:t>
      </w:r>
      <w:r>
        <w:rPr>
          <w:rFonts w:hint="eastAsia" w:ascii="方正仿宋_GBK" w:eastAsia="方正仿宋_GBK" w:cs="Times New Roman"/>
          <w:color w:val="000000"/>
          <w:sz w:val="32"/>
          <w:szCs w:val="32"/>
        </w:rPr>
        <w:t>型</w:t>
      </w:r>
      <w:r>
        <w:rPr>
          <w:rFonts w:ascii="方正仿宋_GBK" w:eastAsia="方正仿宋_GBK" w:cs="Times New Roman"/>
          <w:color w:val="000000"/>
          <w:sz w:val="32"/>
          <w:szCs w:val="32"/>
        </w:rPr>
        <w:t>产业发展</w:t>
      </w:r>
      <w:r>
        <w:rPr>
          <w:rFonts w:hint="eastAsia" w:ascii="方正仿宋_GBK" w:eastAsia="方正仿宋_GBK" w:cs="Times New Roman"/>
          <w:color w:val="000000"/>
          <w:sz w:val="32"/>
          <w:szCs w:val="32"/>
        </w:rPr>
        <w:t xml:space="preserve">。到 </w:t>
      </w:r>
      <w:r>
        <w:rPr>
          <w:rFonts w:hint="eastAsia" w:eastAsia="方正仿宋_GBK" w:cs="Times New Roman"/>
          <w:sz w:val="32"/>
          <w:szCs w:val="32"/>
        </w:rPr>
        <w:t>2025</w:t>
      </w:r>
      <w:r>
        <w:rPr>
          <w:rFonts w:hint="eastAsia" w:ascii="方正仿宋_GBK" w:eastAsia="方正仿宋_GBK" w:cs="Times New Roman"/>
          <w:color w:val="000000"/>
          <w:sz w:val="32"/>
          <w:szCs w:val="32"/>
        </w:rPr>
        <w:t>年，全区林业产业产值达到</w:t>
      </w:r>
      <w:r>
        <w:rPr>
          <w:rFonts w:eastAsia="方正仿宋_GBK" w:cs="Times New Roman"/>
          <w:sz w:val="32"/>
          <w:szCs w:val="32"/>
        </w:rPr>
        <w:t>60</w:t>
      </w:r>
      <w:r>
        <w:rPr>
          <w:rFonts w:hint="eastAsia" w:ascii="方正仿宋_GBK" w:eastAsia="方正仿宋_GBK" w:cs="Times New Roman"/>
          <w:color w:val="000000"/>
          <w:sz w:val="32"/>
          <w:szCs w:val="32"/>
        </w:rPr>
        <w:t>亿元以上。</w:t>
      </w:r>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b/>
          <w:bCs/>
          <w:color w:val="000000"/>
          <w:sz w:val="32"/>
          <w:szCs w:val="32"/>
        </w:rPr>
        <w:t>——支撑保障能力显著提升。</w:t>
      </w:r>
      <w:r>
        <w:rPr>
          <w:rFonts w:ascii="方正仿宋_GBK" w:eastAsia="方正仿宋_GBK" w:cs="Times New Roman"/>
          <w:color w:val="000000"/>
          <w:sz w:val="32"/>
          <w:szCs w:val="32"/>
        </w:rPr>
        <w:t>巩固林业发展基础，加强林业人才队伍建设，</w:t>
      </w:r>
      <w:r>
        <w:rPr>
          <w:rFonts w:hint="eastAsia" w:ascii="方正仿宋_GBK" w:eastAsia="方正仿宋_GBK" w:cs="Times New Roman"/>
          <w:color w:val="000000"/>
          <w:sz w:val="32"/>
          <w:szCs w:val="32"/>
        </w:rPr>
        <w:t>全面提升林业智治能力，林业种苗供给保障能力持续增强，造林良种使用率达到</w:t>
      </w:r>
      <w:r>
        <w:rPr>
          <w:rFonts w:hint="eastAsia" w:eastAsia="方正仿宋_GBK" w:cs="Times New Roman"/>
          <w:sz w:val="32"/>
          <w:szCs w:val="32"/>
        </w:rPr>
        <w:t>75％</w:t>
      </w:r>
      <w:r>
        <w:rPr>
          <w:rFonts w:hint="eastAsia" w:ascii="方正仿宋_GBK" w:eastAsia="方正仿宋_GBK" w:cs="Times New Roman"/>
          <w:color w:val="000000"/>
          <w:sz w:val="32"/>
          <w:szCs w:val="32"/>
        </w:rPr>
        <w:t>以上。</w:t>
      </w:r>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b/>
          <w:bCs/>
          <w:color w:val="000000"/>
          <w:sz w:val="32"/>
          <w:szCs w:val="32"/>
        </w:rPr>
        <w:t>——林业改革创新持续深化。</w:t>
      </w:r>
      <w:r>
        <w:rPr>
          <w:rFonts w:hint="eastAsia" w:ascii="方正仿宋_GBK" w:eastAsia="方正仿宋_GBK" w:cs="Times New Roman"/>
          <w:color w:val="000000"/>
          <w:sz w:val="32"/>
          <w:szCs w:val="32"/>
        </w:rPr>
        <w:t>全面推行林长制，持续深化“放管服”，落实横向生态补偿机制，探索实行重点生态区非国有林生态赎买。</w:t>
      </w:r>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b/>
          <w:bCs/>
          <w:color w:val="000000"/>
          <w:sz w:val="32"/>
          <w:szCs w:val="32"/>
        </w:rPr>
        <w:t>——丰富森林生态文化。</w:t>
      </w:r>
      <w:r>
        <w:rPr>
          <w:rFonts w:hint="eastAsia" w:ascii="方正仿宋_GBK" w:eastAsia="方正仿宋_GBK" w:cs="Times New Roman"/>
          <w:color w:val="000000"/>
          <w:sz w:val="32"/>
          <w:szCs w:val="32"/>
        </w:rPr>
        <w:t>积极参与成渝地区森林城市群建设，构建高质量的城市森林生态系统，生态共享理念深入人心，生态文化知识广泛传播。到</w:t>
      </w:r>
      <w:r>
        <w:rPr>
          <w:rFonts w:hint="eastAsia" w:eastAsia="方正仿宋_GBK" w:cs="Times New Roman"/>
          <w:sz w:val="32"/>
          <w:szCs w:val="32"/>
        </w:rPr>
        <w:t>2025</w:t>
      </w:r>
      <w:r>
        <w:rPr>
          <w:rFonts w:hint="eastAsia" w:ascii="方正仿宋_GBK" w:eastAsia="方正仿宋_GBK" w:cs="Times New Roman"/>
          <w:color w:val="000000"/>
          <w:sz w:val="32"/>
          <w:szCs w:val="32"/>
        </w:rPr>
        <w:t>年，建成森林人家</w:t>
      </w:r>
      <w:r>
        <w:rPr>
          <w:rFonts w:hint="eastAsia" w:eastAsia="方正仿宋_GBK" w:cs="Times New Roman"/>
          <w:sz w:val="32"/>
          <w:szCs w:val="32"/>
        </w:rPr>
        <w:t>1</w:t>
      </w:r>
      <w:r>
        <w:rPr>
          <w:rFonts w:eastAsia="方正仿宋_GBK" w:cs="Times New Roman"/>
          <w:sz w:val="32"/>
          <w:szCs w:val="32"/>
        </w:rPr>
        <w:t>0</w:t>
      </w:r>
      <w:r>
        <w:rPr>
          <w:rFonts w:hint="eastAsia" w:ascii="方正仿宋_GBK" w:eastAsia="方正仿宋_GBK" w:cs="Times New Roman"/>
          <w:color w:val="000000"/>
          <w:sz w:val="32"/>
          <w:szCs w:val="32"/>
        </w:rPr>
        <w:t>个，市级绿色示范村</w:t>
      </w:r>
      <w:r>
        <w:rPr>
          <w:rFonts w:eastAsia="方正仿宋_GBK" w:cs="Times New Roman"/>
          <w:sz w:val="32"/>
          <w:szCs w:val="32"/>
        </w:rPr>
        <w:t>5</w:t>
      </w:r>
      <w:r>
        <w:rPr>
          <w:rFonts w:hint="eastAsia" w:ascii="方正仿宋_GBK" w:eastAsia="方正仿宋_GBK" w:cs="Times New Roman"/>
          <w:color w:val="000000"/>
          <w:sz w:val="32"/>
          <w:szCs w:val="32"/>
        </w:rPr>
        <w:t>个，市级森林康养基地</w:t>
      </w:r>
      <w:r>
        <w:rPr>
          <w:rFonts w:hint="eastAsia" w:eastAsia="方正仿宋_GBK" w:cs="Times New Roman"/>
          <w:sz w:val="32"/>
          <w:szCs w:val="32"/>
        </w:rPr>
        <w:t>2</w:t>
      </w:r>
      <w:r>
        <w:rPr>
          <w:rFonts w:hint="eastAsia" w:ascii="方正仿宋_GBK" w:eastAsia="方正仿宋_GBK" w:cs="Times New Roman"/>
          <w:color w:val="000000"/>
          <w:sz w:val="32"/>
          <w:szCs w:val="32"/>
        </w:rPr>
        <w:t>个，创建璧山国家森林城市。</w:t>
      </w:r>
    </w:p>
    <w:p>
      <w:pPr>
        <w:widowControl/>
        <w:spacing w:line="240" w:lineRule="auto"/>
        <w:ind w:firstLine="0" w:firstLineChars="0"/>
        <w:jc w:val="left"/>
        <w:rPr>
          <w:rFonts w:ascii="方正仿宋_GBK" w:eastAsia="方正仿宋_GBK" w:cs="Times New Roman"/>
          <w:color w:val="000000"/>
          <w:sz w:val="32"/>
          <w:szCs w:val="32"/>
        </w:rPr>
      </w:pPr>
      <w:r>
        <w:rPr>
          <w:rFonts w:ascii="方正仿宋_GBK" w:eastAsia="方正仿宋_GBK" w:cs="Times New Roman"/>
          <w:color w:val="000000"/>
          <w:sz w:val="32"/>
          <w:szCs w:val="32"/>
        </w:rPr>
        <w:br w:type="page"/>
      </w:r>
    </w:p>
    <w:bookmarkEnd w:id="8"/>
    <w:p>
      <w:pPr>
        <w:spacing w:before="156" w:beforeLines="50" w:line="240" w:lineRule="auto"/>
        <w:ind w:firstLine="0" w:firstLineChars="0"/>
        <w:jc w:val="center"/>
        <w:rPr>
          <w:rFonts w:eastAsia="黑体" w:cs="Times New Roman"/>
          <w:b/>
          <w:sz w:val="24"/>
          <w:szCs w:val="30"/>
        </w:rPr>
      </w:pPr>
      <w:r>
        <w:rPr>
          <w:rFonts w:hint="eastAsia" w:eastAsia="黑体" w:cs="Times New Roman"/>
          <w:b/>
          <w:sz w:val="24"/>
          <w:szCs w:val="30"/>
        </w:rPr>
        <w:t>璧山区林业发展</w:t>
      </w:r>
      <w:r>
        <w:rPr>
          <w:rFonts w:eastAsia="黑体" w:cs="Times New Roman"/>
          <w:b/>
          <w:sz w:val="24"/>
          <w:szCs w:val="30"/>
        </w:rPr>
        <w:t>“十四五”</w:t>
      </w:r>
      <w:r>
        <w:rPr>
          <w:rFonts w:hint="eastAsia" w:eastAsia="黑体" w:cs="Times New Roman"/>
          <w:b/>
          <w:sz w:val="24"/>
          <w:szCs w:val="30"/>
        </w:rPr>
        <w:t>规划目标一览表</w:t>
      </w:r>
    </w:p>
    <w:tbl>
      <w:tblPr>
        <w:tblStyle w:val="22"/>
        <w:tblpPr w:leftFromText="180" w:rightFromText="180" w:vertAnchor="text" w:horzAnchor="margin" w:tblpXSpec="center" w:tblpY="170"/>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4111"/>
        <w:gridCol w:w="113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83" w:type="pct"/>
            <w:vAlign w:val="center"/>
          </w:tcPr>
          <w:p>
            <w:pPr>
              <w:spacing w:line="400" w:lineRule="exact"/>
              <w:ind w:firstLine="0" w:firstLineChars="0"/>
              <w:jc w:val="center"/>
              <w:rPr>
                <w:rFonts w:eastAsia="方正仿宋_GBK" w:cs="Times New Roman"/>
                <w:b/>
                <w:bCs/>
                <w:sz w:val="24"/>
                <w:szCs w:val="24"/>
              </w:rPr>
            </w:pPr>
            <w:r>
              <w:rPr>
                <w:rFonts w:eastAsia="方正仿宋_GBK" w:cs="Times New Roman"/>
                <w:b/>
                <w:bCs/>
                <w:sz w:val="24"/>
                <w:szCs w:val="24"/>
              </w:rPr>
              <w:t>序号</w:t>
            </w:r>
          </w:p>
        </w:tc>
        <w:tc>
          <w:tcPr>
            <w:tcW w:w="2426" w:type="pct"/>
            <w:vAlign w:val="center"/>
          </w:tcPr>
          <w:p>
            <w:pPr>
              <w:spacing w:line="400" w:lineRule="exact"/>
              <w:ind w:firstLine="0" w:firstLineChars="0"/>
              <w:jc w:val="center"/>
              <w:rPr>
                <w:rFonts w:eastAsia="方正仿宋_GBK" w:cs="Times New Roman"/>
                <w:b/>
                <w:bCs/>
                <w:sz w:val="24"/>
                <w:szCs w:val="24"/>
              </w:rPr>
            </w:pPr>
            <w:r>
              <w:rPr>
                <w:rFonts w:eastAsia="方正仿宋_GBK" w:cs="Times New Roman"/>
                <w:b/>
                <w:bCs/>
                <w:sz w:val="24"/>
                <w:szCs w:val="24"/>
              </w:rPr>
              <w:t>指</w:t>
            </w:r>
            <w:r>
              <w:rPr>
                <w:rFonts w:hint="eastAsia" w:eastAsia="方正仿宋_GBK" w:cs="Times New Roman"/>
                <w:b/>
                <w:bCs/>
                <w:sz w:val="24"/>
                <w:szCs w:val="24"/>
              </w:rPr>
              <w:t xml:space="preserve"> </w:t>
            </w:r>
            <w:r>
              <w:rPr>
                <w:rFonts w:eastAsia="方正仿宋_GBK" w:cs="Times New Roman"/>
                <w:b/>
                <w:bCs/>
                <w:sz w:val="24"/>
                <w:szCs w:val="24"/>
              </w:rPr>
              <w:t>标</w:t>
            </w:r>
          </w:p>
        </w:tc>
        <w:tc>
          <w:tcPr>
            <w:tcW w:w="669" w:type="pct"/>
            <w:vAlign w:val="center"/>
          </w:tcPr>
          <w:p>
            <w:pPr>
              <w:spacing w:line="400" w:lineRule="exact"/>
              <w:ind w:firstLine="0" w:firstLineChars="0"/>
              <w:jc w:val="center"/>
              <w:rPr>
                <w:rFonts w:eastAsia="方正仿宋_GBK" w:cs="Times New Roman"/>
                <w:b/>
                <w:bCs/>
                <w:sz w:val="24"/>
                <w:szCs w:val="24"/>
              </w:rPr>
            </w:pPr>
            <w:r>
              <w:rPr>
                <w:rFonts w:eastAsia="方正仿宋_GBK" w:cs="Times New Roman"/>
                <w:b/>
                <w:bCs/>
                <w:sz w:val="24"/>
                <w:szCs w:val="24"/>
              </w:rPr>
              <w:t>2020年</w:t>
            </w:r>
            <w:r>
              <w:rPr>
                <w:rFonts w:hint="eastAsia" w:eastAsia="方正仿宋_GBK" w:cs="Times New Roman"/>
                <w:b/>
                <w:bCs/>
                <w:sz w:val="24"/>
                <w:szCs w:val="24"/>
              </w:rPr>
              <w:t>现状值</w:t>
            </w:r>
          </w:p>
        </w:tc>
        <w:tc>
          <w:tcPr>
            <w:tcW w:w="669" w:type="pct"/>
            <w:vAlign w:val="center"/>
          </w:tcPr>
          <w:p>
            <w:pPr>
              <w:spacing w:line="400" w:lineRule="exact"/>
              <w:ind w:firstLine="0" w:firstLineChars="0"/>
              <w:jc w:val="center"/>
              <w:rPr>
                <w:rFonts w:eastAsia="方正仿宋_GBK" w:cs="Times New Roman"/>
                <w:b/>
                <w:bCs/>
                <w:sz w:val="24"/>
                <w:szCs w:val="24"/>
              </w:rPr>
            </w:pPr>
            <w:r>
              <w:rPr>
                <w:rFonts w:eastAsia="方正仿宋_GBK" w:cs="Times New Roman"/>
                <w:b/>
                <w:bCs/>
                <w:sz w:val="24"/>
                <w:szCs w:val="24"/>
              </w:rPr>
              <w:t>202</w:t>
            </w:r>
            <w:r>
              <w:rPr>
                <w:rFonts w:hint="eastAsia" w:eastAsia="方正仿宋_GBK" w:cs="Times New Roman"/>
                <w:b/>
                <w:bCs/>
                <w:sz w:val="24"/>
                <w:szCs w:val="24"/>
              </w:rPr>
              <w:t>5</w:t>
            </w:r>
            <w:r>
              <w:rPr>
                <w:rFonts w:eastAsia="方正仿宋_GBK" w:cs="Times New Roman"/>
                <w:b/>
                <w:bCs/>
                <w:sz w:val="24"/>
                <w:szCs w:val="24"/>
              </w:rPr>
              <w:t>年</w:t>
            </w:r>
            <w:r>
              <w:rPr>
                <w:rFonts w:hint="eastAsia" w:eastAsia="方正仿宋_GBK" w:cs="Times New Roman"/>
                <w:b/>
                <w:bCs/>
                <w:sz w:val="24"/>
                <w:szCs w:val="24"/>
              </w:rPr>
              <w:t>目标值</w:t>
            </w:r>
          </w:p>
        </w:tc>
        <w:tc>
          <w:tcPr>
            <w:tcW w:w="754" w:type="pct"/>
            <w:vAlign w:val="center"/>
          </w:tcPr>
          <w:p>
            <w:pPr>
              <w:spacing w:line="400" w:lineRule="exact"/>
              <w:ind w:firstLine="0" w:firstLineChars="0"/>
              <w:jc w:val="center"/>
              <w:rPr>
                <w:rFonts w:eastAsia="方正仿宋_GBK" w:cs="Times New Roman"/>
                <w:b/>
                <w:bCs/>
                <w:sz w:val="24"/>
                <w:szCs w:val="24"/>
              </w:rPr>
            </w:pPr>
            <w:r>
              <w:rPr>
                <w:rFonts w:eastAsia="方正仿宋_GBK" w:cs="Times New Roman"/>
                <w:b/>
                <w:bCs/>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3"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1</w:t>
            </w:r>
          </w:p>
        </w:tc>
        <w:tc>
          <w:tcPr>
            <w:tcW w:w="2426" w:type="pct"/>
            <w:vAlign w:val="center"/>
          </w:tcPr>
          <w:p>
            <w:pPr>
              <w:spacing w:line="400" w:lineRule="exact"/>
              <w:ind w:firstLine="480"/>
              <w:jc w:val="center"/>
              <w:rPr>
                <w:rFonts w:eastAsia="方正仿宋_GBK" w:cs="Times New Roman"/>
                <w:bCs/>
                <w:sz w:val="24"/>
                <w:szCs w:val="24"/>
              </w:rPr>
            </w:pPr>
            <w:r>
              <w:rPr>
                <w:rFonts w:eastAsia="方正仿宋_GBK" w:cs="Times New Roman"/>
                <w:bCs/>
                <w:sz w:val="24"/>
                <w:szCs w:val="24"/>
              </w:rPr>
              <w:t>森林覆盖率（%）</w:t>
            </w:r>
          </w:p>
        </w:tc>
        <w:tc>
          <w:tcPr>
            <w:tcW w:w="669"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47.2</w:t>
            </w:r>
            <w:r>
              <w:rPr>
                <w:rFonts w:hint="eastAsia" w:eastAsia="方正仿宋_GBK" w:cs="Times New Roman"/>
                <w:sz w:val="24"/>
                <w:szCs w:val="24"/>
              </w:rPr>
              <w:t>%</w:t>
            </w:r>
          </w:p>
        </w:tc>
        <w:tc>
          <w:tcPr>
            <w:tcW w:w="669" w:type="pct"/>
            <w:vAlign w:val="center"/>
          </w:tcPr>
          <w:p>
            <w:pPr>
              <w:spacing w:line="400" w:lineRule="exact"/>
              <w:ind w:firstLine="0" w:firstLineChars="0"/>
              <w:jc w:val="center"/>
              <w:rPr>
                <w:rFonts w:eastAsia="方正仿宋_GBK" w:cs="Times New Roman"/>
                <w:sz w:val="24"/>
                <w:szCs w:val="24"/>
              </w:rPr>
            </w:pPr>
            <w:r>
              <w:rPr>
                <w:rFonts w:hint="eastAsia" w:eastAsia="方正仿宋_GBK" w:cs="Times New Roman"/>
                <w:sz w:val="24"/>
                <w:szCs w:val="24"/>
              </w:rPr>
              <w:t>≥</w:t>
            </w:r>
            <w:r>
              <w:rPr>
                <w:rFonts w:eastAsia="方正仿宋_GBK" w:cs="Times New Roman"/>
                <w:sz w:val="24"/>
                <w:szCs w:val="24"/>
              </w:rPr>
              <w:t>55</w:t>
            </w:r>
            <w:r>
              <w:rPr>
                <w:rFonts w:hint="eastAsia" w:eastAsia="方正仿宋_GBK" w:cs="Times New Roman"/>
                <w:sz w:val="24"/>
                <w:szCs w:val="24"/>
              </w:rPr>
              <w:t>%</w:t>
            </w:r>
          </w:p>
        </w:tc>
        <w:tc>
          <w:tcPr>
            <w:tcW w:w="754"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3"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2</w:t>
            </w:r>
          </w:p>
        </w:tc>
        <w:tc>
          <w:tcPr>
            <w:tcW w:w="2426" w:type="pct"/>
            <w:vAlign w:val="center"/>
          </w:tcPr>
          <w:p>
            <w:pPr>
              <w:spacing w:line="400" w:lineRule="exact"/>
              <w:ind w:firstLine="480"/>
              <w:jc w:val="center"/>
              <w:rPr>
                <w:rFonts w:eastAsia="方正仿宋_GBK" w:cs="Times New Roman"/>
                <w:bCs/>
                <w:sz w:val="24"/>
                <w:szCs w:val="24"/>
              </w:rPr>
            </w:pPr>
            <w:r>
              <w:rPr>
                <w:rFonts w:hint="eastAsia" w:eastAsia="方正仿宋_GBK" w:cs="Times New Roman"/>
                <w:bCs/>
                <w:sz w:val="24"/>
                <w:szCs w:val="24"/>
              </w:rPr>
              <w:t>森林蓄积量（万立方米）</w:t>
            </w:r>
          </w:p>
        </w:tc>
        <w:tc>
          <w:tcPr>
            <w:tcW w:w="669"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35.1</w:t>
            </w:r>
          </w:p>
        </w:tc>
        <w:tc>
          <w:tcPr>
            <w:tcW w:w="669" w:type="pct"/>
            <w:vAlign w:val="center"/>
          </w:tcPr>
          <w:p>
            <w:pPr>
              <w:spacing w:line="400" w:lineRule="exact"/>
              <w:ind w:firstLine="0" w:firstLineChars="0"/>
              <w:jc w:val="center"/>
              <w:rPr>
                <w:rFonts w:eastAsia="方正仿宋_GBK" w:cs="Times New Roman"/>
                <w:sz w:val="24"/>
                <w:szCs w:val="24"/>
              </w:rPr>
            </w:pPr>
            <w:r>
              <w:rPr>
                <w:rFonts w:hint="eastAsia" w:eastAsia="方正仿宋_GBK" w:cs="Times New Roman"/>
                <w:sz w:val="24"/>
                <w:szCs w:val="24"/>
              </w:rPr>
              <w:t>≥</w:t>
            </w:r>
            <w:r>
              <w:rPr>
                <w:rFonts w:eastAsia="方正仿宋_GBK" w:cs="Times New Roman"/>
                <w:sz w:val="24"/>
                <w:szCs w:val="24"/>
              </w:rPr>
              <w:t>44.7</w:t>
            </w:r>
          </w:p>
        </w:tc>
        <w:tc>
          <w:tcPr>
            <w:tcW w:w="754"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483"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3</w:t>
            </w:r>
          </w:p>
        </w:tc>
        <w:tc>
          <w:tcPr>
            <w:tcW w:w="2426"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自然保护地面积占国土面积比例（%）</w:t>
            </w:r>
          </w:p>
        </w:tc>
        <w:tc>
          <w:tcPr>
            <w:tcW w:w="669"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10.98</w:t>
            </w:r>
          </w:p>
        </w:tc>
        <w:tc>
          <w:tcPr>
            <w:tcW w:w="669" w:type="pct"/>
            <w:vAlign w:val="center"/>
          </w:tcPr>
          <w:p>
            <w:pPr>
              <w:spacing w:line="400" w:lineRule="exact"/>
              <w:ind w:firstLine="0" w:firstLineChars="0"/>
              <w:jc w:val="center"/>
              <w:rPr>
                <w:rFonts w:eastAsia="方正仿宋_GBK" w:cs="Times New Roman"/>
                <w:sz w:val="24"/>
                <w:szCs w:val="24"/>
              </w:rPr>
            </w:pPr>
            <w:r>
              <w:rPr>
                <w:rFonts w:hint="eastAsia" w:eastAsia="方正仿宋_GBK" w:cs="Times New Roman"/>
                <w:sz w:val="24"/>
                <w:szCs w:val="24"/>
              </w:rPr>
              <w:t>≥</w:t>
            </w:r>
            <w:r>
              <w:rPr>
                <w:rFonts w:eastAsia="方正仿宋_GBK" w:cs="Times New Roman"/>
                <w:sz w:val="24"/>
                <w:szCs w:val="24"/>
              </w:rPr>
              <w:t>13</w:t>
            </w:r>
          </w:p>
        </w:tc>
        <w:tc>
          <w:tcPr>
            <w:tcW w:w="754"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3"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4</w:t>
            </w:r>
          </w:p>
        </w:tc>
        <w:tc>
          <w:tcPr>
            <w:tcW w:w="2426" w:type="pct"/>
            <w:vAlign w:val="center"/>
          </w:tcPr>
          <w:p>
            <w:pPr>
              <w:spacing w:line="400" w:lineRule="exact"/>
              <w:ind w:firstLine="0" w:firstLineChars="0"/>
              <w:jc w:val="center"/>
              <w:rPr>
                <w:rFonts w:eastAsia="方正仿宋_GBK" w:cs="Times New Roman"/>
                <w:bCs/>
                <w:sz w:val="24"/>
                <w:szCs w:val="24"/>
              </w:rPr>
            </w:pPr>
            <w:r>
              <w:rPr>
                <w:rFonts w:hint="eastAsia" w:eastAsia="方正仿宋_GBK" w:cs="Times New Roman"/>
                <w:bCs/>
                <w:sz w:val="24"/>
                <w:szCs w:val="24"/>
              </w:rPr>
              <w:t>森林火灾受害率（‰）</w:t>
            </w:r>
          </w:p>
        </w:tc>
        <w:tc>
          <w:tcPr>
            <w:tcW w:w="669" w:type="pct"/>
            <w:vAlign w:val="center"/>
          </w:tcPr>
          <w:p>
            <w:pPr>
              <w:spacing w:line="400" w:lineRule="exact"/>
              <w:ind w:firstLine="0" w:firstLineChars="0"/>
              <w:jc w:val="center"/>
              <w:rPr>
                <w:rFonts w:eastAsia="方正仿宋_GBK" w:cs="Times New Roman"/>
                <w:sz w:val="24"/>
                <w:szCs w:val="24"/>
              </w:rPr>
            </w:pPr>
            <w:r>
              <w:rPr>
                <w:rFonts w:hint="eastAsia" w:eastAsia="方正仿宋_GBK" w:cs="Times New Roman"/>
                <w:sz w:val="24"/>
                <w:szCs w:val="24"/>
              </w:rPr>
              <w:t>0</w:t>
            </w:r>
            <w:r>
              <w:rPr>
                <w:rFonts w:eastAsia="方正仿宋_GBK" w:cs="Times New Roman"/>
                <w:sz w:val="24"/>
                <w:szCs w:val="24"/>
              </w:rPr>
              <w:t>.1</w:t>
            </w:r>
          </w:p>
        </w:tc>
        <w:tc>
          <w:tcPr>
            <w:tcW w:w="669" w:type="pct"/>
            <w:vAlign w:val="center"/>
          </w:tcPr>
          <w:p>
            <w:pPr>
              <w:spacing w:line="400" w:lineRule="exact"/>
              <w:ind w:firstLine="0" w:firstLineChars="0"/>
              <w:jc w:val="center"/>
              <w:rPr>
                <w:rFonts w:eastAsia="方正仿宋_GBK" w:cs="Times New Roman"/>
                <w:sz w:val="24"/>
                <w:szCs w:val="24"/>
              </w:rPr>
            </w:pPr>
            <w:r>
              <w:rPr>
                <w:rFonts w:hint="eastAsia" w:eastAsia="方正仿宋_GBK" w:cs="Times New Roman"/>
                <w:sz w:val="24"/>
                <w:szCs w:val="24"/>
              </w:rPr>
              <w:t>≤</w:t>
            </w:r>
            <w:r>
              <w:rPr>
                <w:rFonts w:eastAsia="方正仿宋_GBK" w:cs="Times New Roman"/>
                <w:sz w:val="24"/>
                <w:szCs w:val="24"/>
              </w:rPr>
              <w:t>0.1</w:t>
            </w:r>
          </w:p>
        </w:tc>
        <w:tc>
          <w:tcPr>
            <w:tcW w:w="754"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3"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5</w:t>
            </w:r>
          </w:p>
        </w:tc>
        <w:tc>
          <w:tcPr>
            <w:tcW w:w="2426" w:type="pct"/>
            <w:vAlign w:val="center"/>
          </w:tcPr>
          <w:p>
            <w:pPr>
              <w:spacing w:line="400" w:lineRule="exact"/>
              <w:ind w:firstLine="0" w:firstLineChars="0"/>
              <w:jc w:val="center"/>
              <w:rPr>
                <w:rFonts w:eastAsia="方正仿宋_GBK" w:cs="Times New Roman"/>
                <w:bCs/>
                <w:sz w:val="24"/>
                <w:szCs w:val="24"/>
              </w:rPr>
            </w:pPr>
            <w:r>
              <w:rPr>
                <w:rFonts w:hint="eastAsia" w:eastAsia="方正仿宋_GBK" w:cs="Times New Roman"/>
                <w:bCs/>
                <w:sz w:val="24"/>
                <w:szCs w:val="24"/>
              </w:rPr>
              <w:t>林业有害生物成灾率（‰）</w:t>
            </w:r>
          </w:p>
        </w:tc>
        <w:tc>
          <w:tcPr>
            <w:tcW w:w="669"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2</w:t>
            </w:r>
          </w:p>
        </w:tc>
        <w:tc>
          <w:tcPr>
            <w:tcW w:w="669" w:type="pct"/>
            <w:vAlign w:val="center"/>
          </w:tcPr>
          <w:p>
            <w:pPr>
              <w:spacing w:line="400" w:lineRule="exact"/>
              <w:ind w:firstLine="0" w:firstLineChars="0"/>
              <w:jc w:val="center"/>
              <w:rPr>
                <w:rFonts w:eastAsia="方正仿宋_GBK" w:cs="Times New Roman"/>
                <w:sz w:val="24"/>
                <w:szCs w:val="24"/>
              </w:rPr>
            </w:pPr>
            <w:r>
              <w:rPr>
                <w:rFonts w:hint="eastAsia" w:eastAsia="方正仿宋_GBK" w:cs="Times New Roman"/>
                <w:sz w:val="24"/>
                <w:szCs w:val="24"/>
              </w:rPr>
              <w:t>≤</w:t>
            </w:r>
            <w:r>
              <w:rPr>
                <w:rFonts w:eastAsia="方正仿宋_GBK" w:cs="Times New Roman"/>
                <w:sz w:val="24"/>
                <w:szCs w:val="24"/>
              </w:rPr>
              <w:t>2</w:t>
            </w:r>
          </w:p>
        </w:tc>
        <w:tc>
          <w:tcPr>
            <w:tcW w:w="754"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3"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6</w:t>
            </w:r>
          </w:p>
        </w:tc>
        <w:tc>
          <w:tcPr>
            <w:tcW w:w="2426" w:type="pct"/>
            <w:vAlign w:val="center"/>
          </w:tcPr>
          <w:p>
            <w:pPr>
              <w:spacing w:line="400" w:lineRule="exact"/>
              <w:ind w:firstLine="0" w:firstLineChars="0"/>
              <w:jc w:val="center"/>
              <w:rPr>
                <w:rFonts w:eastAsia="方正仿宋_GBK" w:cs="Times New Roman"/>
                <w:bCs/>
                <w:sz w:val="24"/>
                <w:szCs w:val="24"/>
              </w:rPr>
            </w:pPr>
            <w:r>
              <w:rPr>
                <w:rFonts w:hint="eastAsia" w:eastAsia="方正仿宋_GBK" w:cs="Times New Roman"/>
                <w:bCs/>
                <w:sz w:val="24"/>
                <w:szCs w:val="24"/>
              </w:rPr>
              <w:t>创建国家森林城市</w:t>
            </w:r>
          </w:p>
        </w:tc>
        <w:tc>
          <w:tcPr>
            <w:tcW w:w="669" w:type="pct"/>
            <w:vAlign w:val="center"/>
          </w:tcPr>
          <w:p>
            <w:pPr>
              <w:spacing w:line="400" w:lineRule="exact"/>
              <w:ind w:firstLine="0" w:firstLineChars="0"/>
              <w:jc w:val="center"/>
              <w:rPr>
                <w:rFonts w:eastAsia="方正仿宋_GBK" w:cs="Times New Roman"/>
                <w:sz w:val="24"/>
                <w:szCs w:val="24"/>
              </w:rPr>
            </w:pPr>
          </w:p>
        </w:tc>
        <w:tc>
          <w:tcPr>
            <w:tcW w:w="669" w:type="pct"/>
            <w:vAlign w:val="center"/>
          </w:tcPr>
          <w:p>
            <w:pPr>
              <w:spacing w:line="400" w:lineRule="exact"/>
              <w:ind w:firstLine="0" w:firstLineChars="0"/>
              <w:jc w:val="center"/>
              <w:rPr>
                <w:rFonts w:eastAsia="方正仿宋_GBK" w:cs="Times New Roman"/>
                <w:sz w:val="24"/>
                <w:szCs w:val="24"/>
              </w:rPr>
            </w:pPr>
            <w:r>
              <w:rPr>
                <w:rFonts w:hint="eastAsia" w:eastAsia="方正仿宋_GBK" w:cs="Times New Roman"/>
                <w:sz w:val="24"/>
                <w:szCs w:val="24"/>
              </w:rPr>
              <w:t>1</w:t>
            </w:r>
          </w:p>
        </w:tc>
        <w:tc>
          <w:tcPr>
            <w:tcW w:w="754"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483"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7</w:t>
            </w:r>
          </w:p>
        </w:tc>
        <w:tc>
          <w:tcPr>
            <w:tcW w:w="2426"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林业产业产值（</w:t>
            </w:r>
            <w:r>
              <w:rPr>
                <w:rFonts w:hint="eastAsia" w:eastAsia="方正仿宋_GBK" w:cs="Times New Roman"/>
                <w:bCs/>
                <w:sz w:val="24"/>
                <w:szCs w:val="24"/>
              </w:rPr>
              <w:t>亿</w:t>
            </w:r>
            <w:r>
              <w:rPr>
                <w:rFonts w:eastAsia="方正仿宋_GBK" w:cs="Times New Roman"/>
                <w:bCs/>
                <w:sz w:val="24"/>
                <w:szCs w:val="24"/>
              </w:rPr>
              <w:t>元）</w:t>
            </w:r>
          </w:p>
        </w:tc>
        <w:tc>
          <w:tcPr>
            <w:tcW w:w="669" w:type="pct"/>
            <w:vAlign w:val="center"/>
          </w:tcPr>
          <w:p>
            <w:pPr>
              <w:spacing w:line="400" w:lineRule="exact"/>
              <w:ind w:firstLine="0" w:firstLineChars="0"/>
              <w:jc w:val="center"/>
              <w:rPr>
                <w:rFonts w:eastAsia="方正仿宋_GBK" w:cs="Times New Roman"/>
                <w:sz w:val="24"/>
                <w:szCs w:val="24"/>
              </w:rPr>
            </w:pPr>
            <w:r>
              <w:rPr>
                <w:rFonts w:eastAsia="方正仿宋_GBK" w:cs="Times New Roman"/>
                <w:sz w:val="24"/>
                <w:szCs w:val="24"/>
              </w:rPr>
              <w:t>50</w:t>
            </w:r>
          </w:p>
        </w:tc>
        <w:tc>
          <w:tcPr>
            <w:tcW w:w="669" w:type="pct"/>
            <w:vAlign w:val="center"/>
          </w:tcPr>
          <w:p>
            <w:pPr>
              <w:spacing w:line="400" w:lineRule="exact"/>
              <w:ind w:firstLine="0" w:firstLineChars="0"/>
              <w:jc w:val="center"/>
              <w:rPr>
                <w:rFonts w:eastAsia="方正仿宋_GBK" w:cs="Times New Roman"/>
                <w:sz w:val="24"/>
                <w:szCs w:val="24"/>
              </w:rPr>
            </w:pPr>
            <w:r>
              <w:rPr>
                <w:rFonts w:hint="eastAsia" w:eastAsia="方正仿宋_GBK" w:cs="Times New Roman"/>
                <w:sz w:val="24"/>
                <w:szCs w:val="24"/>
              </w:rPr>
              <w:t>≥</w:t>
            </w:r>
            <w:r>
              <w:rPr>
                <w:rFonts w:eastAsia="方正仿宋_GBK" w:cs="Times New Roman"/>
                <w:sz w:val="24"/>
                <w:szCs w:val="24"/>
              </w:rPr>
              <w:t>60</w:t>
            </w:r>
          </w:p>
        </w:tc>
        <w:tc>
          <w:tcPr>
            <w:tcW w:w="754" w:type="pct"/>
            <w:vAlign w:val="center"/>
          </w:tcPr>
          <w:p>
            <w:pPr>
              <w:spacing w:line="400" w:lineRule="exact"/>
              <w:ind w:firstLine="0" w:firstLineChars="0"/>
              <w:jc w:val="center"/>
              <w:rPr>
                <w:rFonts w:eastAsia="方正仿宋_GBK" w:cs="Times New Roman"/>
                <w:bCs/>
                <w:sz w:val="24"/>
                <w:szCs w:val="24"/>
              </w:rPr>
            </w:pPr>
            <w:r>
              <w:rPr>
                <w:rFonts w:eastAsia="方正仿宋_GBK" w:cs="Times New Roman"/>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5000" w:type="pct"/>
            <w:gridSpan w:val="5"/>
            <w:vAlign w:val="center"/>
          </w:tcPr>
          <w:p>
            <w:pPr>
              <w:spacing w:line="400" w:lineRule="exact"/>
              <w:ind w:firstLine="0" w:firstLineChars="0"/>
              <w:jc w:val="center"/>
              <w:rPr>
                <w:rFonts w:eastAsia="方正仿宋_GBK" w:cs="Times New Roman"/>
                <w:bCs/>
                <w:sz w:val="24"/>
                <w:szCs w:val="24"/>
              </w:rPr>
            </w:pPr>
            <w:r>
              <w:rPr>
                <w:rFonts w:hint="eastAsia" w:eastAsia="方正仿宋_GBK" w:cs="Times New Roman"/>
                <w:bCs/>
                <w:sz w:val="24"/>
                <w:szCs w:val="24"/>
              </w:rPr>
              <w:t>注：“</w:t>
            </w:r>
            <w:r>
              <w:rPr>
                <w:rFonts w:eastAsia="方正仿宋_GBK" w:cs="Times New Roman"/>
                <w:bCs/>
                <w:sz w:val="24"/>
                <w:szCs w:val="24"/>
              </w:rPr>
              <w:t>2025年</w:t>
            </w:r>
            <w:r>
              <w:rPr>
                <w:rFonts w:hint="eastAsia" w:eastAsia="方正仿宋_GBK" w:cs="Times New Roman"/>
                <w:bCs/>
                <w:sz w:val="24"/>
                <w:szCs w:val="24"/>
              </w:rPr>
              <w:t>目标值”森林覆盖率差额部分通过购买森林面积指标实现。</w:t>
            </w:r>
          </w:p>
        </w:tc>
      </w:tr>
    </w:tbl>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9" w:name="_Toc93615536"/>
      <w:r>
        <w:rPr>
          <w:rFonts w:hint="eastAsia" w:ascii="方正黑体_GBK" w:hAnsi="Times New Roman" w:eastAsia="方正黑体_GBK" w:cs="Times New Roman"/>
          <w:b w:val="0"/>
          <w:szCs w:val="36"/>
        </w:rPr>
        <w:t>第四节 空间布局</w:t>
      </w:r>
      <w:bookmarkEnd w:id="9"/>
    </w:p>
    <w:p>
      <w:pPr>
        <w:spacing w:line="240" w:lineRule="auto"/>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基于全域自然资源本底，结合我区“两山一槽”地理空间格局，以“两山三河”（缙云山、云雾山和璧南河、璧北河、梅江河）为主体，以主要支流、交通廊道为补充，构建</w:t>
      </w:r>
      <w:r>
        <w:rPr>
          <w:rFonts w:hint="eastAsia" w:ascii="方正仿宋_GBK" w:eastAsia="方正仿宋_GBK" w:cs="Times New Roman"/>
          <w:b/>
          <w:bCs/>
          <w:color w:val="000000"/>
          <w:sz w:val="32"/>
          <w:szCs w:val="32"/>
        </w:rPr>
        <w:t>“一区两屏多廊多点”</w:t>
      </w:r>
      <w:r>
        <w:rPr>
          <w:rFonts w:hint="eastAsia" w:ascii="方正仿宋_GBK" w:eastAsia="方正仿宋_GBK" w:cs="Times New Roman"/>
          <w:color w:val="000000"/>
          <w:sz w:val="32"/>
          <w:szCs w:val="32"/>
        </w:rPr>
        <w:t>的复合型、立体化、网络化林业生态空间格局。</w:t>
      </w:r>
    </w:p>
    <w:p>
      <w:pPr>
        <w:spacing w:line="240" w:lineRule="auto"/>
        <w:ind w:firstLine="640"/>
        <w:rPr>
          <w:rFonts w:ascii="方正仿宋_GBK" w:eastAsia="方正仿宋_GBK" w:cs="Times New Roman"/>
          <w:color w:val="000000"/>
          <w:sz w:val="32"/>
          <w:szCs w:val="32"/>
        </w:rPr>
      </w:pPr>
      <w:r>
        <w:rPr>
          <w:rFonts w:hint="eastAsia" w:ascii="方正仿宋_GBK" w:eastAsia="方正仿宋_GBK" w:cs="Times New Roman"/>
          <w:b/>
          <w:bCs/>
          <w:color w:val="000000"/>
          <w:sz w:val="32"/>
          <w:szCs w:val="32"/>
        </w:rPr>
        <w:t>“ 一区”</w:t>
      </w:r>
      <w:r>
        <w:rPr>
          <w:rFonts w:hint="eastAsia" w:ascii="方正仿宋_GBK" w:eastAsia="方正仿宋_GBK" w:cs="Times New Roman"/>
          <w:color w:val="000000"/>
          <w:sz w:val="32"/>
          <w:szCs w:val="32"/>
        </w:rPr>
        <w:t>指绿色城乡生态发展区。为我区境内璧北河、璧南河、梅江河流经的广大丘陵地区，池塘、水库广泛分布，林业产业基础较好。重点发展经济林产业、苗木花卉产业，拓展乡村旅游产业。</w:t>
      </w:r>
    </w:p>
    <w:p>
      <w:pPr>
        <w:spacing w:line="240" w:lineRule="auto"/>
        <w:ind w:firstLine="640"/>
        <w:rPr>
          <w:rFonts w:ascii="方正仿宋_GBK" w:eastAsia="方正仿宋_GBK" w:cs="Times New Roman"/>
          <w:color w:val="000000"/>
          <w:sz w:val="32"/>
          <w:szCs w:val="32"/>
        </w:rPr>
      </w:pPr>
      <w:bookmarkStart w:id="10" w:name="_Hlk88767474"/>
      <w:r>
        <w:rPr>
          <w:rFonts w:hint="eastAsia" w:ascii="方正仿宋_GBK" w:eastAsia="方正仿宋_GBK" w:cs="Times New Roman"/>
          <w:b/>
          <w:bCs/>
          <w:color w:val="000000"/>
          <w:sz w:val="32"/>
          <w:szCs w:val="32"/>
        </w:rPr>
        <w:t>“两屏”</w:t>
      </w:r>
      <w:bookmarkEnd w:id="10"/>
      <w:bookmarkStart w:id="11" w:name="_Hlk88048642"/>
      <w:r>
        <w:rPr>
          <w:rFonts w:hint="eastAsia" w:ascii="方正仿宋_GBK" w:eastAsia="方正仿宋_GBK" w:cs="Times New Roman"/>
          <w:color w:val="000000"/>
          <w:sz w:val="32"/>
          <w:szCs w:val="32"/>
        </w:rPr>
        <w:t>指缙云山生态屏障</w:t>
      </w:r>
      <w:bookmarkEnd w:id="11"/>
      <w:r>
        <w:rPr>
          <w:rFonts w:hint="eastAsia" w:ascii="方正仿宋_GBK" w:eastAsia="方正仿宋_GBK" w:cs="Times New Roman"/>
          <w:color w:val="000000"/>
          <w:sz w:val="32"/>
          <w:szCs w:val="32"/>
        </w:rPr>
        <w:t>、云雾山生态屏障。以缙云山、云雾山为主的生态连绵空间，森林资源、生物多样性丰富，全区自然保护地分布其中，生态区位重要。重点加强森林资源保护和培育，开展野生动植物保护，推进自然保护地建设，拓展森林景观利用，维护生态安全。</w:t>
      </w:r>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b/>
          <w:bCs/>
          <w:color w:val="000000"/>
          <w:sz w:val="32"/>
          <w:szCs w:val="32"/>
        </w:rPr>
        <w:t>“多廊”</w:t>
      </w:r>
      <w:r>
        <w:rPr>
          <w:rFonts w:hint="eastAsia" w:ascii="方正仿宋_GBK" w:eastAsia="方正仿宋_GBK" w:cs="Times New Roman"/>
          <w:color w:val="000000"/>
          <w:sz w:val="32"/>
          <w:szCs w:val="32"/>
        </w:rPr>
        <w:t>指我区境内的重要河流（璧南河、璧北河、梅江河）与铁路、高速、国省干道、重要县乡道路两侧绿色廊道，发挥水源涵养、生物多样性等生态功能。通过全面清零修复受损的路网林带，巩固现有绿化成果。重点推进新建铁路、公路绿化美化建设，稳步开展重要河流生态修复提升。</w:t>
      </w:r>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b/>
          <w:bCs/>
          <w:color w:val="000000"/>
          <w:sz w:val="32"/>
          <w:szCs w:val="32"/>
        </w:rPr>
        <w:t>“多点”</w:t>
      </w:r>
      <w:r>
        <w:rPr>
          <w:rFonts w:hint="eastAsia" w:ascii="方正仿宋_GBK" w:eastAsia="方正仿宋_GBK" w:cs="Times New Roman"/>
          <w:color w:val="000000"/>
          <w:sz w:val="32"/>
          <w:szCs w:val="32"/>
        </w:rPr>
        <w:t>指全区优质的可利用森林景观资源，丰富的果园、茶园和花卉苗木基地。重点发展森林景观利用，建设森林康养基地、森林人家；结合产业发展，建设森林乡村、绿色示范村、休闲采摘体验园等，拓展乡村旅游。</w:t>
      </w: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widowControl/>
        <w:spacing w:line="240" w:lineRule="auto"/>
        <w:ind w:firstLine="0" w:firstLineChars="0"/>
        <w:jc w:val="left"/>
        <w:rPr>
          <w:rFonts w:ascii="方正仿宋_GBK" w:eastAsia="方正仿宋_GBK" w:cs="Times New Roman"/>
          <w:color w:val="000000"/>
          <w:sz w:val="32"/>
          <w:szCs w:val="32"/>
        </w:rPr>
      </w:pPr>
      <w:r>
        <w:rPr>
          <w:rFonts w:ascii="方正仿宋_GBK" w:eastAsia="方正仿宋_GBK" w:cs="Times New Roman"/>
          <w:color w:val="000000"/>
          <w:sz w:val="32"/>
          <w:szCs w:val="32"/>
        </w:rPr>
        <w:br w:type="page"/>
      </w:r>
    </w:p>
    <w:p>
      <w:pPr>
        <w:spacing w:line="360" w:lineRule="auto"/>
        <w:ind w:firstLine="560"/>
        <w:rPr>
          <w:rFonts w:ascii="方正仿宋_GBK" w:eastAsia="方正仿宋_GBK" w:cs="Times New Roman"/>
          <w:color w:val="000000"/>
          <w:sz w:val="32"/>
          <w:szCs w:val="32"/>
        </w:rPr>
      </w:pPr>
      <w:r>
        <w:drawing>
          <wp:anchor distT="0" distB="0" distL="114300" distR="114300" simplePos="0" relativeHeight="251658240" behindDoc="0" locked="0" layoutInCell="1" allowOverlap="1">
            <wp:simplePos x="0" y="0"/>
            <wp:positionH relativeFrom="column">
              <wp:posOffset>-806450</wp:posOffset>
            </wp:positionH>
            <wp:positionV relativeFrom="page">
              <wp:posOffset>774700</wp:posOffset>
            </wp:positionV>
            <wp:extent cx="6362065" cy="8883650"/>
            <wp:effectExtent l="0" t="0" r="635" b="0"/>
            <wp:wrapNone/>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b="1195"/>
                    <a:stretch>
                      <a:fillRect/>
                    </a:stretch>
                  </pic:blipFill>
                  <pic:spPr>
                    <a:xfrm>
                      <a:off x="0" y="0"/>
                      <a:ext cx="6362065" cy="8883650"/>
                    </a:xfrm>
                    <a:prstGeom prst="rect">
                      <a:avLst/>
                    </a:prstGeom>
                    <a:noFill/>
                    <a:ln>
                      <a:noFill/>
                    </a:ln>
                  </pic:spPr>
                </pic:pic>
              </a:graphicData>
            </a:graphic>
          </wp:anchor>
        </w:drawing>
      </w: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spacing w:line="360" w:lineRule="auto"/>
        <w:ind w:firstLine="640"/>
        <w:rPr>
          <w:rFonts w:ascii="方正仿宋_GBK" w:eastAsia="方正仿宋_GBK" w:cs="Times New Roman"/>
          <w:color w:val="000000"/>
          <w:sz w:val="32"/>
          <w:szCs w:val="32"/>
        </w:rPr>
      </w:pPr>
    </w:p>
    <w:p>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spacing w:before="0" w:beforeLines="0" w:after="312" w:line="360" w:lineRule="auto"/>
        <w:rPr>
          <w:rFonts w:ascii="方正小标宋_GBK" w:eastAsia="方正小标宋_GBK" w:hAnsiTheme="minorHAnsi"/>
          <w:b w:val="0"/>
          <w:szCs w:val="28"/>
        </w:rPr>
      </w:pPr>
      <w:bookmarkStart w:id="12" w:name="_Toc93615537"/>
      <w:r>
        <w:rPr>
          <w:rFonts w:hint="eastAsia" w:ascii="方正小标宋_GBK" w:eastAsia="方正小标宋_GBK" w:hAnsiTheme="minorHAnsi"/>
          <w:b w:val="0"/>
          <w:szCs w:val="28"/>
        </w:rPr>
        <w:t xml:space="preserve">第三章 </w:t>
      </w:r>
      <w:r>
        <w:rPr>
          <w:rFonts w:ascii="方正小标宋_GBK" w:eastAsia="方正小标宋_GBK" w:hAnsiTheme="minorHAnsi"/>
          <w:b w:val="0"/>
          <w:szCs w:val="28"/>
        </w:rPr>
        <w:t xml:space="preserve"> </w:t>
      </w:r>
      <w:r>
        <w:rPr>
          <w:rFonts w:hint="eastAsia" w:ascii="方正小标宋_GBK" w:eastAsia="方正小标宋_GBK" w:hAnsiTheme="minorHAnsi"/>
          <w:b w:val="0"/>
          <w:szCs w:val="28"/>
        </w:rPr>
        <w:t>生态保护</w:t>
      </w:r>
      <w:bookmarkEnd w:id="12"/>
    </w:p>
    <w:p>
      <w:pPr>
        <w:spacing w:line="240" w:lineRule="auto"/>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严格森林资源保护管理，全面加强森林、湿地、野生动植物资源保护，维护生物多样性，加强重大林业有害生物防治，提升森林防灭火能力。</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13" w:name="_Toc93615538"/>
      <w:r>
        <w:rPr>
          <w:rFonts w:hint="eastAsia" w:ascii="方正黑体_GBK" w:hAnsi="Times New Roman" w:eastAsia="方正黑体_GBK" w:cs="Times New Roman"/>
          <w:b w:val="0"/>
          <w:szCs w:val="36"/>
        </w:rPr>
        <w:t>第一节 严格森林资源保护管理</w:t>
      </w:r>
      <w:bookmarkEnd w:id="13"/>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严格林地管理 </w:t>
      </w:r>
      <w:r>
        <w:rPr>
          <w:rFonts w:eastAsia="方正楷体_GBK" w:cs="Times New Roman"/>
          <w:b/>
          <w:bCs/>
          <w:sz w:val="32"/>
          <w:szCs w:val="20"/>
        </w:rPr>
        <w:t xml:space="preserve"> </w:t>
      </w:r>
      <w:r>
        <w:rPr>
          <w:rFonts w:hint="eastAsia" w:ascii="方正仿宋_GBK" w:eastAsia="方正仿宋_GBK" w:cs="Times New Roman"/>
          <w:color w:val="000000"/>
          <w:sz w:val="32"/>
          <w:szCs w:val="32"/>
        </w:rPr>
        <w:t>组织编制并严格执行新一轮林地保护利用规划，落实林地分级管控要求，严格林地使用审核审批管理，按照全市林地定额5年总额控制机制，严格林地用途管制，引导建设项目节约集约使用林地，合理争取使用林地指标。加大公益林管理力度，全面实施森林生态效益补偿，落实管护责任制，健全管护、监管责任机制，严格保护公益林地、天然林地，严格管理临时占用林地，遏制林地退化，加大对临时占用和灾毁林地修复力度。</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严格林木采伐 </w:t>
      </w:r>
      <w:r>
        <w:rPr>
          <w:rFonts w:eastAsia="方正楷体_GBK" w:cs="Times New Roman"/>
          <w:b/>
          <w:bCs/>
          <w:sz w:val="32"/>
          <w:szCs w:val="20"/>
        </w:rPr>
        <w:t xml:space="preserve"> </w:t>
      </w:r>
      <w:r>
        <w:rPr>
          <w:rFonts w:hint="eastAsia" w:ascii="方正仿宋_GBK" w:eastAsia="方正仿宋_GBK" w:cs="Times New Roman"/>
          <w:color w:val="000000"/>
          <w:sz w:val="32"/>
          <w:szCs w:val="32"/>
        </w:rPr>
        <w:t>严格执行森林采伐限额制度和凭证采伐管理制度，建立公正透明的采伐指标分配体系和规范便民的采伐审批体系，进一步推行落实林木采伐“放管服”改革工作，创新森林采伐管理机制，提升便民服务水平。差别化管理商品林和公益林、人工林和天然林林木采伐，严管公益林、天然林林木采伐。依法打击非法采伐，确保“十四五”期间依法将年森林采伐蓄积控制在定额指标内。</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严格森林资源“一张图”管理 </w:t>
      </w:r>
      <w:r>
        <w:rPr>
          <w:rFonts w:eastAsia="方正楷体_GBK" w:cs="Times New Roman"/>
          <w:b/>
          <w:bCs/>
          <w:sz w:val="32"/>
          <w:szCs w:val="20"/>
        </w:rPr>
        <w:t xml:space="preserve"> </w:t>
      </w:r>
      <w:r>
        <w:rPr>
          <w:rFonts w:hint="eastAsia" w:ascii="方正仿宋_GBK" w:eastAsia="方正仿宋_GBK" w:cs="Times New Roman"/>
          <w:color w:val="000000"/>
          <w:sz w:val="32"/>
          <w:szCs w:val="32"/>
        </w:rPr>
        <w:t>以全区国土“三调”成果为基础，组织开展全区森林资源专项调查，不断完善森林资源管理“一张图”数据库、公益林数据库、天然林数据库。</w:t>
      </w:r>
    </w:p>
    <w:p>
      <w:pPr>
        <w:spacing w:line="24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严格森林资源监管 </w:t>
      </w:r>
      <w:r>
        <w:rPr>
          <w:rFonts w:eastAsia="方正楷体_GBK" w:cs="Times New Roman"/>
          <w:b/>
          <w:bCs/>
          <w:sz w:val="32"/>
          <w:szCs w:val="20"/>
        </w:rPr>
        <w:t xml:space="preserve"> </w:t>
      </w:r>
      <w:r>
        <w:rPr>
          <w:rFonts w:hint="eastAsia" w:ascii="方正仿宋_GBK" w:eastAsia="方正仿宋_GBK" w:cs="Times New Roman"/>
          <w:color w:val="000000"/>
          <w:sz w:val="32"/>
          <w:szCs w:val="32"/>
        </w:rPr>
        <w:t>持续开展森林督查。结合卫星遥感影像、无人机技术等现代技术，构建“天上看、地上巡、图上比”的森林资源监督管理、案件发现和执法查处机制。加强缙云山、云雾山等重点区域资源监管，开展打击涉林违法行动。坚决查处非法占用林地、湿地、自然保护地及毁林开垦等案件。</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14" w:name="_Toc93615539"/>
      <w:r>
        <w:rPr>
          <w:rFonts w:hint="eastAsia" w:ascii="方正黑体_GBK" w:hAnsi="Times New Roman" w:eastAsia="方正黑体_GBK" w:cs="Times New Roman"/>
          <w:b w:val="0"/>
          <w:szCs w:val="36"/>
        </w:rPr>
        <w:t>第二节 加强生物多样性保护</w:t>
      </w:r>
      <w:bookmarkEnd w:id="14"/>
    </w:p>
    <w:p>
      <w:pPr>
        <w:spacing w:line="360" w:lineRule="auto"/>
        <w:ind w:firstLine="640"/>
        <w:rPr>
          <w:rFonts w:ascii="方正仿宋_GBK" w:eastAsia="方正仿宋_GBK" w:cs="Times New Roman"/>
          <w:color w:val="000000"/>
          <w:sz w:val="32"/>
          <w:szCs w:val="32"/>
        </w:rPr>
      </w:pPr>
      <w:bookmarkStart w:id="15" w:name="_Hlk89511836"/>
      <w:r>
        <w:rPr>
          <w:rFonts w:hint="eastAsia" w:ascii="方正仿宋_GBK" w:eastAsia="方正仿宋_GBK" w:cs="Times New Roman"/>
          <w:color w:val="000000"/>
          <w:sz w:val="32"/>
          <w:szCs w:val="32"/>
        </w:rPr>
        <w:t>开展野生动植物资源本底调查，对全区分布的野生植物资源、陆生野生动物资源、水生生物资源、微生物资源（主要是大型真菌）等进行普查，摸清全区野生动植物种类、空间分布及种群数量变化，调查迁徙类野生动物活动范围和规律，建立动植物种群、数量、分布及其生境的资源档案，编制我区野生动植物名录、数据库，科学制定生物多样性保护行动方案。全面加强国家重点保护野生动植物保护，建设珍稀濒危野生植物扩繁基地及野生动物救护站。严格外来物种管控。加强生物多样性宣传教育，提高公众保护与参与意识。</w:t>
      </w:r>
    </w:p>
    <w:tbl>
      <w:tblPr>
        <w:tblStyle w:val="2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7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8430" w:type="dxa"/>
            <w:gridSpan w:val="2"/>
            <w:vAlign w:val="center"/>
          </w:tcPr>
          <w:p>
            <w:pPr>
              <w:spacing w:line="600" w:lineRule="exact"/>
              <w:ind w:firstLine="560"/>
              <w:jc w:val="center"/>
              <w:rPr>
                <w:rFonts w:ascii="宋体" w:hAnsi="宋体"/>
                <w:b/>
                <w:sz w:val="22"/>
              </w:rPr>
            </w:pPr>
            <w:r>
              <w:rPr>
                <w:rFonts w:hint="eastAsia" w:eastAsia="方正小标宋_GBK" w:cs="Times New Roman"/>
                <w:szCs w:val="28"/>
              </w:rPr>
              <w:t>专栏</w:t>
            </w:r>
            <w:r>
              <w:rPr>
                <w:rFonts w:hint="eastAsia" w:eastAsia="方正仿宋_GBK" w:cs="Times New Roman"/>
                <w:szCs w:val="28"/>
              </w:rPr>
              <w:t>1</w:t>
            </w:r>
            <w:r>
              <w:rPr>
                <w:rFonts w:eastAsia="方正仿宋_GBK" w:cs="Times New Roman"/>
                <w:szCs w:val="28"/>
              </w:rPr>
              <w:t xml:space="preserve">  </w:t>
            </w:r>
            <w:r>
              <w:rPr>
                <w:rFonts w:hint="eastAsia" w:eastAsia="方正小标宋_GBK" w:cs="Times New Roman"/>
                <w:szCs w:val="28"/>
              </w:rPr>
              <w:t>生物多样性保护工程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488"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1</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野生动植物资源调查项目</w:t>
            </w:r>
          </w:p>
          <w:p>
            <w:pPr>
              <w:spacing w:line="440" w:lineRule="exact"/>
              <w:ind w:firstLine="560"/>
              <w:rPr>
                <w:rFonts w:eastAsia="方正仿宋_GBK" w:cs="Times New Roman"/>
                <w:szCs w:val="28"/>
              </w:rPr>
            </w:pPr>
            <w:r>
              <w:rPr>
                <w:rFonts w:hint="eastAsia" w:eastAsia="方正仿宋_GBK" w:cs="Times New Roman"/>
                <w:szCs w:val="28"/>
              </w:rPr>
              <w:t>组织开展野生动植物资源常规调查，以及珍稀野生动植物专项调查，形成野生动植物资源常规调查报告。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88"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2</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珍稀濒危野生植物扩繁基地</w:t>
            </w:r>
          </w:p>
          <w:p>
            <w:pPr>
              <w:spacing w:line="440" w:lineRule="exact"/>
              <w:ind w:firstLine="560"/>
              <w:rPr>
                <w:rFonts w:eastAsia="方正仿宋_GBK" w:cs="Times New Roman"/>
                <w:szCs w:val="28"/>
              </w:rPr>
            </w:pPr>
            <w:r>
              <w:rPr>
                <w:rFonts w:hint="eastAsia" w:eastAsia="方正仿宋_GBK" w:cs="Times New Roman"/>
                <w:szCs w:val="28"/>
              </w:rPr>
              <w:t>加强国家级保护植物（南方红豆杉、桫椤、黑桫椤、金毛狗、润楠、喜树等）生境保护，建设缙云黄芩珍稀濒危野生植物扩繁基地1处。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488"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3</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野生动物救护站建设项目</w:t>
            </w:r>
          </w:p>
          <w:p>
            <w:pPr>
              <w:spacing w:line="440" w:lineRule="exact"/>
              <w:ind w:firstLine="560"/>
              <w:rPr>
                <w:rFonts w:eastAsia="方正仿宋_GBK" w:cs="Times New Roman"/>
                <w:szCs w:val="28"/>
              </w:rPr>
            </w:pPr>
            <w:r>
              <w:rPr>
                <w:rFonts w:hint="eastAsia" w:eastAsia="方正仿宋_GBK" w:cs="Times New Roman"/>
                <w:szCs w:val="28"/>
              </w:rPr>
              <w:t>加强国家重点保护动物（黑冠鹃隼、普通鵟、游隼、画眉等）生境保护，建设野生动物救护站1处。</w:t>
            </w:r>
          </w:p>
        </w:tc>
      </w:tr>
      <w:bookmarkEnd w:id="15"/>
    </w:tbl>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16" w:name="_Toc93615540"/>
      <w:r>
        <w:rPr>
          <w:rFonts w:hint="eastAsia" w:ascii="方正黑体_GBK" w:hAnsi="Times New Roman" w:eastAsia="方正黑体_GBK" w:cs="Times New Roman"/>
          <w:b w:val="0"/>
          <w:szCs w:val="36"/>
        </w:rPr>
        <w:t>第三节 加强自然保护地体系建设</w:t>
      </w:r>
      <w:bookmarkEnd w:id="16"/>
    </w:p>
    <w:p>
      <w:pPr>
        <w:spacing w:line="360" w:lineRule="auto"/>
        <w:ind w:firstLine="640"/>
        <w:rPr>
          <w:rFonts w:ascii="方正仿宋_GBK" w:eastAsia="方正仿宋_GBK" w:cs="Times New Roman"/>
          <w:color w:val="000000"/>
          <w:sz w:val="32"/>
          <w:szCs w:val="32"/>
        </w:rPr>
      </w:pPr>
      <w:bookmarkStart w:id="17" w:name="_Hlk86787005"/>
      <w:r>
        <w:rPr>
          <w:rFonts w:hint="eastAsia" w:ascii="方正仿宋_GBK" w:eastAsia="方正仿宋_GBK" w:cs="Times New Roman"/>
          <w:color w:val="000000"/>
          <w:sz w:val="32"/>
          <w:szCs w:val="32"/>
        </w:rPr>
        <w:t>按照全市统一部署，持续推进全区自然保护地整合优化。与国土空间规划和生态保护红线紧密衔接，对整合优化后的自然保护地编制（或修订）总体规划，在严格保护生态的同时，充分考虑原住居民需求和当地经济社会发展需要，依法解决自然保护地交叉重叠等历史遗留问题。开展自然保护地勘界立标工作，开展自然保护地自然资源调查，建设三维遥感地理信息系统，推进各类各级自然保护地“天空地”一体化监测网络建设，构建“平台发现—现场核查—监督执法”的主动发现监管体系，系统提升自然保护地治理能力，科学建立自然保护地体系。落实《自然保护地生态环境监督工作暂行办法》和重庆市自然保护地监督管理相关制度，制定我区自然保护地监管制度，定期开展自然保护地大检查大整治、“绿盾”等专项行动，严肃查处涉及自然保护地的违法违规行为。加强自然保护地基础设施和能力建设，提高自然保护地监管能力。探索实施自然保护地非国有林生态赎买和自然保护区原住居民生态搬迁。</w:t>
      </w:r>
    </w:p>
    <w:tbl>
      <w:tblPr>
        <w:tblStyle w:val="2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7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8430" w:type="dxa"/>
            <w:gridSpan w:val="2"/>
            <w:vAlign w:val="center"/>
          </w:tcPr>
          <w:p>
            <w:pPr>
              <w:pStyle w:val="38"/>
              <w:spacing w:after="0"/>
              <w:ind w:firstLine="0" w:firstLineChars="0"/>
              <w:jc w:val="center"/>
              <w:rPr>
                <w:rFonts w:ascii="宋体" w:hAnsi="宋体" w:eastAsia="宋体"/>
                <w:b/>
                <w:sz w:val="22"/>
                <w:szCs w:val="22"/>
              </w:rPr>
            </w:pPr>
            <w:r>
              <w:rPr>
                <w:rFonts w:hint="eastAsia" w:eastAsia="方正小标宋_GBK" w:cs="Times New Roman"/>
                <w:szCs w:val="28"/>
              </w:rPr>
              <w:t>专栏</w:t>
            </w:r>
            <w:r>
              <w:rPr>
                <w:rFonts w:hint="eastAsia" w:eastAsia="方正仿宋_GBK" w:cs="Times New Roman"/>
                <w:szCs w:val="28"/>
              </w:rPr>
              <w:t>2</w:t>
            </w:r>
            <w:r>
              <w:rPr>
                <w:rFonts w:eastAsia="方正仿宋_GBK" w:cs="Times New Roman"/>
                <w:szCs w:val="28"/>
              </w:rPr>
              <w:t xml:space="preserve">  </w:t>
            </w:r>
            <w:r>
              <w:rPr>
                <w:rFonts w:hint="eastAsia" w:eastAsia="方正小标宋_GBK" w:cs="Times New Roman"/>
                <w:szCs w:val="28"/>
              </w:rPr>
              <w:t>自然保护地体系建设工程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4" w:hRule="atLeast"/>
          <w:jc w:val="center"/>
        </w:trPr>
        <w:tc>
          <w:tcPr>
            <w:tcW w:w="488"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1</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自然保护地整合优化</w:t>
            </w:r>
          </w:p>
          <w:p>
            <w:pPr>
              <w:spacing w:line="440" w:lineRule="exact"/>
              <w:ind w:firstLine="560"/>
              <w:rPr>
                <w:rFonts w:eastAsia="方正仿宋_GBK" w:cs="Times New Roman"/>
                <w:szCs w:val="28"/>
              </w:rPr>
            </w:pPr>
            <w:r>
              <w:rPr>
                <w:rFonts w:hint="eastAsia" w:eastAsia="方正仿宋_GBK" w:cs="Times New Roman"/>
                <w:szCs w:val="28"/>
              </w:rPr>
              <w:t>按照全市统一部署，持续推进自然保护地整合优化，完善预案、方案、分述报告及矢量数据库，力争在2025年前通过国家审批。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488"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2</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自然保护地勘界立标</w:t>
            </w:r>
          </w:p>
          <w:p>
            <w:pPr>
              <w:spacing w:line="440" w:lineRule="exact"/>
              <w:ind w:firstLine="560"/>
              <w:rPr>
                <w:rFonts w:eastAsia="方正仿宋_GBK" w:cs="Times New Roman"/>
                <w:szCs w:val="28"/>
              </w:rPr>
            </w:pPr>
            <w:r>
              <w:rPr>
                <w:rFonts w:hint="eastAsia" w:eastAsia="方正仿宋_GBK" w:cs="Times New Roman"/>
                <w:szCs w:val="28"/>
              </w:rPr>
              <w:t>依据经批准的自然保护地整合优化方案，按照国家林业和草原局印发的《自然保护区等自然保护地勘界立标工作规范》要求，制定自然保护地边界勘定方案，开展全区自然保护地勘界立标工作。委托具备从事测绘活动资质资格的技术支撑单位勘测自然保护地边界与分区界，进一步明确自然保护地四至范围和功能区划。勘界完成后，建立全区自然保护地勘界立标数据库。根据勘界成果，绘制边界地形图，完成自然保护地范围边界立标，在重要地段、重要部位设立电子围栏、界桩和标识牌。</w:t>
            </w:r>
          </w:p>
          <w:p>
            <w:pPr>
              <w:spacing w:line="440" w:lineRule="exact"/>
              <w:ind w:firstLine="560"/>
              <w:rPr>
                <w:rFonts w:eastAsia="方正仿宋_GBK" w:cs="Times New Roman"/>
                <w:szCs w:val="28"/>
              </w:rPr>
            </w:pPr>
            <w:r>
              <w:rPr>
                <w:rFonts w:hint="eastAsia" w:eastAsia="方正仿宋_GBK" w:cs="Times New Roman"/>
                <w:szCs w:val="28"/>
              </w:rPr>
              <w:t>实施范围涉及重庆璧山金剑山市级自然保护区、重庆璧山云雾山市级自然保护区、重庆璧山青龙湖国家级森林自然公园和重庆璧山秀湖国家级湿地自然公园。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jc w:val="center"/>
        </w:trPr>
        <w:tc>
          <w:tcPr>
            <w:tcW w:w="488"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3</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自然保护地总体规划编制</w:t>
            </w:r>
          </w:p>
          <w:p>
            <w:pPr>
              <w:spacing w:line="440" w:lineRule="exact"/>
              <w:ind w:firstLine="560"/>
              <w:rPr>
                <w:rFonts w:eastAsia="方正仿宋_GBK" w:cs="Times New Roman"/>
                <w:szCs w:val="28"/>
              </w:rPr>
            </w:pPr>
            <w:r>
              <w:rPr>
                <w:rFonts w:hint="eastAsia" w:eastAsia="方正仿宋_GBK" w:cs="Times New Roman"/>
                <w:szCs w:val="28"/>
              </w:rPr>
              <w:t>按照整合优化成果，在国土空间规划指导约束下，科学编制各自然保护地总体规划（修编），以指导未来自然保护地的保护与合理利用工作。加强与上位国土空间总体规划确定的发展目标、约束性指标、技术标准和重大设施布局等内容的衔接，确保区域范围内重大设施及其他合法道路、管线、民生工程等建设不受影响。</w:t>
            </w:r>
          </w:p>
          <w:p>
            <w:pPr>
              <w:spacing w:line="440" w:lineRule="exact"/>
              <w:ind w:firstLine="560"/>
              <w:rPr>
                <w:rFonts w:eastAsia="方正仿宋_GBK" w:cs="Times New Roman"/>
                <w:szCs w:val="28"/>
              </w:rPr>
            </w:pPr>
            <w:bookmarkStart w:id="18" w:name="_Hlk88142410"/>
            <w:r>
              <w:rPr>
                <w:rFonts w:hint="eastAsia" w:eastAsia="方正仿宋_GBK" w:cs="Times New Roman"/>
                <w:szCs w:val="28"/>
              </w:rPr>
              <w:t>组织编制重庆璧山金剑山市级自然保护区、重庆璧山云雾山市级自然保护区、重庆璧山青龙湖国家级森林自然公园和重庆璧山秀湖国家级湿地自然公园等自然保护地的总体规划（修编）；配合缙云山国家级自然保护区管理局进行缙云山国家级自然保护区总体规划编制工作；编制重庆青龙湖市级风景名胜区总体规划（修编）</w:t>
            </w:r>
            <w:bookmarkEnd w:id="18"/>
            <w:r>
              <w:rPr>
                <w:rFonts w:hint="eastAsia" w:eastAsia="方正仿宋_GBK" w:cs="Times New Roman"/>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88"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4</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自然保护地资源调查</w:t>
            </w:r>
          </w:p>
          <w:p>
            <w:pPr>
              <w:spacing w:line="440" w:lineRule="exact"/>
              <w:ind w:firstLine="560"/>
              <w:rPr>
                <w:rFonts w:eastAsia="方正仿宋_GBK" w:cs="Times New Roman"/>
                <w:szCs w:val="28"/>
              </w:rPr>
            </w:pPr>
            <w:r>
              <w:rPr>
                <w:rFonts w:hint="eastAsia" w:eastAsia="方正仿宋_GBK" w:cs="Times New Roman"/>
                <w:szCs w:val="28"/>
              </w:rPr>
              <w:t>开展自然保护地生态环境和自然资源调查，全面掌握本底情况，为全区自然保护地管理、决策和规划奠定基础。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88"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5</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自然保护地管理能力建设</w:t>
            </w:r>
          </w:p>
          <w:p>
            <w:pPr>
              <w:spacing w:line="440" w:lineRule="exact"/>
              <w:ind w:firstLine="560"/>
              <w:rPr>
                <w:rFonts w:eastAsia="方正仿宋_GBK" w:cs="Times New Roman"/>
                <w:szCs w:val="28"/>
              </w:rPr>
            </w:pPr>
            <w:r>
              <w:rPr>
                <w:rFonts w:hint="eastAsia" w:eastAsia="方正仿宋_GBK" w:cs="Times New Roman"/>
                <w:szCs w:val="28"/>
              </w:rPr>
              <w:t>结合智慧林业建设，建设完善管护、巡护、公众教育、科研监测、防灾减灾等系统；建设自然保护地科普教育和管护中心2-</w:t>
            </w:r>
            <w:r>
              <w:rPr>
                <w:rFonts w:eastAsia="方正仿宋_GBK" w:cs="Times New Roman"/>
                <w:szCs w:val="28"/>
              </w:rPr>
              <w:t>3</w:t>
            </w:r>
            <w:r>
              <w:rPr>
                <w:rFonts w:hint="eastAsia" w:eastAsia="方正仿宋_GBK" w:cs="Times New Roman"/>
                <w:szCs w:val="28"/>
              </w:rPr>
              <w:t>个；建设完善自然保护地人类活动问题监管平台，保障运行维护，开展自然保护地人类活动遥感监测。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8"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6</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缙云山生态环道建设</w:t>
            </w:r>
          </w:p>
          <w:p>
            <w:pPr>
              <w:spacing w:line="440" w:lineRule="exact"/>
              <w:ind w:firstLine="560"/>
              <w:rPr>
                <w:rFonts w:eastAsia="方正仿宋_GBK" w:cs="Times New Roman"/>
                <w:szCs w:val="28"/>
              </w:rPr>
            </w:pPr>
            <w:r>
              <w:rPr>
                <w:rFonts w:hint="eastAsia" w:eastAsia="方正仿宋_GBK" w:cs="Times New Roman"/>
                <w:szCs w:val="28"/>
              </w:rPr>
              <w:t>实施缙云山国家级自然保护区生态环道工程（璧山段）。建设车行道约1</w:t>
            </w:r>
            <w:r>
              <w:rPr>
                <w:rFonts w:eastAsia="方正仿宋_GBK" w:cs="Times New Roman"/>
                <w:szCs w:val="28"/>
              </w:rPr>
              <w:t>5.4</w:t>
            </w:r>
            <w:r>
              <w:rPr>
                <w:rFonts w:hint="eastAsia" w:eastAsia="方正仿宋_GBK" w:cs="Times New Roman"/>
                <w:szCs w:val="28"/>
              </w:rPr>
              <w:t>公里、骑游道约1</w:t>
            </w:r>
            <w:r>
              <w:rPr>
                <w:rFonts w:eastAsia="方正仿宋_GBK" w:cs="Times New Roman"/>
                <w:szCs w:val="28"/>
              </w:rPr>
              <w:t>6</w:t>
            </w:r>
            <w:r>
              <w:rPr>
                <w:rFonts w:hint="eastAsia" w:eastAsia="方正仿宋_GBK" w:cs="Times New Roman"/>
                <w:szCs w:val="28"/>
              </w:rPr>
              <w:t>.4公里、桥梁5座约1.1公里；实施附属设施及绿化景观建设。</w:t>
            </w:r>
          </w:p>
        </w:tc>
      </w:tr>
      <w:bookmarkEnd w:id="17"/>
    </w:tbl>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19" w:name="_Toc93615541"/>
      <w:r>
        <w:rPr>
          <w:rFonts w:hint="eastAsia" w:ascii="方正黑体_GBK" w:hAnsi="Times New Roman" w:eastAsia="方正黑体_GBK" w:cs="Times New Roman"/>
          <w:b w:val="0"/>
          <w:szCs w:val="36"/>
        </w:rPr>
        <w:t>第四节 加强湿地资源保护管理</w:t>
      </w:r>
      <w:bookmarkEnd w:id="19"/>
    </w:p>
    <w:p>
      <w:pPr>
        <w:spacing w:line="360" w:lineRule="auto"/>
        <w:ind w:firstLine="640"/>
        <w:rPr>
          <w:rFonts w:ascii="方正仿宋_GBK" w:eastAsia="方正仿宋_GBK" w:cs="Times New Roman"/>
          <w:color w:val="000000"/>
          <w:sz w:val="32"/>
          <w:szCs w:val="32"/>
        </w:rPr>
      </w:pPr>
      <w:bookmarkStart w:id="20" w:name="_Hlk86789660"/>
      <w:r>
        <w:rPr>
          <w:rFonts w:hint="eastAsia" w:ascii="方正仿宋_GBK" w:eastAsia="方正仿宋_GBK" w:cs="Times New Roman"/>
          <w:color w:val="000000"/>
          <w:sz w:val="32"/>
          <w:szCs w:val="32"/>
        </w:rPr>
        <w:t>贯彻落实湿地保护管理办法，完善湿地保护体系，会同有关部门开展湿地资源调查评估，建立动态湿地资源档案和名录，完善全区重要湿地资源数据库。大力推进璧南河、璧北河、梅江河干流及其支流护岸湿地的建设与恢复，全面保障境内“三河”重要生态涵养带。加强湿地监督管理，积极发挥重庆璧山秀湖国家级湿地公园的资源保护、科普宣教、休闲娱乐等生态和社会服务功能。加强湿地用途管制，确因工程建设等需要占用、征收湿地应开展对湿地生态系统影响评价。在“世界湿地日”“重庆市湿地保护宣传周”开展宣传教育活动，营造全社会关注湿地、保护湿地的良好氛围。</w:t>
      </w:r>
      <w:r>
        <w:rPr>
          <w:rFonts w:ascii="方正仿宋_GBK" w:eastAsia="方正仿宋_GBK" w:cs="Times New Roman"/>
          <w:color w:val="000000"/>
          <w:sz w:val="32"/>
          <w:szCs w:val="32"/>
        </w:rPr>
        <w:br w:type="page"/>
      </w:r>
    </w:p>
    <w:tbl>
      <w:tblPr>
        <w:tblStyle w:val="2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7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8430" w:type="dxa"/>
            <w:gridSpan w:val="2"/>
            <w:vAlign w:val="center"/>
          </w:tcPr>
          <w:p>
            <w:pPr>
              <w:pStyle w:val="38"/>
              <w:spacing w:after="0"/>
              <w:ind w:firstLine="0" w:firstLineChars="0"/>
              <w:jc w:val="center"/>
              <w:rPr>
                <w:rFonts w:ascii="宋体" w:hAnsi="宋体" w:eastAsia="宋体"/>
                <w:b/>
                <w:sz w:val="22"/>
                <w:szCs w:val="22"/>
              </w:rPr>
            </w:pPr>
            <w:r>
              <w:rPr>
                <w:rFonts w:hint="eastAsia" w:eastAsia="方正小标宋_GBK" w:cs="Times New Roman"/>
                <w:szCs w:val="28"/>
              </w:rPr>
              <w:t>专栏3</w:t>
            </w:r>
            <w:r>
              <w:rPr>
                <w:rFonts w:eastAsia="方正小标宋_GBK" w:cs="Times New Roman"/>
                <w:szCs w:val="28"/>
              </w:rPr>
              <w:t xml:space="preserve">  </w:t>
            </w:r>
            <w:r>
              <w:rPr>
                <w:rFonts w:hint="eastAsia" w:eastAsia="方正小标宋_GBK" w:cs="Times New Roman"/>
                <w:szCs w:val="28"/>
              </w:rPr>
              <w:t>湿地保护与修复工程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88"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1</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重要河流水生态建设</w:t>
            </w:r>
          </w:p>
          <w:p>
            <w:pPr>
              <w:spacing w:line="440" w:lineRule="exact"/>
              <w:ind w:firstLine="560"/>
              <w:rPr>
                <w:rFonts w:eastAsia="方正仿宋_GBK" w:cs="Times New Roman"/>
                <w:szCs w:val="28"/>
              </w:rPr>
            </w:pPr>
            <w:r>
              <w:rPr>
                <w:rFonts w:hint="eastAsia" w:eastAsia="方正仿宋_GBK" w:cs="Times New Roman"/>
                <w:szCs w:val="28"/>
              </w:rPr>
              <w:t>对璧南河流经镇街（璧城、璧泉、青杠、来凤、河边、福禄、健龙等），璧北河流经镇街（大路、七塘、八塘等）实施生态水利工程，进行河湖湿地保护、水生态环境综合整治；对梅江河流经镇街（丁家街道、福禄镇、正兴镇、大兴镇、三合镇）实施河道水生态环境治理。</w:t>
            </w:r>
          </w:p>
        </w:tc>
      </w:tr>
      <w:bookmarkEnd w:id="20"/>
    </w:tbl>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21" w:name="_Toc93615542"/>
      <w:r>
        <w:rPr>
          <w:rFonts w:hint="eastAsia" w:ascii="方正黑体_GBK" w:hAnsi="Times New Roman" w:eastAsia="方正黑体_GBK" w:cs="Times New Roman"/>
          <w:b w:val="0"/>
          <w:szCs w:val="36"/>
        </w:rPr>
        <w:t>第五节 加强森林防灭火能力建设</w:t>
      </w:r>
      <w:bookmarkEnd w:id="21"/>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完善森林火灾人防、技防、物防“三防”体系。加强国有林场、自然保护区等区域入口及醒目位置防火宣传碑牌设置，增强群众森林防火意识，营造全民防火的良好氛围。加强专业森林消防队伍建设和培训，提升防救力量和综合能力。加强全区防火物资储备，加快建设森林防火通道、生物防火阻隔带，加强林区消防水池建设，推进传统防火和科学防火相结合、风力灭火和以水灭火相结合、人力灭火和机械灭火相结合，确保森林火情早期处置有效。全面完成森林火灾风险普查，开展重点隐患调查，摸清森林火灾风险隐患底数，有序推动林火阻隔系统建设专项规划及实施，加强林下可燃物清理，降低发生森林火灾风险。大力提升森林防火信息化水平，加快构建“天空地”一体化火情智能监测系统，推广无人机应用，提高瞭望监测的覆盖范围、监测精度及智能辅助。森林火灾受害率稳定控制在</w:t>
      </w:r>
      <w:r>
        <w:rPr>
          <w:rFonts w:hint="eastAsia" w:eastAsia="方正仿宋_GBK" w:cs="Times New Roman"/>
          <w:sz w:val="32"/>
          <w:szCs w:val="32"/>
        </w:rPr>
        <w:t>0.</w:t>
      </w:r>
      <w:r>
        <w:rPr>
          <w:rFonts w:eastAsia="方正仿宋_GBK" w:cs="Times New Roman"/>
          <w:sz w:val="32"/>
          <w:szCs w:val="32"/>
        </w:rPr>
        <w:t>1</w:t>
      </w:r>
      <w:r>
        <w:rPr>
          <w:rFonts w:hint="eastAsia" w:eastAsia="方正仿宋_GBK" w:cs="Times New Roman"/>
          <w:sz w:val="32"/>
          <w:szCs w:val="32"/>
        </w:rPr>
        <w:t>‰</w:t>
      </w:r>
      <w:r>
        <w:rPr>
          <w:rFonts w:hint="eastAsia" w:ascii="方正仿宋_GBK" w:eastAsia="方正仿宋_GBK" w:cs="Times New Roman"/>
          <w:color w:val="000000"/>
          <w:sz w:val="32"/>
          <w:szCs w:val="32"/>
        </w:rPr>
        <w:t>以下。</w:t>
      </w:r>
    </w:p>
    <w:p>
      <w:pPr>
        <w:widowControl/>
        <w:spacing w:line="240" w:lineRule="auto"/>
        <w:ind w:firstLine="0" w:firstLineChars="0"/>
        <w:jc w:val="left"/>
        <w:rPr>
          <w:rFonts w:ascii="方正仿宋_GBK" w:eastAsia="方正仿宋_GBK" w:cs="Times New Roman"/>
          <w:color w:val="000000"/>
          <w:sz w:val="32"/>
          <w:szCs w:val="32"/>
        </w:rPr>
      </w:pPr>
      <w:r>
        <w:rPr>
          <w:rFonts w:ascii="方正仿宋_GBK" w:eastAsia="方正仿宋_GBK" w:cs="Times New Roman"/>
          <w:color w:val="000000"/>
          <w:sz w:val="32"/>
          <w:szCs w:val="32"/>
        </w:rPr>
        <w:br w:type="page"/>
      </w:r>
    </w:p>
    <w:tbl>
      <w:tblPr>
        <w:tblStyle w:val="2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7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8430" w:type="dxa"/>
            <w:gridSpan w:val="2"/>
            <w:vAlign w:val="center"/>
          </w:tcPr>
          <w:p>
            <w:pPr>
              <w:pStyle w:val="38"/>
              <w:spacing w:after="0"/>
              <w:ind w:firstLine="0" w:firstLineChars="0"/>
              <w:jc w:val="center"/>
              <w:rPr>
                <w:rFonts w:ascii="宋体" w:hAnsi="宋体" w:eastAsia="宋体"/>
                <w:b/>
                <w:sz w:val="22"/>
                <w:szCs w:val="22"/>
              </w:rPr>
            </w:pPr>
            <w:r>
              <w:rPr>
                <w:rFonts w:hint="eastAsia" w:eastAsia="方正小标宋_GBK" w:cs="Times New Roman"/>
                <w:szCs w:val="28"/>
              </w:rPr>
              <w:t>专栏</w:t>
            </w:r>
            <w:r>
              <w:rPr>
                <w:rFonts w:hint="eastAsia" w:eastAsia="方正仿宋_GBK" w:cs="Times New Roman"/>
                <w:szCs w:val="28"/>
              </w:rPr>
              <w:t>4</w:t>
            </w:r>
            <w:r>
              <w:rPr>
                <w:rFonts w:eastAsia="方正仿宋_GBK" w:cs="Times New Roman"/>
                <w:szCs w:val="28"/>
              </w:rPr>
              <w:t xml:space="preserve">  </w:t>
            </w:r>
            <w:r>
              <w:rPr>
                <w:rFonts w:hint="eastAsia" w:eastAsia="方正小标宋_GBK" w:cs="Times New Roman"/>
                <w:szCs w:val="28"/>
              </w:rPr>
              <w:t>森林防火能力与水平提升工程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88" w:type="dxa"/>
            <w:vAlign w:val="center"/>
          </w:tcPr>
          <w:p>
            <w:pPr>
              <w:spacing w:line="440" w:lineRule="exact"/>
              <w:ind w:firstLine="0" w:firstLineChars="0"/>
              <w:jc w:val="center"/>
              <w:rPr>
                <w:rFonts w:eastAsia="方正仿宋_GBK" w:cs="Times New Roman"/>
                <w:szCs w:val="28"/>
              </w:rPr>
            </w:pPr>
            <w:r>
              <w:rPr>
                <w:rFonts w:hint="eastAsia" w:eastAsia="方正仿宋_GBK" w:cs="Times New Roman"/>
                <w:szCs w:val="28"/>
              </w:rPr>
              <w:t>1</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林火阻隔系统建设</w:t>
            </w:r>
          </w:p>
          <w:p>
            <w:pPr>
              <w:spacing w:line="440" w:lineRule="exact"/>
              <w:ind w:firstLine="560"/>
              <w:rPr>
                <w:rFonts w:eastAsia="方正仿宋_GBK" w:cs="Times New Roman"/>
                <w:szCs w:val="28"/>
              </w:rPr>
            </w:pPr>
            <w:r>
              <w:rPr>
                <w:rFonts w:hint="eastAsia" w:eastAsia="方正仿宋_GBK" w:cs="Times New Roman"/>
                <w:szCs w:val="28"/>
              </w:rPr>
              <w:t>新建森林防火通道60公里、消防水池150 口、生物防火阻隔带350公里。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88" w:type="dxa"/>
            <w:vAlign w:val="center"/>
          </w:tcPr>
          <w:p>
            <w:pPr>
              <w:spacing w:line="440" w:lineRule="exact"/>
              <w:ind w:firstLine="0" w:firstLineChars="0"/>
              <w:jc w:val="center"/>
              <w:rPr>
                <w:rFonts w:eastAsia="方正仿宋_GBK" w:cs="Times New Roman"/>
                <w:szCs w:val="28"/>
              </w:rPr>
            </w:pPr>
            <w:r>
              <w:rPr>
                <w:rFonts w:hint="eastAsia" w:eastAsia="方正仿宋_GBK" w:cs="Times New Roman"/>
                <w:szCs w:val="28"/>
              </w:rPr>
              <w:t>2</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森林防火标准检查站建设</w:t>
            </w:r>
          </w:p>
          <w:p>
            <w:pPr>
              <w:spacing w:line="440" w:lineRule="exact"/>
              <w:ind w:firstLine="560"/>
              <w:rPr>
                <w:rFonts w:eastAsia="方正仿宋_GBK" w:cs="Times New Roman"/>
                <w:szCs w:val="28"/>
              </w:rPr>
            </w:pPr>
            <w:r>
              <w:rPr>
                <w:rFonts w:hint="eastAsia" w:eastAsia="方正仿宋_GBK" w:cs="Times New Roman"/>
                <w:szCs w:val="28"/>
              </w:rPr>
              <w:t>建设森林防火标准检查站 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jc w:val="center"/>
        </w:trPr>
        <w:tc>
          <w:tcPr>
            <w:tcW w:w="488" w:type="dxa"/>
            <w:vAlign w:val="center"/>
          </w:tcPr>
          <w:p>
            <w:pPr>
              <w:spacing w:line="440" w:lineRule="exact"/>
              <w:ind w:firstLine="0" w:firstLineChars="0"/>
              <w:jc w:val="center"/>
              <w:rPr>
                <w:rFonts w:eastAsia="方正仿宋_GBK" w:cs="Times New Roman"/>
                <w:szCs w:val="28"/>
              </w:rPr>
            </w:pPr>
            <w:r>
              <w:rPr>
                <w:rFonts w:hint="eastAsia" w:eastAsia="方正仿宋_GBK" w:cs="Times New Roman"/>
                <w:szCs w:val="28"/>
              </w:rPr>
              <w:t>3</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森林防火基础设施提升改造</w:t>
            </w:r>
          </w:p>
          <w:p>
            <w:pPr>
              <w:spacing w:line="440" w:lineRule="exact"/>
              <w:ind w:firstLine="560"/>
              <w:rPr>
                <w:rFonts w:eastAsia="方正仿宋_GBK" w:cs="Times New Roman"/>
                <w:szCs w:val="28"/>
              </w:rPr>
            </w:pPr>
            <w:r>
              <w:rPr>
                <w:rFonts w:hint="eastAsia" w:eastAsia="方正仿宋_GBK" w:cs="Times New Roman"/>
                <w:szCs w:val="28"/>
              </w:rPr>
              <w:t>结合四好农村路和山坪塘整治，硬化林区道路</w:t>
            </w:r>
            <w:r>
              <w:rPr>
                <w:rFonts w:eastAsia="方正仿宋_GBK" w:cs="Times New Roman"/>
                <w:szCs w:val="28"/>
              </w:rPr>
              <w:t>5</w:t>
            </w:r>
            <w:r>
              <w:rPr>
                <w:rFonts w:hint="eastAsia" w:eastAsia="方正仿宋_GBK" w:cs="Times New Roman"/>
                <w:szCs w:val="28"/>
              </w:rPr>
              <w:t>0公里，维修整治重要林区水源点20个。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88" w:type="dxa"/>
            <w:vAlign w:val="center"/>
          </w:tcPr>
          <w:p>
            <w:pPr>
              <w:spacing w:line="440" w:lineRule="exact"/>
              <w:ind w:firstLine="0" w:firstLineChars="0"/>
              <w:jc w:val="center"/>
              <w:rPr>
                <w:rFonts w:eastAsia="方正仿宋_GBK" w:cs="Times New Roman"/>
                <w:szCs w:val="28"/>
              </w:rPr>
            </w:pPr>
            <w:r>
              <w:rPr>
                <w:rFonts w:eastAsia="方正仿宋_GBK" w:cs="Times New Roman"/>
                <w:szCs w:val="28"/>
              </w:rPr>
              <w:t>4</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“天空地”一体化火情智能监测系统</w:t>
            </w:r>
          </w:p>
          <w:p>
            <w:pPr>
              <w:spacing w:line="440" w:lineRule="exact"/>
              <w:ind w:firstLine="560"/>
              <w:rPr>
                <w:rFonts w:eastAsia="方正仿宋_GBK" w:cs="Times New Roman"/>
                <w:szCs w:val="28"/>
              </w:rPr>
            </w:pPr>
            <w:r>
              <w:rPr>
                <w:rFonts w:hint="eastAsia" w:eastAsia="方正仿宋_GBK" w:cs="Times New Roman"/>
                <w:szCs w:val="28"/>
              </w:rPr>
              <w:t>通过市林业局统一组织方式，购买森林火情智能监控服务28套，林火探测器300套，林内主要路口安装监控摄像头200个，建设区级森林防火监测预警中心1个。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88" w:type="dxa"/>
            <w:vAlign w:val="center"/>
          </w:tcPr>
          <w:p>
            <w:pPr>
              <w:spacing w:line="440" w:lineRule="exact"/>
              <w:ind w:firstLine="0" w:firstLineChars="0"/>
              <w:jc w:val="center"/>
              <w:rPr>
                <w:rFonts w:eastAsia="方正仿宋_GBK" w:cs="Times New Roman"/>
                <w:szCs w:val="28"/>
              </w:rPr>
            </w:pPr>
            <w:r>
              <w:rPr>
                <w:rFonts w:hint="eastAsia" w:eastAsia="方正仿宋_GBK" w:cs="Times New Roman"/>
                <w:szCs w:val="28"/>
              </w:rPr>
              <w:t>5</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森林火灾隐患排查</w:t>
            </w:r>
          </w:p>
          <w:p>
            <w:pPr>
              <w:spacing w:line="440" w:lineRule="exact"/>
              <w:ind w:firstLine="560"/>
              <w:rPr>
                <w:rFonts w:eastAsia="方正仿宋_GBK" w:cs="Times New Roman"/>
                <w:b/>
                <w:bCs/>
                <w:szCs w:val="28"/>
              </w:rPr>
            </w:pPr>
            <w:r>
              <w:rPr>
                <w:rFonts w:hint="eastAsia" w:eastAsia="方正仿宋_GBK" w:cs="Times New Roman"/>
                <w:szCs w:val="28"/>
              </w:rPr>
              <w:t>结合森林抚育，开展林下可燃物清理，规划实施4万亩。</w:t>
            </w:r>
          </w:p>
        </w:tc>
      </w:tr>
    </w:tbl>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22" w:name="_Toc93615543"/>
      <w:r>
        <w:rPr>
          <w:rFonts w:hint="eastAsia" w:ascii="方正黑体_GBK" w:hAnsi="Times New Roman" w:eastAsia="方正黑体_GBK" w:cs="Times New Roman"/>
          <w:b w:val="0"/>
          <w:szCs w:val="36"/>
        </w:rPr>
        <w:t>第六节 加强重大林业有害生物防治</w:t>
      </w:r>
      <w:bookmarkEnd w:id="22"/>
    </w:p>
    <w:p>
      <w:pPr>
        <w:spacing w:line="360" w:lineRule="auto"/>
        <w:ind w:firstLine="640"/>
        <w:rPr>
          <w:rFonts w:ascii="方正仿宋_GBK" w:eastAsia="方正仿宋_GBK" w:cs="Times New Roman"/>
          <w:color w:val="000000"/>
          <w:sz w:val="32"/>
          <w:szCs w:val="32"/>
        </w:rPr>
      </w:pPr>
      <w:bookmarkStart w:id="23" w:name="_Hlk86787964"/>
      <w:r>
        <w:rPr>
          <w:rFonts w:hint="eastAsia" w:ascii="方正仿宋_GBK" w:eastAsia="方正仿宋_GBK" w:cs="Times New Roman"/>
          <w:color w:val="000000"/>
          <w:sz w:val="32"/>
          <w:szCs w:val="32"/>
        </w:rPr>
        <w:t>全面加强林业有害生物治理，按照“突出重点，分类施策”的原则开展林业有害生物防控。开展松材线虫病、毛虫、竹蝗、松墨天牛等有害生物综合防治，重点实施松材线虫病疫情防控五年攻坚行动。开展区（县）际、镇街间联防联治，强化检疫执法，严控疫木源头，按照治理目标，分类施策，坚决遏制疫情扩散蔓延，实现松材线虫病发生疫点、面积和病（枯）死树三下降。依托重点工程建设，完善林业有害生物监测预警、检疫御灾和防治减灾、服务保障体系。重点提升缙云山、云雾山有害生物监测、预警和防治水平。加强检疫执法队伍建设和专业技术人员培养，防范外来林业有害生物侵入。到</w:t>
      </w:r>
      <w:r>
        <w:rPr>
          <w:rFonts w:hint="eastAsia" w:eastAsia="方正仿宋_GBK" w:cs="Times New Roman"/>
          <w:sz w:val="32"/>
          <w:szCs w:val="32"/>
        </w:rPr>
        <w:t xml:space="preserve"> 2025</w:t>
      </w:r>
      <w:r>
        <w:rPr>
          <w:rFonts w:hint="eastAsia" w:ascii="方正仿宋_GBK" w:eastAsia="方正仿宋_GBK" w:cs="Times New Roman"/>
          <w:color w:val="000000"/>
          <w:sz w:val="32"/>
          <w:szCs w:val="32"/>
        </w:rPr>
        <w:t>年，林业有害生物成灾率控制在</w:t>
      </w:r>
      <w:r>
        <w:rPr>
          <w:rFonts w:hint="eastAsia" w:eastAsia="方正仿宋_GBK" w:cs="Times New Roman"/>
          <w:sz w:val="32"/>
          <w:szCs w:val="32"/>
        </w:rPr>
        <w:t>2‰</w:t>
      </w:r>
      <w:r>
        <w:rPr>
          <w:rFonts w:hint="eastAsia" w:ascii="方正仿宋_GBK" w:eastAsia="方正仿宋_GBK" w:cs="Times New Roman"/>
          <w:color w:val="000000"/>
          <w:sz w:val="32"/>
          <w:szCs w:val="32"/>
        </w:rPr>
        <w:t>以下，无公害防治率达到</w:t>
      </w:r>
      <w:r>
        <w:rPr>
          <w:rFonts w:hint="eastAsia" w:eastAsia="方正仿宋_GBK" w:cs="Times New Roman"/>
          <w:sz w:val="32"/>
          <w:szCs w:val="32"/>
        </w:rPr>
        <w:t>85%</w:t>
      </w:r>
      <w:r>
        <w:rPr>
          <w:rFonts w:hint="eastAsia" w:ascii="方正仿宋_GBK" w:eastAsia="方正仿宋_GBK" w:cs="Times New Roman"/>
          <w:color w:val="000000"/>
          <w:sz w:val="32"/>
          <w:szCs w:val="32"/>
        </w:rPr>
        <w:t xml:space="preserve">以上，测报准确率达到 </w:t>
      </w:r>
      <w:r>
        <w:rPr>
          <w:rFonts w:hint="eastAsia" w:eastAsia="方正仿宋_GBK" w:cs="Times New Roman"/>
          <w:sz w:val="32"/>
          <w:szCs w:val="32"/>
        </w:rPr>
        <w:t>90%</w:t>
      </w:r>
      <w:r>
        <w:rPr>
          <w:rFonts w:hint="eastAsia" w:ascii="方正仿宋_GBK" w:eastAsia="方正仿宋_GBK" w:cs="Times New Roman"/>
          <w:color w:val="000000"/>
          <w:sz w:val="32"/>
          <w:szCs w:val="32"/>
        </w:rPr>
        <w:t xml:space="preserve">以上，种苗产地检疫率达到 </w:t>
      </w:r>
      <w:r>
        <w:rPr>
          <w:rFonts w:hint="eastAsia" w:eastAsia="方正仿宋_GBK" w:cs="Times New Roman"/>
          <w:sz w:val="32"/>
          <w:szCs w:val="32"/>
        </w:rPr>
        <w:t>100%</w:t>
      </w:r>
      <w:r>
        <w:rPr>
          <w:rFonts w:hint="eastAsia" w:ascii="方正仿宋_GBK" w:eastAsia="方正仿宋_GBK" w:cs="Times New Roman"/>
          <w:color w:val="000000"/>
          <w:sz w:val="32"/>
          <w:szCs w:val="32"/>
        </w:rPr>
        <w:t>，力争实现疫区拔除目标。</w:t>
      </w:r>
    </w:p>
    <w:tbl>
      <w:tblPr>
        <w:tblStyle w:val="2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7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blHeader/>
          <w:jc w:val="center"/>
        </w:trPr>
        <w:tc>
          <w:tcPr>
            <w:tcW w:w="8430" w:type="dxa"/>
            <w:gridSpan w:val="2"/>
            <w:vAlign w:val="center"/>
          </w:tcPr>
          <w:p>
            <w:pPr>
              <w:pStyle w:val="38"/>
              <w:spacing w:after="0"/>
              <w:ind w:firstLine="0" w:firstLineChars="0"/>
              <w:jc w:val="center"/>
              <w:rPr>
                <w:rFonts w:ascii="宋体" w:hAnsi="宋体" w:eastAsia="宋体"/>
                <w:b/>
                <w:sz w:val="22"/>
                <w:szCs w:val="22"/>
              </w:rPr>
            </w:pPr>
            <w:r>
              <w:rPr>
                <w:rFonts w:hint="eastAsia" w:eastAsia="方正小标宋_GBK" w:cs="Times New Roman"/>
                <w:szCs w:val="28"/>
              </w:rPr>
              <w:t>专栏</w:t>
            </w:r>
            <w:r>
              <w:rPr>
                <w:rFonts w:hint="eastAsia" w:eastAsia="方正仿宋_GBK" w:cs="Times New Roman"/>
                <w:szCs w:val="28"/>
              </w:rPr>
              <w:t>5</w:t>
            </w:r>
            <w:r>
              <w:rPr>
                <w:rFonts w:eastAsia="方正仿宋_GBK" w:cs="Times New Roman"/>
                <w:szCs w:val="28"/>
              </w:rPr>
              <w:t xml:space="preserve">  </w:t>
            </w:r>
            <w:r>
              <w:rPr>
                <w:rFonts w:hint="eastAsia" w:eastAsia="方正小标宋_GBK" w:cs="Times New Roman"/>
                <w:szCs w:val="28"/>
              </w:rPr>
              <w:t>重大林业有害生物防治工程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88" w:type="dxa"/>
            <w:vAlign w:val="center"/>
          </w:tcPr>
          <w:p>
            <w:pPr>
              <w:spacing w:line="440" w:lineRule="exact"/>
              <w:ind w:firstLine="0" w:firstLineChars="0"/>
              <w:jc w:val="center"/>
              <w:rPr>
                <w:rFonts w:eastAsia="方正仿宋_GBK" w:cs="Times New Roman"/>
                <w:szCs w:val="28"/>
              </w:rPr>
            </w:pPr>
            <w:r>
              <w:rPr>
                <w:rFonts w:hint="eastAsia" w:eastAsia="方正仿宋_GBK" w:cs="Times New Roman"/>
                <w:szCs w:val="28"/>
              </w:rPr>
              <w:t>1</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松材线虫病疫情防控</w:t>
            </w:r>
          </w:p>
          <w:p>
            <w:pPr>
              <w:spacing w:line="440" w:lineRule="exact"/>
              <w:ind w:firstLine="560"/>
              <w:rPr>
                <w:rFonts w:eastAsia="方正仿宋_GBK" w:cs="Times New Roman"/>
                <w:szCs w:val="28"/>
              </w:rPr>
            </w:pPr>
            <w:r>
              <w:rPr>
                <w:rFonts w:hint="eastAsia" w:eastAsia="方正仿宋_GBK" w:cs="Times New Roman"/>
                <w:szCs w:val="28"/>
              </w:rPr>
              <w:t>科学制定攻坚任务，全力推进松材线虫病疫情5年攻坚行动。2021年实现璧泉、来凤街道无疫情，减少松材线虫病疫情面0.001</w:t>
            </w:r>
            <w:r>
              <w:rPr>
                <w:rFonts w:eastAsia="方正仿宋_GBK" w:cs="Times New Roman"/>
                <w:szCs w:val="28"/>
              </w:rPr>
              <w:t>5</w:t>
            </w:r>
            <w:r>
              <w:rPr>
                <w:rFonts w:hint="eastAsia" w:eastAsia="方正仿宋_GBK" w:cs="Times New Roman"/>
                <w:szCs w:val="28"/>
              </w:rPr>
              <w:t>万亩，病死松树下降10%；2022年拔除璧泉、来凤街道疫点，实现大路街道无疫情，减少松材线虫病疫情面积0.06</w:t>
            </w:r>
            <w:r>
              <w:rPr>
                <w:rFonts w:eastAsia="方正仿宋_GBK" w:cs="Times New Roman"/>
                <w:szCs w:val="28"/>
              </w:rPr>
              <w:t>8</w:t>
            </w:r>
            <w:r>
              <w:rPr>
                <w:rFonts w:hint="eastAsia" w:eastAsia="方正仿宋_GBK" w:cs="Times New Roman"/>
                <w:szCs w:val="28"/>
              </w:rPr>
              <w:t>万亩，病死松树下降4%；2023年拔除大路街道疫点，实现青杠街道无疫情，减少松材线虫病发生面积0.101</w:t>
            </w:r>
            <w:r>
              <w:rPr>
                <w:rFonts w:eastAsia="方正仿宋_GBK" w:cs="Times New Roman"/>
                <w:szCs w:val="28"/>
              </w:rPr>
              <w:t>5</w:t>
            </w:r>
            <w:r>
              <w:rPr>
                <w:rFonts w:hint="eastAsia" w:eastAsia="方正仿宋_GBK" w:cs="Times New Roman"/>
                <w:szCs w:val="28"/>
              </w:rPr>
              <w:t>万亩，病死松树下降18%；2024年拔除青杠街道疫点，实现璧城街道、区东风林场无疫情，减少松材线虫病发生面积0.041</w:t>
            </w:r>
            <w:r>
              <w:rPr>
                <w:rFonts w:eastAsia="方正仿宋_GBK" w:cs="Times New Roman"/>
                <w:szCs w:val="28"/>
              </w:rPr>
              <w:t>7</w:t>
            </w:r>
            <w:r>
              <w:rPr>
                <w:rFonts w:hint="eastAsia" w:eastAsia="方正仿宋_GBK" w:cs="Times New Roman"/>
                <w:szCs w:val="28"/>
              </w:rPr>
              <w:t>万亩，病死松树下降68%；2025年拔除璧城街道、区东风林场疫点，减少松材线虫病发生面积0.2091万亩。实现疫区拔除目标。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8" w:type="dxa"/>
            <w:vAlign w:val="center"/>
          </w:tcPr>
          <w:p>
            <w:pPr>
              <w:spacing w:line="440" w:lineRule="exact"/>
              <w:ind w:firstLine="0" w:firstLineChars="0"/>
              <w:jc w:val="center"/>
              <w:rPr>
                <w:rFonts w:eastAsia="方正仿宋_GBK" w:cs="Times New Roman"/>
                <w:szCs w:val="28"/>
              </w:rPr>
            </w:pPr>
            <w:r>
              <w:rPr>
                <w:rFonts w:hint="eastAsia" w:eastAsia="方正仿宋_GBK" w:cs="Times New Roman"/>
                <w:szCs w:val="28"/>
              </w:rPr>
              <w:t>2</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成渝经济圈重大林业有害生物防治综合治理项目</w:t>
            </w:r>
          </w:p>
          <w:p>
            <w:pPr>
              <w:spacing w:line="440" w:lineRule="exact"/>
              <w:ind w:firstLine="560"/>
              <w:rPr>
                <w:rFonts w:eastAsia="方正仿宋_GBK" w:cs="Times New Roman"/>
                <w:szCs w:val="28"/>
              </w:rPr>
            </w:pPr>
            <w:r>
              <w:rPr>
                <w:rFonts w:hint="eastAsia" w:eastAsia="方正仿宋_GBK" w:cs="Times New Roman"/>
                <w:szCs w:val="28"/>
              </w:rPr>
              <w:t>着力解决全区森防基础设施落后，防治设备简陋，信息化、机械化程度低，应急防治设施建设和物资储备基本薄弱等环节；建立和完善以松材线虫病等重大林业有害生物防治为核心的防治减灾体系。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88" w:type="dxa"/>
            <w:vAlign w:val="center"/>
          </w:tcPr>
          <w:p>
            <w:pPr>
              <w:spacing w:line="440" w:lineRule="exact"/>
              <w:ind w:firstLine="0" w:firstLineChars="0"/>
              <w:jc w:val="center"/>
              <w:rPr>
                <w:rFonts w:eastAsia="方正仿宋_GBK" w:cs="Times New Roman"/>
                <w:szCs w:val="28"/>
              </w:rPr>
            </w:pPr>
            <w:r>
              <w:rPr>
                <w:rFonts w:hint="eastAsia" w:eastAsia="方正仿宋_GBK" w:cs="Times New Roman"/>
                <w:szCs w:val="28"/>
              </w:rPr>
              <w:t>3</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林业有害生物综合治理</w:t>
            </w:r>
          </w:p>
          <w:p>
            <w:pPr>
              <w:spacing w:line="440" w:lineRule="exact"/>
              <w:ind w:firstLine="560"/>
              <w:rPr>
                <w:rFonts w:eastAsia="方正仿宋_GBK" w:cs="Times New Roman"/>
                <w:szCs w:val="28"/>
              </w:rPr>
            </w:pPr>
            <w:r>
              <w:rPr>
                <w:rFonts w:hint="eastAsia" w:eastAsia="方正仿宋_GBK" w:cs="Times New Roman"/>
                <w:szCs w:val="28"/>
              </w:rPr>
              <w:t>根据全区主要林业有害生物发生面积及分布，在松材线虫病疫情镇街、东风林场，加强常发性病虫害（松毛虫、黄脊竹蝗、松赤枯病、鼠兔害和有害植物等）防控。强化镇街主体责任，开展区（县）际、镇街间联防联治，加强检疫执法，严控疫木源头，确保全区森林资源安全。</w:t>
            </w:r>
          </w:p>
        </w:tc>
      </w:tr>
    </w:tbl>
    <w:p>
      <w:pPr>
        <w:widowControl/>
        <w:spacing w:line="240" w:lineRule="auto"/>
        <w:ind w:firstLine="0" w:firstLineChars="0"/>
        <w:jc w:val="left"/>
        <w:rPr>
          <w:rFonts w:ascii="方正仿宋_GBK" w:eastAsia="方正仿宋_GBK" w:cs="Times New Roman"/>
          <w:color w:val="000000"/>
          <w:sz w:val="32"/>
          <w:szCs w:val="32"/>
        </w:rPr>
      </w:pPr>
      <w:r>
        <w:rPr>
          <w:rFonts w:ascii="方正仿宋_GBK" w:eastAsia="方正仿宋_GBK" w:cs="Times New Roman"/>
          <w:color w:val="000000"/>
          <w:sz w:val="32"/>
          <w:szCs w:val="32"/>
        </w:rPr>
        <w:br w:type="page"/>
      </w:r>
    </w:p>
    <w:bookmarkEnd w:id="23"/>
    <w:p>
      <w:pPr>
        <w:pStyle w:val="2"/>
        <w:spacing w:before="0" w:beforeLines="0" w:after="312" w:line="360" w:lineRule="auto"/>
        <w:rPr>
          <w:rFonts w:ascii="方正小标宋_GBK" w:eastAsia="方正小标宋_GBK" w:hAnsiTheme="minorHAnsi"/>
          <w:b w:val="0"/>
          <w:szCs w:val="28"/>
        </w:rPr>
      </w:pPr>
      <w:bookmarkStart w:id="24" w:name="_Toc93615544"/>
      <w:r>
        <w:rPr>
          <w:rFonts w:hint="eastAsia" w:ascii="方正小标宋_GBK" w:eastAsia="方正小标宋_GBK" w:hAnsiTheme="minorHAnsi"/>
          <w:b w:val="0"/>
          <w:szCs w:val="28"/>
        </w:rPr>
        <w:t xml:space="preserve">第四章 </w:t>
      </w:r>
      <w:r>
        <w:rPr>
          <w:rFonts w:ascii="方正小标宋_GBK" w:eastAsia="方正小标宋_GBK" w:hAnsiTheme="minorHAnsi"/>
          <w:b w:val="0"/>
          <w:szCs w:val="28"/>
        </w:rPr>
        <w:t xml:space="preserve"> </w:t>
      </w:r>
      <w:r>
        <w:rPr>
          <w:rFonts w:hint="eastAsia" w:ascii="方正小标宋_GBK" w:eastAsia="方正小标宋_GBK" w:hAnsiTheme="minorHAnsi"/>
          <w:b w:val="0"/>
          <w:szCs w:val="28"/>
        </w:rPr>
        <w:t>生态修复</w:t>
      </w:r>
      <w:bookmarkEnd w:id="24"/>
    </w:p>
    <w:p>
      <w:pPr>
        <w:spacing w:line="360" w:lineRule="auto"/>
        <w:ind w:firstLine="640"/>
        <w:rPr>
          <w:rFonts w:ascii="方正仿宋_GBK" w:eastAsia="方正仿宋_GBK" w:cs="Times New Roman"/>
          <w:color w:val="000000"/>
          <w:sz w:val="32"/>
          <w:szCs w:val="32"/>
        </w:rPr>
      </w:pPr>
      <w:r>
        <w:rPr>
          <w:rFonts w:hint="eastAsia" w:ascii="方正仿宋_GBK" w:eastAsia="方正仿宋_GBK" w:cs="Times New Roman"/>
          <w:color w:val="000000"/>
          <w:sz w:val="32"/>
          <w:szCs w:val="32"/>
        </w:rPr>
        <w:t>精准落实绿化空间，严禁违规占用耕地绿化造林，遏制耕地“非农化”、防治“非粮化”。坚决落实碳达峰、碳中和要求，科学开展植树造林、森林保护与经营，提高和巩固森林生态系统碳汇能力。加大生态廊道和绿色生态屏障建设，持续筑牢长江上游重要生态屏障。</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25" w:name="_Toc93615545"/>
      <w:r>
        <w:rPr>
          <w:rFonts w:hint="eastAsia" w:ascii="方正黑体_GBK" w:hAnsi="Times New Roman" w:eastAsia="方正黑体_GBK" w:cs="Times New Roman"/>
          <w:b w:val="0"/>
          <w:szCs w:val="36"/>
        </w:rPr>
        <w:t>第一节 生态廊道修复</w:t>
      </w:r>
      <w:bookmarkEnd w:id="25"/>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积极推进铁路绿化 </w:t>
      </w:r>
      <w:r>
        <w:rPr>
          <w:rFonts w:eastAsia="方正楷体_GBK" w:cs="Times New Roman"/>
          <w:b/>
          <w:bCs/>
          <w:sz w:val="32"/>
          <w:szCs w:val="20"/>
        </w:rPr>
        <w:t xml:space="preserve"> </w:t>
      </w:r>
      <w:r>
        <w:rPr>
          <w:rFonts w:hint="eastAsia" w:ascii="方正仿宋_GBK" w:eastAsia="方正仿宋_GBK" w:cs="Times New Roman"/>
          <w:color w:val="000000"/>
          <w:sz w:val="32"/>
          <w:szCs w:val="32"/>
        </w:rPr>
        <w:t>在符合铁路安全管理规定的前提下，强化绿化补植及管护工作，巩固好已建成通车铁路路段的绿化成果。将新建铁路绿化纳入工程规划，同步设计、同步建设、同步验收。重点加强我区境内高铁线路绿化建设，积极打造生态铁路、绿色长廊。</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持续推进公路绿化 </w:t>
      </w:r>
      <w:r>
        <w:rPr>
          <w:rFonts w:eastAsia="方正楷体_GBK" w:cs="Times New Roman"/>
          <w:b/>
          <w:bCs/>
          <w:sz w:val="32"/>
          <w:szCs w:val="20"/>
        </w:rPr>
        <w:t xml:space="preserve"> </w:t>
      </w:r>
      <w:r>
        <w:rPr>
          <w:rFonts w:hint="eastAsia" w:ascii="方正仿宋_GBK" w:eastAsia="方正仿宋_GBK" w:cs="Times New Roman"/>
          <w:color w:val="000000"/>
          <w:sz w:val="32"/>
          <w:szCs w:val="32"/>
        </w:rPr>
        <w:t>着力提升公路沿线绿化水平，持续推进宜绿化路段绿化，改造受损、“断带”路段。对现有高速公路、国省干道、县乡道路及农村公路全面清零修复受损的路网林带，巩固现有道路绿化成果。公路新建、改建、扩建时统一将绿化纳入工程规划。以新建高速公路为重点，加大乡土珍贵树种应用比重，对进出我区的公路通道、互通立交等重要区域进行高质量、高品位景观建设，形成防护功能完备、景观层次丰富、色彩搭配和谐的森林景观长廊。</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稳步开展河渠湖库绿化 </w:t>
      </w:r>
      <w:r>
        <w:rPr>
          <w:rFonts w:eastAsia="方正楷体_GBK" w:cs="Times New Roman"/>
          <w:b/>
          <w:bCs/>
          <w:sz w:val="32"/>
          <w:szCs w:val="20"/>
        </w:rPr>
        <w:t xml:space="preserve"> </w:t>
      </w:r>
      <w:r>
        <w:rPr>
          <w:rFonts w:hint="eastAsia" w:ascii="方正仿宋_GBK" w:eastAsia="方正仿宋_GBK" w:cs="Times New Roman"/>
          <w:color w:val="000000"/>
          <w:sz w:val="32"/>
          <w:szCs w:val="32"/>
        </w:rPr>
        <w:t>积极开展河渠两侧、湖库周边绿化建设，持续改善河渠湖库岸线生态面貌。在靠近城镇、村庄、园区的河流岸线，构建以乔、灌、花、草为主的滨水休闲景观林带，在库、塘、河岸营造防护林，降低岸坡水土流失风险。重点推进“三河”生态廊道建设，在璧南河、璧北河、梅江河两岸第一层山脊线或平缓地带</w:t>
      </w:r>
      <w:r>
        <w:rPr>
          <w:rFonts w:hint="eastAsia" w:eastAsia="方正仿宋_GBK" w:cs="Times New Roman"/>
          <w:sz w:val="32"/>
          <w:szCs w:val="32"/>
        </w:rPr>
        <w:t>1</w:t>
      </w:r>
      <w:r>
        <w:rPr>
          <w:rFonts w:hint="eastAsia" w:ascii="方正仿宋_GBK" w:eastAsia="方正仿宋_GBK" w:cs="Times New Roman"/>
          <w:color w:val="000000"/>
          <w:sz w:val="32"/>
          <w:szCs w:val="32"/>
        </w:rPr>
        <w:t>公里可视范围内的可建区域，开展生态修复提升，调整树种结构，增加彩色树种比例，增加岸线植被覆盖，增强生态防护功能，丰富两岸生态景观，提高生态景观品位。</w:t>
      </w:r>
    </w:p>
    <w:tbl>
      <w:tblPr>
        <w:tblStyle w:val="2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7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8430" w:type="dxa"/>
            <w:gridSpan w:val="2"/>
            <w:vAlign w:val="center"/>
          </w:tcPr>
          <w:p>
            <w:pPr>
              <w:pStyle w:val="38"/>
              <w:spacing w:after="0"/>
              <w:ind w:firstLine="0" w:firstLineChars="0"/>
              <w:jc w:val="center"/>
              <w:rPr>
                <w:rFonts w:ascii="宋体" w:hAnsi="宋体" w:eastAsia="宋体"/>
                <w:b/>
                <w:sz w:val="22"/>
                <w:szCs w:val="22"/>
              </w:rPr>
            </w:pPr>
            <w:r>
              <w:rPr>
                <w:rFonts w:hint="eastAsia" w:eastAsia="方正小标宋_GBK" w:cs="Times New Roman"/>
                <w:szCs w:val="28"/>
              </w:rPr>
              <w:t>专栏</w:t>
            </w:r>
            <w:r>
              <w:rPr>
                <w:rFonts w:eastAsia="方正仿宋_GBK" w:cs="Times New Roman"/>
                <w:szCs w:val="28"/>
              </w:rPr>
              <w:t xml:space="preserve">6  </w:t>
            </w:r>
            <w:r>
              <w:rPr>
                <w:rFonts w:hint="eastAsia" w:eastAsia="方正小标宋_GBK" w:cs="Times New Roman"/>
                <w:szCs w:val="28"/>
              </w:rPr>
              <w:t>生态廊道建设工程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488"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1</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重要河流生态廊道建设</w:t>
            </w:r>
          </w:p>
          <w:p>
            <w:pPr>
              <w:spacing w:line="440" w:lineRule="exact"/>
              <w:ind w:firstLine="560"/>
              <w:rPr>
                <w:rFonts w:eastAsia="方正仿宋_GBK" w:cs="Times New Roman"/>
                <w:szCs w:val="28"/>
              </w:rPr>
            </w:pPr>
            <w:r>
              <w:rPr>
                <w:rFonts w:hint="eastAsia" w:eastAsia="方正仿宋_GBK" w:cs="Times New Roman"/>
                <w:szCs w:val="28"/>
              </w:rPr>
              <w:t>在璧南河、璧北河、梅江河两岸第一层山脊线或平缓地带1公里可视范围内的可建区域（0</w:t>
            </w:r>
            <w:r>
              <w:rPr>
                <w:rFonts w:eastAsia="方正仿宋_GBK" w:cs="Times New Roman"/>
                <w:szCs w:val="28"/>
              </w:rPr>
              <w:t>.35</w:t>
            </w:r>
            <w:r>
              <w:rPr>
                <w:rFonts w:hint="eastAsia" w:eastAsia="方正仿宋_GBK" w:cs="Times New Roman"/>
                <w:szCs w:val="28"/>
              </w:rPr>
              <w:t>万亩），进行林相改造，增加彩色树种比例。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488"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2</w:t>
            </w:r>
          </w:p>
        </w:tc>
        <w:tc>
          <w:tcPr>
            <w:tcW w:w="7942"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交通干线生态廊道建设</w:t>
            </w:r>
          </w:p>
          <w:p>
            <w:pPr>
              <w:spacing w:line="440" w:lineRule="exact"/>
              <w:ind w:firstLine="560"/>
              <w:rPr>
                <w:rFonts w:eastAsia="方正仿宋_GBK" w:cs="Times New Roman"/>
                <w:szCs w:val="28"/>
              </w:rPr>
            </w:pPr>
            <w:bookmarkStart w:id="26" w:name="_Hlk89946016"/>
            <w:r>
              <w:rPr>
                <w:rFonts w:hint="eastAsia" w:eastAsia="方正仿宋_GBK" w:cs="Times New Roman"/>
                <w:szCs w:val="28"/>
              </w:rPr>
              <w:t>结合我区综合交通运输规划及建设实际，对新建铁路（渝昆高铁九龙坡至永川段、成渝中线高铁和璧铜线、兰渝高铁）沿线14公里，高速公路（合璧津高速、渝遂高速复线、永川至璧山高速）沿线85公里，国省干道（G244大路至北碚段、S545大兴至城区段）沿线29公里，进行高标准绿化造林；对改扩建国省干道（G319福里树至瀚恩公园、S547正兴至九龙坡界、S545大兴至石院）沿线31公里，重要县乡道沿线70公里，全面清零修复受损林带。</w:t>
            </w:r>
            <w:bookmarkEnd w:id="26"/>
          </w:p>
        </w:tc>
      </w:tr>
    </w:tbl>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27" w:name="_Toc93615546"/>
      <w:r>
        <w:rPr>
          <w:rFonts w:hint="eastAsia" w:ascii="方正黑体_GBK" w:hAnsi="Times New Roman" w:eastAsia="方正黑体_GBK" w:cs="Times New Roman"/>
          <w:b w:val="0"/>
          <w:szCs w:val="36"/>
        </w:rPr>
        <w:t>第二节 绿色生态屏障建设</w:t>
      </w:r>
      <w:bookmarkEnd w:id="27"/>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强化天然林保护与修复 </w:t>
      </w:r>
      <w:r>
        <w:rPr>
          <w:rFonts w:eastAsia="方正楷体_GBK" w:cs="Times New Roman"/>
          <w:b/>
          <w:bCs/>
          <w:sz w:val="32"/>
          <w:szCs w:val="20"/>
        </w:rPr>
        <w:t xml:space="preserve"> </w:t>
      </w:r>
      <w:r>
        <w:rPr>
          <w:rFonts w:hint="eastAsia" w:ascii="方正仿宋_GBK" w:eastAsia="方正仿宋_GBK" w:cs="Times New Roman"/>
          <w:color w:val="000000"/>
          <w:sz w:val="32"/>
          <w:szCs w:val="32"/>
        </w:rPr>
        <w:t>严格执行天然林保护政策，严格限制天然林采伐，严格控制天然林地转为其他用途。按照《天然林保护修复制度方案》要求，建立全面保护、系统恢复、用途管控、权责明确的天然林保护修复制度体系。根据生态保护红线以及生态区位重要性、自然恢复能力、生态脆弱性、物种珍稀性等多种要素，确定天然林保护重点区域。编制天然林保护修复实施方案，科学指导天然林保护修复工作，加快构建以天然林为主体的健康稳定的森林生态系统。通过实施封禁保护，以自然恢复为主、人工促进为辅，提高森林质量，增强森林生态系统稳定性。</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精准提升森林质量 </w:t>
      </w:r>
      <w:r>
        <w:rPr>
          <w:rFonts w:eastAsia="方正楷体_GBK" w:cs="Times New Roman"/>
          <w:b/>
          <w:bCs/>
          <w:sz w:val="32"/>
          <w:szCs w:val="20"/>
        </w:rPr>
        <w:t xml:space="preserve"> </w:t>
      </w:r>
      <w:r>
        <w:rPr>
          <w:rFonts w:hint="eastAsia" w:ascii="方正仿宋_GBK" w:eastAsia="方正仿宋_GBK" w:cs="Times New Roman"/>
          <w:color w:val="000000"/>
          <w:sz w:val="32"/>
          <w:szCs w:val="32"/>
        </w:rPr>
        <w:t>通过森林抚育、林相改造、退化林修复等措施，结合不同立地条件，增植、补植有较高季相变化树种，丰富森林层次结构，凸显四季自然变化，积极培育复层异龄混交林，构建健康稳定、优质高效、季相丰富的森林生态系统。</w:t>
      </w:r>
      <w:r>
        <w:rPr>
          <w:rFonts w:hint="eastAsia" w:eastAsia="楷体" w:cs="Times New Roman"/>
          <w:sz w:val="32"/>
          <w:szCs w:val="36"/>
        </w:rPr>
        <w:t>低效林改造。</w:t>
      </w:r>
      <w:r>
        <w:rPr>
          <w:rFonts w:hint="eastAsia" w:ascii="方正仿宋_GBK" w:eastAsia="方正仿宋_GBK" w:cs="Times New Roman"/>
          <w:color w:val="000000"/>
          <w:sz w:val="32"/>
          <w:szCs w:val="32"/>
        </w:rPr>
        <w:t>对林分结构和稳定性失调，林木生长发育迟滞，系统功能退化或丧失，导致森林生态功能显著低下的低产林分进行改造，采取改变林分结构、调整或更替树种等营林措施，形成多树种、多层次、多功能的混交复层林，促进生物多样性，改善树种结构和景观效果，提高森林的综合生态效益。重点加大对桉树、马尾松等纯林改造力度。规划实施低效林改造</w:t>
      </w:r>
      <w:r>
        <w:rPr>
          <w:rFonts w:eastAsia="方正仿宋_GBK" w:cs="Times New Roman"/>
          <w:sz w:val="32"/>
          <w:szCs w:val="32"/>
        </w:rPr>
        <w:t>5</w:t>
      </w:r>
      <w:r>
        <w:rPr>
          <w:rFonts w:hint="eastAsia" w:ascii="方正仿宋_GBK" w:eastAsia="方正仿宋_GBK" w:cs="Times New Roman"/>
          <w:color w:val="000000"/>
          <w:sz w:val="32"/>
          <w:szCs w:val="32"/>
        </w:rPr>
        <w:t>万亩。</w:t>
      </w:r>
      <w:r>
        <w:rPr>
          <w:rFonts w:hint="eastAsia" w:eastAsia="楷体" w:cs="Times New Roman"/>
          <w:sz w:val="32"/>
          <w:szCs w:val="36"/>
        </w:rPr>
        <w:t>森林抚育。</w:t>
      </w:r>
      <w:r>
        <w:rPr>
          <w:rFonts w:hint="eastAsia" w:ascii="方正仿宋_GBK" w:eastAsia="方正仿宋_GBK" w:cs="Times New Roman"/>
          <w:color w:val="000000"/>
          <w:sz w:val="32"/>
          <w:szCs w:val="32"/>
        </w:rPr>
        <w:t>全面加强中幼林森林抚育，调整森林结构，提高林木生长量，培育优质高产大径级林和复层异龄混交林。对密度过大、林木竞争激烈的林分，采取抚育间伐等措施，调整林分密度，优化林分结构，促进林木生长；对密度过疏、目的树种缺乏、天然更新不良的林分，通过补植补造、促进天然更新等抚育措施，调整树种组成，增加乡土树种比例，培育混交林；对遭受有害生物侵害等受损林分，采取卫生伐、补植补造等综合抚育措施，改善林分健康状况，增强林分活力；对新造幼林，加大割灌除草等抚育措施，增强幼树竞争能力，促进林木生长，加快幼林郁闭成林。规划实施森林抚育</w:t>
      </w:r>
      <w:r>
        <w:rPr>
          <w:rFonts w:eastAsia="方正仿宋_GBK" w:cs="Times New Roman"/>
          <w:sz w:val="32"/>
          <w:szCs w:val="32"/>
        </w:rPr>
        <w:t>12</w:t>
      </w:r>
      <w:r>
        <w:rPr>
          <w:rFonts w:hint="eastAsia" w:ascii="方正仿宋_GBK" w:eastAsia="方正仿宋_GBK" w:cs="Times New Roman"/>
          <w:color w:val="000000"/>
          <w:sz w:val="32"/>
          <w:szCs w:val="32"/>
        </w:rPr>
        <w:t>万亩。</w:t>
      </w:r>
      <w:r>
        <w:rPr>
          <w:rFonts w:hint="eastAsia" w:eastAsia="楷体" w:cs="Times New Roman"/>
          <w:sz w:val="32"/>
          <w:szCs w:val="36"/>
        </w:rPr>
        <w:t>石漠化综合治理。</w:t>
      </w:r>
      <w:r>
        <w:rPr>
          <w:rFonts w:hint="eastAsia" w:ascii="方正仿宋_GBK" w:eastAsia="方正仿宋_GBK" w:cs="Times New Roman"/>
          <w:color w:val="000000"/>
          <w:sz w:val="32"/>
          <w:szCs w:val="32"/>
        </w:rPr>
        <w:t>开展新一轮石漠化监测，根据全区石漠化区域实际情况，探索不同区域的治理技术方法和治理措施。通过人工治理与自然修复相结合、生物措施与工程措施相结合，因地制宜采用人工造林、封山育林、森林抚育等多种方式，恢复石漠化地区生物多样性，改善区域生态环境。规划实施石漠化综合治理</w:t>
      </w:r>
      <w:r>
        <w:rPr>
          <w:rFonts w:hint="eastAsia" w:eastAsia="方正仿宋_GBK" w:cs="Times New Roman"/>
          <w:sz w:val="32"/>
          <w:szCs w:val="32"/>
        </w:rPr>
        <w:t>0.2</w:t>
      </w:r>
      <w:r>
        <w:rPr>
          <w:rFonts w:hint="eastAsia" w:ascii="方正仿宋_GBK" w:eastAsia="方正仿宋_GBK" w:cs="Times New Roman"/>
          <w:color w:val="000000"/>
          <w:sz w:val="32"/>
          <w:szCs w:val="32"/>
        </w:rPr>
        <w:t>万亩。</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国家储备林建设 </w:t>
      </w:r>
      <w:r>
        <w:rPr>
          <w:rFonts w:eastAsia="方正楷体_GBK" w:cs="Times New Roman"/>
          <w:b/>
          <w:bCs/>
          <w:sz w:val="32"/>
          <w:szCs w:val="20"/>
        </w:rPr>
        <w:t xml:space="preserve"> </w:t>
      </w:r>
      <w:r>
        <w:rPr>
          <w:rFonts w:hint="eastAsia" w:ascii="方正仿宋_GBK" w:eastAsia="方正仿宋_GBK" w:cs="Times New Roman"/>
          <w:color w:val="000000"/>
          <w:sz w:val="32"/>
          <w:szCs w:val="32"/>
        </w:rPr>
        <w:t>立足国家木材安全战略需求，以精准提高森林质量、优化改善林分结构为基础，以增加林木资源储备和优质木材产量为核心，以培育储备乡土珍贵树种和优质大径材为重点，因地制宜、适地适树地建设结构优化、优质高效、功能多样的国家储备林。规划建设国家储备林</w:t>
      </w:r>
      <w:r>
        <w:rPr>
          <w:rFonts w:hint="eastAsia" w:eastAsia="方正仿宋_GBK" w:cs="Times New Roman"/>
          <w:sz w:val="32"/>
          <w:szCs w:val="32"/>
        </w:rPr>
        <w:t>0.45</w:t>
      </w:r>
      <w:r>
        <w:rPr>
          <w:rFonts w:hint="eastAsia" w:ascii="方正仿宋_GBK" w:eastAsia="方正仿宋_GBK" w:cs="Times New Roman"/>
          <w:color w:val="000000"/>
          <w:sz w:val="32"/>
          <w:szCs w:val="32"/>
        </w:rPr>
        <w:t>万亩。</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全域挖潜增绿 </w:t>
      </w:r>
      <w:r>
        <w:rPr>
          <w:rFonts w:eastAsia="方正楷体_GBK" w:cs="Times New Roman"/>
          <w:b/>
          <w:bCs/>
          <w:sz w:val="32"/>
          <w:szCs w:val="20"/>
        </w:rPr>
        <w:t xml:space="preserve"> </w:t>
      </w:r>
      <w:r>
        <w:rPr>
          <w:rFonts w:hint="eastAsia" w:ascii="方正仿宋_GBK" w:eastAsia="方正仿宋_GBK" w:cs="Times New Roman"/>
          <w:color w:val="000000"/>
          <w:sz w:val="32"/>
          <w:szCs w:val="32"/>
        </w:rPr>
        <w:t>紧密结合国土三调成果和国土空间规划，综合考虑土地利用结构、土地适宜性等因素，科学划定绿化用地。充分挖掘绿化潜力，实施规划建绿、留白增绿、修复还绿，对全区裸露地，包括无立木林地、交通沿线、水体沿岸、庭院和村镇周围等无植被或植被碎化严重的地块，营造乔木林、经果林，做到应绿尽绿，减少水土流失，加强水源涵养，扩大生态容量。对高陡边坡、退出或废弃采石场、取土场、堆积地等受损弃置地，采取工程、生物等多种治理措施，科学实施生态修复，着力恢复生态环境。对建设项目临时使用林地，在项目结束后种植适生树种进行复绿。对区域内河流、水库、坑塘、人工湿地等开展湿地生态修复，构建功能稳定、景观多样的湿地生态系统。结合乡村资源特色，建设绿色斑块，推进村庄环境、景观、产业和内涵提升。</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城区绿化 </w:t>
      </w:r>
      <w:r>
        <w:rPr>
          <w:rFonts w:ascii="方正仿宋_GBK" w:eastAsia="方正仿宋_GBK" w:cs="Times New Roman"/>
          <w:color w:val="000000"/>
          <w:sz w:val="32"/>
          <w:szCs w:val="32"/>
        </w:rPr>
        <w:t xml:space="preserve"> </w:t>
      </w:r>
      <w:r>
        <w:rPr>
          <w:rFonts w:hint="eastAsia" w:ascii="方正仿宋_GBK" w:eastAsia="方正仿宋_GBK" w:cs="Times New Roman"/>
          <w:color w:val="000000"/>
          <w:sz w:val="32"/>
          <w:szCs w:val="32"/>
        </w:rPr>
        <w:t>充分与国土空间规划体系衔接，划定城市绿线，高标准实施城区新建道路绿化，强化道路绿廊、水系绿廊等生态绿廊建设，对城中重要山脊线上已有建筑、城市坡地、堡坎、挡墙、高切坡和自然山体崖壁等“秃斑”进行景观绿化治理，新建百草园、茅莱山、玉泉湖等 7 个综合公园，优化城市绿化空间，提升建成区绿地总量。</w:t>
      </w:r>
    </w:p>
    <w:tbl>
      <w:tblPr>
        <w:tblStyle w:val="22"/>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8295" w:type="dxa"/>
            <w:gridSpan w:val="2"/>
            <w:vAlign w:val="center"/>
          </w:tcPr>
          <w:p>
            <w:pPr>
              <w:pStyle w:val="38"/>
              <w:spacing w:after="0"/>
              <w:ind w:firstLine="0" w:firstLineChars="0"/>
              <w:jc w:val="center"/>
              <w:rPr>
                <w:rFonts w:ascii="宋体" w:hAnsi="宋体" w:eastAsia="宋体"/>
                <w:b/>
                <w:sz w:val="22"/>
                <w:szCs w:val="22"/>
              </w:rPr>
            </w:pPr>
            <w:r>
              <w:rPr>
                <w:rFonts w:hint="eastAsia" w:eastAsia="方正小标宋_GBK" w:cs="Times New Roman"/>
                <w:szCs w:val="28"/>
              </w:rPr>
              <w:t>专栏</w:t>
            </w:r>
            <w:r>
              <w:rPr>
                <w:rFonts w:eastAsia="方正小标宋_GBK" w:cs="Times New Roman"/>
                <w:szCs w:val="28"/>
              </w:rPr>
              <w:t xml:space="preserve">7  </w:t>
            </w:r>
            <w:r>
              <w:rPr>
                <w:rFonts w:hint="eastAsia" w:eastAsia="方正小标宋_GBK" w:cs="Times New Roman"/>
                <w:szCs w:val="28"/>
              </w:rPr>
              <w:t>缙云山、茅莱山、云雾山生态屏障建设工程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62"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1</w:t>
            </w:r>
          </w:p>
        </w:tc>
        <w:tc>
          <w:tcPr>
            <w:tcW w:w="7733"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天然林保护与修复</w:t>
            </w:r>
          </w:p>
          <w:p>
            <w:pPr>
              <w:spacing w:line="440" w:lineRule="exact"/>
              <w:ind w:firstLine="560"/>
              <w:rPr>
                <w:rFonts w:eastAsia="方正仿宋_GBK" w:cs="Times New Roman"/>
                <w:szCs w:val="28"/>
              </w:rPr>
            </w:pPr>
            <w:r>
              <w:rPr>
                <w:rFonts w:hint="eastAsia" w:eastAsia="方正仿宋_GBK" w:cs="Times New Roman"/>
                <w:szCs w:val="28"/>
              </w:rPr>
              <w:t>持续对全区天然林进行管护。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562"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2</w:t>
            </w:r>
          </w:p>
        </w:tc>
        <w:tc>
          <w:tcPr>
            <w:tcW w:w="7733"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精准提升森林质量</w:t>
            </w:r>
          </w:p>
          <w:p>
            <w:pPr>
              <w:spacing w:line="440" w:lineRule="exact"/>
              <w:ind w:firstLine="560"/>
              <w:rPr>
                <w:rFonts w:eastAsia="方正仿宋_GBK" w:cs="Times New Roman"/>
                <w:szCs w:val="28"/>
              </w:rPr>
            </w:pPr>
            <w:r>
              <w:rPr>
                <w:rFonts w:hint="eastAsia" w:eastAsia="方正仿宋_GBK" w:cs="Times New Roman"/>
                <w:szCs w:val="28"/>
              </w:rPr>
              <w:t>实施森林经营面积1</w:t>
            </w:r>
            <w:r>
              <w:rPr>
                <w:rFonts w:eastAsia="方正仿宋_GBK" w:cs="Times New Roman"/>
                <w:szCs w:val="28"/>
              </w:rPr>
              <w:t>7.2</w:t>
            </w:r>
            <w:r>
              <w:rPr>
                <w:rFonts w:hint="eastAsia" w:eastAsia="方正仿宋_GBK" w:cs="Times New Roman"/>
                <w:szCs w:val="28"/>
              </w:rPr>
              <w:t>万亩，其中：低效林改造</w:t>
            </w:r>
            <w:r>
              <w:rPr>
                <w:rFonts w:eastAsia="方正仿宋_GBK" w:cs="Times New Roman"/>
                <w:szCs w:val="28"/>
              </w:rPr>
              <w:t>5</w:t>
            </w:r>
            <w:r>
              <w:rPr>
                <w:rFonts w:hint="eastAsia" w:eastAsia="方正仿宋_GBK" w:cs="Times New Roman"/>
                <w:szCs w:val="28"/>
              </w:rPr>
              <w:t>万亩，森林抚育</w:t>
            </w:r>
            <w:r>
              <w:rPr>
                <w:rFonts w:eastAsia="方正仿宋_GBK" w:cs="Times New Roman"/>
                <w:szCs w:val="28"/>
              </w:rPr>
              <w:t>12</w:t>
            </w:r>
            <w:r>
              <w:rPr>
                <w:rFonts w:hint="eastAsia" w:eastAsia="方正仿宋_GBK" w:cs="Times New Roman"/>
                <w:szCs w:val="28"/>
              </w:rPr>
              <w:t>万亩，石漠化综合治理</w:t>
            </w:r>
            <w:r>
              <w:rPr>
                <w:rFonts w:eastAsia="方正仿宋_GBK" w:cs="Times New Roman"/>
                <w:szCs w:val="28"/>
              </w:rPr>
              <w:t>0.2</w:t>
            </w:r>
            <w:r>
              <w:rPr>
                <w:rFonts w:hint="eastAsia" w:eastAsia="方正仿宋_GBK" w:cs="Times New Roman"/>
                <w:szCs w:val="28"/>
              </w:rPr>
              <w:t>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62"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3</w:t>
            </w:r>
          </w:p>
        </w:tc>
        <w:tc>
          <w:tcPr>
            <w:tcW w:w="7733"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国家储备林建设</w:t>
            </w:r>
          </w:p>
          <w:p>
            <w:pPr>
              <w:spacing w:line="440" w:lineRule="exact"/>
              <w:ind w:firstLine="560"/>
              <w:rPr>
                <w:rFonts w:eastAsia="方正仿宋_GBK" w:cs="Times New Roman"/>
                <w:szCs w:val="28"/>
              </w:rPr>
            </w:pPr>
            <w:r>
              <w:rPr>
                <w:rFonts w:hint="eastAsia" w:eastAsia="方正仿宋_GBK" w:cs="Times New Roman"/>
                <w:szCs w:val="28"/>
              </w:rPr>
              <w:t>选择立地条件较好、生产潜力没有得到充分发挥、结构简单且生长已呈现下降的林分，采取现有林改培措施，在东风林场建设国家储备林0.45万亩。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2"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4</w:t>
            </w:r>
          </w:p>
        </w:tc>
        <w:tc>
          <w:tcPr>
            <w:tcW w:w="7733"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受损弃置地生态恢复</w:t>
            </w:r>
          </w:p>
          <w:p>
            <w:pPr>
              <w:spacing w:line="440" w:lineRule="exact"/>
              <w:ind w:firstLine="560"/>
              <w:rPr>
                <w:rFonts w:eastAsia="方正仿宋_GBK" w:cs="Times New Roman"/>
                <w:szCs w:val="28"/>
              </w:rPr>
            </w:pPr>
            <w:r>
              <w:rPr>
                <w:rFonts w:hint="eastAsia" w:eastAsia="方正仿宋_GBK" w:cs="Times New Roman"/>
                <w:szCs w:val="28"/>
              </w:rPr>
              <w:t>对高陡边坡、退出或废弃采石场、取土场、堆积地等受损弃置地，采取工程、生物等多种治理措施，科学实施生态修复，着力恢复生态环境。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62"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5</w:t>
            </w:r>
          </w:p>
        </w:tc>
        <w:tc>
          <w:tcPr>
            <w:tcW w:w="7733"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临时占地复绿</w:t>
            </w:r>
          </w:p>
          <w:p>
            <w:pPr>
              <w:spacing w:line="440" w:lineRule="exact"/>
              <w:ind w:firstLine="560"/>
              <w:rPr>
                <w:rFonts w:eastAsia="方正仿宋_GBK" w:cs="Times New Roman"/>
                <w:szCs w:val="28"/>
              </w:rPr>
            </w:pPr>
            <w:r>
              <w:rPr>
                <w:rFonts w:hint="eastAsia" w:eastAsia="方正仿宋_GBK" w:cs="Times New Roman"/>
                <w:szCs w:val="28"/>
              </w:rPr>
              <w:t>对建设项目临时使用林地，在项目结束后种植适生树种。规划复绿</w:t>
            </w:r>
            <w:r>
              <w:rPr>
                <w:rFonts w:eastAsia="方正仿宋_GBK" w:cs="Times New Roman"/>
                <w:szCs w:val="28"/>
              </w:rPr>
              <w:t>0.1</w:t>
            </w:r>
            <w:r>
              <w:rPr>
                <w:rFonts w:hint="eastAsia" w:eastAsia="方正仿宋_GBK" w:cs="Times New Roman"/>
                <w:szCs w:val="28"/>
              </w:rPr>
              <w:t>万亩。</w:t>
            </w:r>
          </w:p>
        </w:tc>
      </w:tr>
    </w:tbl>
    <w:p>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spacing w:before="0" w:beforeLines="0" w:after="312" w:line="360" w:lineRule="auto"/>
        <w:rPr>
          <w:rFonts w:ascii="方正小标宋_GBK" w:eastAsia="方正小标宋_GBK" w:hAnsiTheme="minorHAnsi"/>
          <w:b w:val="0"/>
          <w:szCs w:val="28"/>
        </w:rPr>
      </w:pPr>
      <w:bookmarkStart w:id="28" w:name="_Toc93615547"/>
      <w:r>
        <w:rPr>
          <w:rFonts w:hint="eastAsia" w:ascii="方正小标宋_GBK" w:eastAsia="方正小标宋_GBK" w:hAnsiTheme="minorHAnsi"/>
          <w:b w:val="0"/>
          <w:szCs w:val="28"/>
        </w:rPr>
        <w:t xml:space="preserve">第五章 </w:t>
      </w:r>
      <w:r>
        <w:rPr>
          <w:rFonts w:ascii="方正小标宋_GBK" w:eastAsia="方正小标宋_GBK" w:hAnsiTheme="minorHAnsi"/>
          <w:b w:val="0"/>
          <w:szCs w:val="28"/>
        </w:rPr>
        <w:t xml:space="preserve"> </w:t>
      </w:r>
      <w:r>
        <w:rPr>
          <w:rFonts w:hint="eastAsia" w:ascii="方正小标宋_GBK" w:eastAsia="方正小标宋_GBK" w:hAnsiTheme="minorHAnsi"/>
          <w:b w:val="0"/>
          <w:szCs w:val="28"/>
        </w:rPr>
        <w:t>生态惠民</w:t>
      </w:r>
      <w:bookmarkEnd w:id="28"/>
    </w:p>
    <w:p>
      <w:pPr>
        <w:spacing w:line="360" w:lineRule="auto"/>
        <w:ind w:firstLine="640"/>
        <w:rPr>
          <w:rFonts w:ascii="方正仿宋_GBK" w:eastAsia="方正仿宋_GBK" w:cs="Times New Roman"/>
          <w:color w:val="000000"/>
          <w:sz w:val="32"/>
          <w:szCs w:val="32"/>
        </w:rPr>
      </w:pPr>
      <w:bookmarkStart w:id="29" w:name="_Hlk86791565"/>
      <w:r>
        <w:rPr>
          <w:rFonts w:hint="eastAsia" w:ascii="方正仿宋_GBK" w:eastAsia="方正仿宋_GBK" w:cs="Times New Roman"/>
          <w:color w:val="000000"/>
          <w:sz w:val="32"/>
          <w:szCs w:val="32"/>
        </w:rPr>
        <w:t>大力发展林果型特色产业，推动壮大花卉苗木龙头产业，创新发展林菌新型产业，积极拓展森林景观利用，充分挖掘林业的多种功能和多重价值，拓宽林农增收渠道，巩固脱贫攻坚成果，全力助推乡村振兴。</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30" w:name="_Toc93615548"/>
      <w:r>
        <w:rPr>
          <w:rFonts w:hint="eastAsia" w:ascii="方正黑体_GBK" w:hAnsi="Times New Roman" w:eastAsia="方正黑体_GBK" w:cs="Times New Roman"/>
          <w:b w:val="0"/>
          <w:szCs w:val="36"/>
        </w:rPr>
        <w:t>第一节 发展生态惠民产业</w:t>
      </w:r>
      <w:bookmarkEnd w:id="30"/>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特色经济林提质增效 </w:t>
      </w:r>
      <w:r>
        <w:rPr>
          <w:rFonts w:eastAsia="方正楷体_GBK" w:cs="Times New Roman"/>
          <w:b/>
          <w:bCs/>
          <w:sz w:val="32"/>
          <w:szCs w:val="20"/>
        </w:rPr>
        <w:t xml:space="preserve"> </w:t>
      </w:r>
      <w:r>
        <w:rPr>
          <w:rFonts w:hint="eastAsia" w:ascii="方正仿宋_GBK" w:eastAsia="方正仿宋_GBK" w:cs="Times New Roman"/>
          <w:color w:val="000000"/>
          <w:sz w:val="32"/>
          <w:szCs w:val="32"/>
        </w:rPr>
        <w:t>紧密结合市场需求，以基地建设为载体，围绕“调结构、降成本、提质量、拓市场”，科学规划特色经济产业布局，推动产业高质量发展，实现产量、质量稳步提升。加强水果、茶叶、花椒等标准化技术推广，推进适度规模化、集约化、标准化经营，提升品牌影响力。发展山地特色水果产业，培育樱桃、蜜柚、血橙、茶叶、花椒等特色经济林产业，重点扶持一批龙头企业和专业合作社，打造“一镇一品”，形成以八塘樱桃、福禄大兴沃柑、正兴蜜柚、七塘血橙、三合茶叶花椒为主的发展格局，带动农民持续增收。</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推动花卉苗木产业转型升级 </w:t>
      </w:r>
      <w:r>
        <w:rPr>
          <w:rFonts w:eastAsia="方正楷体_GBK" w:cs="Times New Roman"/>
          <w:b/>
          <w:bCs/>
          <w:sz w:val="32"/>
          <w:szCs w:val="20"/>
        </w:rPr>
        <w:t xml:space="preserve"> </w:t>
      </w:r>
      <w:r>
        <w:rPr>
          <w:rFonts w:hint="eastAsia" w:ascii="方正仿宋_GBK" w:eastAsia="方正仿宋_GBK" w:cs="Times New Roman"/>
          <w:color w:val="000000"/>
          <w:sz w:val="32"/>
          <w:szCs w:val="32"/>
        </w:rPr>
        <w:t>充分发挥我区花卉苗木资源优势，坚持创新驱动和产业融合发展，加大品种创新力度和公共服务引导，巩固和强化花卉苗木产业优势地位，建设成渝地区双城经济圈花卉苗木产业高地。积极引导社会资本注入，推动种植结构调整，加快花卉苗木产业档次提升和转型升级，推动传统花卉苗木产业与服务业、旅游业融合发展。加强基地培育、市场建设，建成以园林苗木交易、花卉园艺交易、进出口电商物流、花卉产业研发及科普和花卉艺术创意为主的西部（重庆）花卉苗木产业园，打造集花卉苗木展示展览、产品销售、商品物流、科普教育、信息平台为一体的一站式交易产业平台，形成花卉苗木一二三产业联动集群发展格局。</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发展林下中药材产业 </w:t>
      </w:r>
      <w:r>
        <w:rPr>
          <w:rFonts w:eastAsia="方正楷体_GBK" w:cs="Times New Roman"/>
          <w:b/>
          <w:bCs/>
          <w:sz w:val="32"/>
          <w:szCs w:val="20"/>
        </w:rPr>
        <w:t xml:space="preserve"> </w:t>
      </w:r>
      <w:r>
        <w:rPr>
          <w:rFonts w:hint="eastAsia" w:ascii="方正仿宋_GBK" w:eastAsia="方正仿宋_GBK" w:cs="Times New Roman"/>
          <w:color w:val="000000"/>
          <w:sz w:val="32"/>
          <w:szCs w:val="32"/>
        </w:rPr>
        <w:t>在保障森林生态系统质量和功能的前提下，紧密结合市场需求，发展林下中药材，开展中药材生态种植试点建设，积极推广生态培育技术，大力推进林下中药材产业绿色发展。按照我区大健康产业发展布局，结合重庆中医药学院建设需求，培育种植集约化、设施现代化、生产标准化的中药材种植基地，探索建立林下中药材标准化生产体系。</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拓展生态旅游和森林康养产业 </w:t>
      </w:r>
      <w:r>
        <w:rPr>
          <w:rFonts w:eastAsia="方正楷体_GBK" w:cs="Times New Roman"/>
          <w:b/>
          <w:bCs/>
          <w:sz w:val="32"/>
          <w:szCs w:val="20"/>
        </w:rPr>
        <w:t xml:space="preserve"> </w:t>
      </w:r>
      <w:r>
        <w:rPr>
          <w:rFonts w:hint="eastAsia" w:ascii="方正仿宋_GBK" w:eastAsia="方正仿宋_GBK" w:cs="Times New Roman"/>
          <w:color w:val="000000"/>
          <w:sz w:val="32"/>
          <w:szCs w:val="32"/>
        </w:rPr>
        <w:t>充分发挥我区在重庆主城都市区的空间优势，依托缙云山、云雾山生态资源本底，立足康养需求，开展保健养生、康复疗养、健康养老、休闲游憩等森林康养服务，建设差异化发展、优势互补的森林康养产业，形成多层次、多元化、多类型的森林康养产业格局。建设一批环境优良、服务优质、管理完善、特色鲜明、效益明显的森林康养基地，积极创建市级森林康养基地、森林康养人家。推进三担湖康养小镇提质，策划打造“云雾山岭医疗康养”和“千秋水韵文化康养”片区，吸引各类健康、养老、中医药等产业进入森林康养产业。围绕新时代美丽乡村建设，充分发挥全区广泛分布的果园、茶园和花卉苗木基地，积极融入国家乡村振兴战略大局。开展“绿色示范村”建设，通过实施生态建设工程，以绿色产业带动，打造集观光、休闲、旅游一体的美丽乡村，推动全域生态旅游快速发展。</w:t>
      </w:r>
    </w:p>
    <w:bookmarkEnd w:id="29"/>
    <w:tbl>
      <w:tblPr>
        <w:tblStyle w:val="2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8430" w:type="dxa"/>
            <w:gridSpan w:val="2"/>
            <w:vAlign w:val="center"/>
          </w:tcPr>
          <w:p>
            <w:pPr>
              <w:pStyle w:val="38"/>
              <w:spacing w:after="0"/>
              <w:ind w:firstLine="0" w:firstLineChars="0"/>
              <w:jc w:val="center"/>
              <w:rPr>
                <w:rFonts w:ascii="宋体" w:hAnsi="宋体" w:eastAsia="宋体"/>
                <w:b/>
                <w:sz w:val="22"/>
                <w:szCs w:val="22"/>
              </w:rPr>
            </w:pPr>
            <w:bookmarkStart w:id="31" w:name="_Hlk89711793"/>
            <w:r>
              <w:rPr>
                <w:rFonts w:hint="eastAsia" w:eastAsia="方正小标宋_GBK" w:cs="Times New Roman"/>
                <w:szCs w:val="28"/>
              </w:rPr>
              <w:t>专栏</w:t>
            </w:r>
            <w:r>
              <w:rPr>
                <w:rFonts w:eastAsia="方正小标宋_GBK" w:cs="Times New Roman"/>
                <w:szCs w:val="28"/>
              </w:rPr>
              <w:t xml:space="preserve">8  </w:t>
            </w:r>
            <w:r>
              <w:rPr>
                <w:rFonts w:hint="eastAsia" w:eastAsia="方正小标宋_GBK" w:cs="Times New Roman"/>
                <w:szCs w:val="28"/>
              </w:rPr>
              <w:t>生态惠民产业发展工程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1</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山地特色水果产业建设</w:t>
            </w:r>
          </w:p>
          <w:p>
            <w:pPr>
              <w:spacing w:line="440" w:lineRule="exact"/>
              <w:ind w:firstLine="560"/>
              <w:rPr>
                <w:rFonts w:eastAsia="方正仿宋_GBK" w:cs="Times New Roman"/>
                <w:szCs w:val="28"/>
              </w:rPr>
            </w:pPr>
            <w:r>
              <w:rPr>
                <w:rFonts w:hint="eastAsia" w:eastAsia="方正仿宋_GBK" w:cs="Times New Roman"/>
                <w:szCs w:val="28"/>
              </w:rPr>
              <w:t>依托水果现代产业园区，推进山地特色水果产业建设，全面实施特色经济林产业提质增效，形成“一镇一品”，提升品牌影响力。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2</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中药材生态种植基地建设</w:t>
            </w:r>
          </w:p>
          <w:p>
            <w:pPr>
              <w:spacing w:line="440" w:lineRule="exact"/>
              <w:ind w:firstLine="560"/>
              <w:rPr>
                <w:rFonts w:eastAsia="方正仿宋_GBK" w:cs="Times New Roman"/>
                <w:szCs w:val="28"/>
              </w:rPr>
            </w:pPr>
            <w:r>
              <w:rPr>
                <w:rFonts w:hint="eastAsia" w:eastAsia="方正仿宋_GBK" w:cs="Times New Roman"/>
                <w:szCs w:val="28"/>
              </w:rPr>
              <w:t>引进大型中药材种植企业，在缙云山西麓、云雾山东坡国有林区内培育以茯苓、石斛、黄精等为主的</w:t>
            </w:r>
            <w:r>
              <w:rPr>
                <w:rFonts w:eastAsia="方正仿宋_GBK" w:cs="Times New Roman"/>
                <w:szCs w:val="28"/>
              </w:rPr>
              <w:t>GAP</w:t>
            </w:r>
            <w:r>
              <w:rPr>
                <w:rFonts w:hint="eastAsia" w:eastAsia="方正仿宋_GBK" w:cs="Times New Roman"/>
                <w:szCs w:val="28"/>
              </w:rPr>
              <w:t xml:space="preserve">林下中药材生产基地。规划期内建设2个林下中药材试点示范基地。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610"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3</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西部（重庆）花卉苗木产业园建设</w:t>
            </w:r>
          </w:p>
          <w:p>
            <w:pPr>
              <w:spacing w:line="440" w:lineRule="exact"/>
              <w:ind w:firstLine="560"/>
              <w:rPr>
                <w:rFonts w:eastAsia="方正仿宋_GBK" w:cs="Times New Roman"/>
                <w:szCs w:val="28"/>
              </w:rPr>
            </w:pPr>
            <w:r>
              <w:rPr>
                <w:rFonts w:hint="eastAsia" w:eastAsia="方正仿宋_GBK" w:cs="Times New Roman"/>
                <w:szCs w:val="28"/>
              </w:rPr>
              <w:t>围绕花卉苗木产业特色，结合</w:t>
            </w:r>
            <w:r>
              <w:rPr>
                <w:rFonts w:hint="eastAsia" w:eastAsia="方正仿宋_GBK" w:cs="Times New Roman"/>
                <w:szCs w:val="28"/>
                <w:lang w:eastAsia="zh-CN"/>
              </w:rPr>
              <w:t>乡村振兴</w:t>
            </w:r>
            <w:r>
              <w:rPr>
                <w:rFonts w:hint="eastAsia" w:eastAsia="方正仿宋_GBK" w:cs="Times New Roman"/>
                <w:szCs w:val="28"/>
              </w:rPr>
              <w:t>，借助区位交通优势，加速建设西部(重庆）花卉苗木产业园，出台花卉苗木产业扶持政策和基地改造提升标准，升级改造花木基地，建设花木大道17.6公里，建成花卉苗木交易市场。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610"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4</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森林康养基地建设</w:t>
            </w:r>
          </w:p>
          <w:p>
            <w:pPr>
              <w:spacing w:line="440" w:lineRule="exact"/>
              <w:ind w:firstLine="560"/>
              <w:rPr>
                <w:rFonts w:eastAsia="方正仿宋_GBK" w:cs="Times New Roman"/>
                <w:szCs w:val="28"/>
              </w:rPr>
            </w:pPr>
            <w:r>
              <w:rPr>
                <w:rFonts w:hint="eastAsia" w:eastAsia="方正仿宋_GBK" w:cs="Times New Roman"/>
                <w:szCs w:val="28"/>
              </w:rPr>
              <w:t>积极培育以青龙湖、水天池等地为重点的森林康养产业龙头，加快发展森林康养产业，规划期内建成</w:t>
            </w:r>
            <w:bookmarkStart w:id="32" w:name="_Hlk90467343"/>
            <w:r>
              <w:rPr>
                <w:rFonts w:hint="eastAsia" w:eastAsia="方正仿宋_GBK" w:cs="Times New Roman"/>
                <w:szCs w:val="28"/>
              </w:rPr>
              <w:t>市级森林康养基地</w:t>
            </w:r>
            <w:bookmarkEnd w:id="32"/>
            <w:r>
              <w:rPr>
                <w:rFonts w:hint="eastAsia" w:eastAsia="方正仿宋_GBK" w:cs="Times New Roman"/>
                <w:szCs w:val="28"/>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5</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森林人家培育</w:t>
            </w:r>
          </w:p>
          <w:p>
            <w:pPr>
              <w:spacing w:line="440" w:lineRule="exact"/>
              <w:ind w:firstLine="560"/>
              <w:rPr>
                <w:rFonts w:eastAsia="方正仿宋_GBK" w:cs="Times New Roman"/>
                <w:szCs w:val="28"/>
              </w:rPr>
            </w:pPr>
            <w:r>
              <w:rPr>
                <w:rFonts w:hint="eastAsia" w:eastAsia="方正仿宋_GBK" w:cs="Times New Roman"/>
                <w:szCs w:val="28"/>
              </w:rPr>
              <w:t>规划期内建成森林人家10个。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6</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绿色示范村建设</w:t>
            </w:r>
          </w:p>
          <w:p>
            <w:pPr>
              <w:spacing w:line="440" w:lineRule="exact"/>
              <w:ind w:firstLine="560"/>
              <w:rPr>
                <w:rFonts w:eastAsia="方正仿宋_GBK" w:cs="Times New Roman"/>
                <w:szCs w:val="28"/>
              </w:rPr>
            </w:pPr>
            <w:r>
              <w:rPr>
                <w:rFonts w:hint="eastAsia" w:eastAsia="方正仿宋_GBK" w:cs="Times New Roman"/>
                <w:szCs w:val="28"/>
              </w:rPr>
              <w:t>规划期内建成市级绿色示范村5个。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2" w:hRule="atLeast"/>
          <w:jc w:val="center"/>
        </w:trPr>
        <w:tc>
          <w:tcPr>
            <w:tcW w:w="610"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7</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璧山区乡村旅游精品线路建设</w:t>
            </w:r>
          </w:p>
          <w:p>
            <w:pPr>
              <w:spacing w:line="440" w:lineRule="exact"/>
              <w:ind w:firstLine="560"/>
              <w:rPr>
                <w:rFonts w:eastAsia="方正仿宋_GBK" w:cs="Times New Roman"/>
                <w:szCs w:val="28"/>
              </w:rPr>
            </w:pPr>
            <w:r>
              <w:rPr>
                <w:rFonts w:hint="eastAsia" w:eastAsia="方正仿宋_GBK" w:cs="Times New Roman"/>
                <w:szCs w:val="28"/>
              </w:rPr>
              <w:t>完善旅游基础设施建设，打造休闲采摘体验园、精品观光点，建设观光采摘彩色便道、美化绿化花化景区，挖掘文化底蕴，加大宣传力度，打造璧南、璧北、璧西3条乡村旅游精品线路。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8</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金剑山景观通道建设</w:t>
            </w:r>
          </w:p>
          <w:p>
            <w:pPr>
              <w:spacing w:line="440" w:lineRule="exact"/>
              <w:ind w:firstLine="560"/>
              <w:rPr>
                <w:rFonts w:eastAsia="方正仿宋_GBK" w:cs="Times New Roman"/>
                <w:szCs w:val="28"/>
              </w:rPr>
            </w:pPr>
            <w:r>
              <w:rPr>
                <w:rFonts w:hint="eastAsia" w:eastAsia="方正仿宋_GBK" w:cs="Times New Roman"/>
                <w:szCs w:val="28"/>
              </w:rPr>
              <w:t>规划建设金剑山水天池至白云湖段山脊和山麓2条景观通廊（长1</w:t>
            </w:r>
            <w:r>
              <w:rPr>
                <w:rFonts w:eastAsia="方正仿宋_GBK" w:cs="Times New Roman"/>
                <w:szCs w:val="28"/>
              </w:rPr>
              <w:t>5</w:t>
            </w:r>
            <w:r>
              <w:rPr>
                <w:rFonts w:hint="eastAsia" w:eastAsia="方正仿宋_GBK" w:cs="Times New Roman"/>
                <w:szCs w:val="28"/>
              </w:rPr>
              <w:t>公里），兼顾森林防火、健身休闲功能。</w:t>
            </w:r>
          </w:p>
        </w:tc>
      </w:tr>
      <w:bookmarkEnd w:id="31"/>
    </w:tbl>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33" w:name="_Toc93615549"/>
      <w:r>
        <w:rPr>
          <w:rFonts w:hint="eastAsia" w:ascii="方正黑体_GBK" w:hAnsi="Times New Roman" w:eastAsia="方正黑体_GBK" w:cs="Times New Roman"/>
          <w:b w:val="0"/>
          <w:szCs w:val="36"/>
        </w:rPr>
        <w:t>第二节 弘扬生态文化</w:t>
      </w:r>
      <w:bookmarkEnd w:id="33"/>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创建国家森林城市 </w:t>
      </w:r>
      <w:r>
        <w:rPr>
          <w:rFonts w:eastAsia="方正楷体_GBK" w:cs="Times New Roman"/>
          <w:b/>
          <w:bCs/>
          <w:sz w:val="32"/>
          <w:szCs w:val="20"/>
        </w:rPr>
        <w:t xml:space="preserve"> </w:t>
      </w:r>
      <w:r>
        <w:rPr>
          <w:rFonts w:hint="eastAsia" w:ascii="方正仿宋_GBK" w:eastAsia="方正仿宋_GBK" w:cs="Times New Roman"/>
          <w:color w:val="000000"/>
          <w:sz w:val="32"/>
          <w:szCs w:val="32"/>
        </w:rPr>
        <w:t>国家森林城市是我国目前对于一个城市在生态环境、生态建设、环保绿化等各方面的最高评价，也是最能反映城市生态建设的整体水平的最高荣誉。为深入推进“建设高质量发展样板区、打造高品质生活示范区”，提升城市品位，增强城市综合竞争力，融入成渝地区森林城市群建设，以国家森林城市五大体系三十六项指标为基础，查漏补缺，充分发挥我区山、水、林、田、城等自然生态景观特色，全力推进城市森林建设，力争在</w:t>
      </w:r>
      <w:r>
        <w:rPr>
          <w:rFonts w:hint="eastAsia" w:eastAsia="方正仿宋_GBK" w:cs="Times New Roman"/>
          <w:sz w:val="32"/>
          <w:szCs w:val="32"/>
        </w:rPr>
        <w:t>202</w:t>
      </w:r>
      <w:r>
        <w:rPr>
          <w:rFonts w:eastAsia="方正仿宋_GBK" w:cs="Times New Roman"/>
          <w:sz w:val="32"/>
          <w:szCs w:val="32"/>
        </w:rPr>
        <w:t>5</w:t>
      </w:r>
      <w:r>
        <w:rPr>
          <w:rFonts w:hint="eastAsia" w:ascii="方正仿宋_GBK" w:eastAsia="方正仿宋_GBK" w:cs="Times New Roman"/>
          <w:color w:val="000000"/>
          <w:sz w:val="32"/>
          <w:szCs w:val="32"/>
        </w:rPr>
        <w:t>年成功创建国家森林城市。</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加大森林文化宣传力度 </w:t>
      </w:r>
      <w:r>
        <w:rPr>
          <w:rFonts w:eastAsia="方正楷体_GBK" w:cs="Times New Roman"/>
          <w:b/>
          <w:bCs/>
          <w:sz w:val="32"/>
          <w:szCs w:val="20"/>
        </w:rPr>
        <w:t xml:space="preserve"> </w:t>
      </w:r>
      <w:r>
        <w:rPr>
          <w:rFonts w:hint="eastAsia" w:ascii="方正仿宋_GBK" w:eastAsia="方正仿宋_GBK" w:cs="Times New Roman"/>
          <w:color w:val="000000"/>
          <w:sz w:val="32"/>
          <w:szCs w:val="32"/>
        </w:rPr>
        <w:t>丰富森林文化宣传方式，结合植树节、湿地日、爱鸟周等重要纪念节日，广泛开展以生态保护为主要内容的公益活动。加快推动媒体深度融合发展，创新森林文化传播方式，注重新媒体、新技术、新手段在文化传播中的推广运用，扩大传播覆盖面和影响力，树立林业先进，讲好林业故事，传播林业声音，引导全社会共同关心支持林业建设。结合创建国家森林城市，通过自主培育、采购等方式，在“</w:t>
      </w:r>
      <w:r>
        <w:rPr>
          <w:rFonts w:hint="eastAsia" w:eastAsia="方正仿宋_GBK" w:cs="Times New Roman"/>
          <w:sz w:val="32"/>
          <w:szCs w:val="32"/>
        </w:rPr>
        <w:t>3</w:t>
      </w:r>
      <w:r>
        <w:rPr>
          <w:rFonts w:hint="eastAsia" w:ascii="方正仿宋_GBK" w:eastAsia="方正仿宋_GBK" w:cs="Times New Roman"/>
          <w:color w:val="000000"/>
          <w:sz w:val="32"/>
          <w:szCs w:val="32"/>
        </w:rPr>
        <w:t>月</w:t>
      </w:r>
      <w:r>
        <w:rPr>
          <w:rFonts w:hint="eastAsia" w:eastAsia="方正仿宋_GBK" w:cs="Times New Roman"/>
          <w:sz w:val="32"/>
          <w:szCs w:val="32"/>
        </w:rPr>
        <w:t>12</w:t>
      </w:r>
      <w:r>
        <w:rPr>
          <w:rFonts w:hint="eastAsia" w:ascii="方正仿宋_GBK" w:eastAsia="方正仿宋_GBK" w:cs="Times New Roman"/>
          <w:color w:val="000000"/>
          <w:sz w:val="32"/>
          <w:szCs w:val="32"/>
        </w:rPr>
        <w:t>日全国义务植树日”、“世界森林日”等节日开展送苗木下乡活动。</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开展全民义务植树活动 </w:t>
      </w:r>
      <w:r>
        <w:rPr>
          <w:rFonts w:eastAsia="方正楷体_GBK" w:cs="Times New Roman"/>
          <w:b/>
          <w:bCs/>
          <w:sz w:val="32"/>
          <w:szCs w:val="20"/>
        </w:rPr>
        <w:t xml:space="preserve"> </w:t>
      </w:r>
      <w:r>
        <w:rPr>
          <w:rFonts w:hint="eastAsia" w:ascii="方正仿宋_GBK" w:eastAsia="方正仿宋_GBK" w:cs="Times New Roman"/>
          <w:color w:val="000000"/>
          <w:sz w:val="32"/>
          <w:szCs w:val="32"/>
        </w:rPr>
        <w:t>广泛开展全民义务植树活动，完善全民义务植树机制，积极倡导义务植树进校园、进单位、进企业，营造全社会植绿爱绿护绿兴绿的良好氛围，提升义务植树的全民知晓率和尽责率。不断丰富义务植树尽职形式，创新运用新技术、新手段，加强义务植树与互联网结合，探索绿色公益数字化。规划期内义务植树</w:t>
      </w:r>
      <w:r>
        <w:rPr>
          <w:rFonts w:hint="eastAsia" w:eastAsia="方正仿宋_GBK" w:cs="Times New Roman"/>
          <w:sz w:val="32"/>
          <w:szCs w:val="32"/>
        </w:rPr>
        <w:t>600</w:t>
      </w:r>
      <w:r>
        <w:rPr>
          <w:rFonts w:hint="eastAsia" w:ascii="方正仿宋_GBK" w:eastAsia="方正仿宋_GBK" w:cs="Times New Roman"/>
          <w:color w:val="000000"/>
          <w:sz w:val="32"/>
          <w:szCs w:val="32"/>
        </w:rPr>
        <w:t>万株。</w:t>
      </w:r>
    </w:p>
    <w:p>
      <w:pPr>
        <w:spacing w:line="360" w:lineRule="auto"/>
        <w:ind w:firstLine="640"/>
        <w:rPr>
          <w:rFonts w:ascii="方正仿宋_GBK" w:eastAsia="方正仿宋_GBK" w:cs="Times New Roman"/>
          <w:color w:val="000000"/>
          <w:sz w:val="32"/>
          <w:szCs w:val="32"/>
        </w:rPr>
      </w:pPr>
      <w:r>
        <w:rPr>
          <w:rFonts w:hint="eastAsia" w:eastAsia="方正楷体_GBK" w:cs="Times New Roman"/>
          <w:b/>
          <w:bCs/>
          <w:sz w:val="32"/>
          <w:szCs w:val="20"/>
        </w:rPr>
        <w:t xml:space="preserve">加强古树名木保护力度 </w:t>
      </w:r>
      <w:r>
        <w:rPr>
          <w:rFonts w:eastAsia="方正楷体_GBK" w:cs="Times New Roman"/>
          <w:b/>
          <w:bCs/>
          <w:sz w:val="32"/>
          <w:szCs w:val="20"/>
        </w:rPr>
        <w:t xml:space="preserve"> </w:t>
      </w:r>
      <w:r>
        <w:rPr>
          <w:rFonts w:hint="eastAsia" w:ascii="方正仿宋_GBK" w:eastAsia="方正仿宋_GBK" w:cs="Times New Roman"/>
          <w:color w:val="000000"/>
          <w:sz w:val="32"/>
          <w:szCs w:val="32"/>
        </w:rPr>
        <w:t>加强古树名木及具有保护价值乡土树种的全面保护、依法管理、科学养护，有针对性的采取保护、复壮和生境修复。完善古树名木监测体系，定期维护更新古树名木管理信息数据，提高古树名木规范化、动态化管理水平。积极开展古树名木保护宣传教育活动，倡导全社会共同参与保护古树名木。</w:t>
      </w:r>
    </w:p>
    <w:p>
      <w:pPr>
        <w:spacing w:line="360" w:lineRule="auto"/>
        <w:ind w:firstLine="640"/>
        <w:rPr>
          <w:rFonts w:ascii="方正仿宋_GBK" w:eastAsia="方正仿宋_GBK" w:cs="Times New Roman"/>
          <w:color w:val="000000"/>
          <w:sz w:val="32"/>
          <w:szCs w:val="32"/>
        </w:rPr>
      </w:pPr>
    </w:p>
    <w:p>
      <w:pPr>
        <w:spacing w:line="360" w:lineRule="auto"/>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spacing w:before="0" w:beforeLines="0" w:after="312" w:line="360" w:lineRule="auto"/>
        <w:rPr>
          <w:rFonts w:ascii="方正小标宋_GBK" w:eastAsia="方正小标宋_GBK" w:hAnsiTheme="minorHAnsi"/>
          <w:b w:val="0"/>
          <w:szCs w:val="28"/>
        </w:rPr>
      </w:pPr>
      <w:bookmarkStart w:id="34" w:name="_Toc93615550"/>
      <w:r>
        <w:rPr>
          <w:rFonts w:hint="eastAsia" w:ascii="方正小标宋_GBK" w:eastAsia="方正小标宋_GBK" w:hAnsiTheme="minorHAnsi"/>
          <w:b w:val="0"/>
          <w:szCs w:val="28"/>
        </w:rPr>
        <w:t xml:space="preserve">第六章 </w:t>
      </w:r>
      <w:r>
        <w:rPr>
          <w:rFonts w:ascii="方正小标宋_GBK" w:eastAsia="方正小标宋_GBK" w:hAnsiTheme="minorHAnsi"/>
          <w:b w:val="0"/>
          <w:szCs w:val="28"/>
        </w:rPr>
        <w:t xml:space="preserve"> 保障</w:t>
      </w:r>
      <w:r>
        <w:rPr>
          <w:rFonts w:hint="eastAsia" w:ascii="方正小标宋_GBK" w:eastAsia="方正小标宋_GBK" w:hAnsiTheme="minorHAnsi"/>
          <w:b w:val="0"/>
          <w:szCs w:val="28"/>
        </w:rPr>
        <w:t>能力</w:t>
      </w:r>
      <w:bookmarkEnd w:id="34"/>
    </w:p>
    <w:p>
      <w:pPr>
        <w:spacing w:line="360" w:lineRule="auto"/>
        <w:ind w:firstLine="640"/>
        <w:rPr>
          <w:rFonts w:eastAsia="方正仿宋_GBK" w:cs="Times New Roman"/>
          <w:sz w:val="32"/>
          <w:szCs w:val="32"/>
        </w:rPr>
      </w:pPr>
      <w:r>
        <w:rPr>
          <w:rFonts w:hint="eastAsia" w:eastAsia="方正仿宋_GBK" w:cs="Times New Roman"/>
          <w:sz w:val="32"/>
          <w:szCs w:val="32"/>
        </w:rPr>
        <w:t>持续加强林业基础能力建设，夯实林业发展基础，全面提升支撑保障能力，为林业高质量发展提供坚实基础。</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35" w:name="_Toc93615551"/>
      <w:r>
        <w:rPr>
          <w:rFonts w:hint="eastAsia" w:ascii="方正黑体_GBK" w:hAnsi="Times New Roman" w:eastAsia="方正黑体_GBK" w:cs="Times New Roman"/>
          <w:b w:val="0"/>
          <w:szCs w:val="36"/>
        </w:rPr>
        <w:t>第一节 智慧林长建设</w:t>
      </w:r>
      <w:bookmarkEnd w:id="35"/>
    </w:p>
    <w:p>
      <w:pPr>
        <w:spacing w:line="360" w:lineRule="auto"/>
        <w:ind w:firstLine="640"/>
        <w:rPr>
          <w:rFonts w:eastAsia="方正仿宋_GBK" w:cs="Times New Roman"/>
          <w:sz w:val="32"/>
          <w:szCs w:val="32"/>
        </w:rPr>
      </w:pPr>
      <w:r>
        <w:rPr>
          <w:rFonts w:hint="eastAsia" w:eastAsia="方正仿宋_GBK" w:cs="Times New Roman"/>
          <w:sz w:val="32"/>
          <w:szCs w:val="32"/>
        </w:rPr>
        <w:t>整合智慧林场、缙云山森林火灾综合治理、天保巡护平台、无人机系统等资源，增加林区监控设备，完善信息采集平台。推进开发“智慧林长”App，为各级林长搭建“智慧林长”系统操作运用平台。依托全市“感知一张网”建设，推进我区“空-地-人”立体化建设，努力实现数据获取的实时性、准确性和高效性。以无人机低空巡航监控为主的空网建设，实现对林地局部状况适时监控，并及时、准确地传输数据。以视频监控系统和地面物联网感知设备为主的地网建设，探索森林防火视频监控系统在森林防灭火监控、野生动植物保护、林业资源监管和生态环境保护等工作上的作用。通过配备移动终端设备，形成以护林员巡山护林为主的人网建设，可实时提供第一手数据资源。</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36" w:name="_Toc93615552"/>
      <w:r>
        <w:rPr>
          <w:rFonts w:hint="eastAsia" w:ascii="方正黑体_GBK" w:hAnsi="Times New Roman" w:eastAsia="方正黑体_GBK" w:cs="Times New Roman"/>
          <w:b w:val="0"/>
          <w:szCs w:val="36"/>
        </w:rPr>
        <w:t>第二节 种苗供给保障</w:t>
      </w:r>
      <w:bookmarkEnd w:id="36"/>
    </w:p>
    <w:p>
      <w:pPr>
        <w:spacing w:line="360" w:lineRule="auto"/>
        <w:ind w:firstLine="640"/>
        <w:rPr>
          <w:rFonts w:eastAsia="方正仿宋_GBK" w:cs="Times New Roman"/>
          <w:sz w:val="32"/>
          <w:szCs w:val="32"/>
        </w:rPr>
      </w:pPr>
      <w:r>
        <w:rPr>
          <w:rFonts w:hint="eastAsia" w:eastAsia="方正仿宋_GBK" w:cs="Times New Roman"/>
          <w:sz w:val="32"/>
          <w:szCs w:val="32"/>
        </w:rPr>
        <w:t>依托林业重点工程建设，加大林木良种推广力度。加强林木种苗市场与种苗质量监管，积极开展打击制售假劣林木种苗行动，开展全区林木种苗质量检查，探索建立林木种苗质量追溯体系，保障造林种苗品种和质量，确保种苗市场稳定，生产经营有序。加强种苗质量检验人员检测能力培训，初步建成一支监督有效、权责明确、管理规范、保障有力的林木种苗质量监管队伍。根据林木种质资源调查成果，全面加强种质资源保护与利用。加强保障性苗圃建设，引导种苗有序生产，建立林木良种壮苗供需保障机制，提升林业工程建设苗木保障能力水平，提高良种壮苗使用率。至2025年，进一步完善林木种苗生产供应、推广和社会化服务体系建设，建设璧山区特色林业试验基地（市级保障性苗圃），主要造林树种良种使用率达到75％以上。</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37" w:name="_Toc93615553"/>
      <w:r>
        <w:rPr>
          <w:rFonts w:hint="eastAsia" w:ascii="方正黑体_GBK" w:hAnsi="Times New Roman" w:eastAsia="方正黑体_GBK" w:cs="Times New Roman"/>
          <w:b w:val="0"/>
          <w:szCs w:val="36"/>
        </w:rPr>
        <w:t>第三节 国有林场发展</w:t>
      </w:r>
      <w:bookmarkEnd w:id="37"/>
    </w:p>
    <w:p>
      <w:pPr>
        <w:spacing w:line="360" w:lineRule="auto"/>
        <w:ind w:firstLine="640"/>
        <w:rPr>
          <w:rFonts w:eastAsia="方正仿宋_GBK" w:cs="Times New Roman"/>
          <w:sz w:val="32"/>
          <w:szCs w:val="32"/>
        </w:rPr>
      </w:pPr>
      <w:r>
        <w:rPr>
          <w:rFonts w:hint="eastAsia" w:eastAsia="方正仿宋_GBK" w:cs="Times New Roman"/>
          <w:sz w:val="32"/>
          <w:szCs w:val="32"/>
        </w:rPr>
        <w:t>巩固扩大国有林场改革成果。加大国有林场基础设施建设力度，开展森林防火应急道路、消防水池建设，推进管护站、点提升改造，改善职工生产生活条件。持续加强森林资源保护管理，开展森林资源监测，及时掌握国有森林资源总量、分布变化和保护利用情况。全面建成“智慧林场”，积极融入“智慧林长”。充分发挥国有林场优势，在森林经营、石漠化治理、乡土珍贵树种培育、森林景观利用、国家储备林基地建设等方面发挥示范作用，探索林下经济发展新模式、森林景观利用新方式。开展西南米槠母树筛选、抚育、采种、建档、管理等工作，探索建立西南米槠良种基地。探索在生态重要区域赎买林地，增加国有林比重。</w:t>
      </w:r>
    </w:p>
    <w:tbl>
      <w:tblPr>
        <w:tblStyle w:val="2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8430" w:type="dxa"/>
            <w:gridSpan w:val="2"/>
            <w:vAlign w:val="center"/>
          </w:tcPr>
          <w:p>
            <w:pPr>
              <w:pStyle w:val="38"/>
              <w:spacing w:after="0"/>
              <w:ind w:firstLine="0" w:firstLineChars="0"/>
              <w:jc w:val="center"/>
              <w:rPr>
                <w:rFonts w:ascii="宋体" w:hAnsi="宋体" w:eastAsia="宋体"/>
                <w:b/>
                <w:sz w:val="22"/>
                <w:szCs w:val="22"/>
              </w:rPr>
            </w:pPr>
            <w:r>
              <w:rPr>
                <w:rFonts w:hint="eastAsia" w:eastAsia="方正小标宋_GBK" w:cs="Times New Roman"/>
                <w:szCs w:val="28"/>
              </w:rPr>
              <w:t>专栏</w:t>
            </w:r>
            <w:r>
              <w:rPr>
                <w:rFonts w:eastAsia="方正小标宋_GBK" w:cs="Times New Roman"/>
                <w:szCs w:val="28"/>
              </w:rPr>
              <w:t>9</w:t>
            </w:r>
            <w:r>
              <w:rPr>
                <w:rFonts w:hint="eastAsia" w:eastAsia="方正小标宋_GBK" w:cs="Times New Roman"/>
                <w:szCs w:val="28"/>
              </w:rPr>
              <w:t xml:space="preserve"> </w:t>
            </w:r>
            <w:r>
              <w:rPr>
                <w:rFonts w:eastAsia="方正小标宋_GBK" w:cs="Times New Roman"/>
                <w:szCs w:val="28"/>
              </w:rPr>
              <w:t xml:space="preserve"> </w:t>
            </w:r>
            <w:r>
              <w:rPr>
                <w:rFonts w:hint="eastAsia" w:eastAsia="方正小标宋_GBK" w:cs="Times New Roman"/>
                <w:szCs w:val="28"/>
              </w:rPr>
              <w:t>国有林场发展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1</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国有林场管护站点改造建设项目</w:t>
            </w:r>
          </w:p>
          <w:p>
            <w:pPr>
              <w:spacing w:line="440" w:lineRule="exact"/>
              <w:ind w:firstLine="560"/>
              <w:rPr>
                <w:rFonts w:eastAsia="方正仿宋_GBK" w:cs="Times New Roman"/>
                <w:szCs w:val="28"/>
              </w:rPr>
            </w:pPr>
            <w:r>
              <w:rPr>
                <w:rFonts w:hint="eastAsia" w:eastAsia="方正仿宋_GBK" w:cs="Times New Roman"/>
                <w:szCs w:val="28"/>
              </w:rPr>
              <w:t>实施璧城、大兴、七塘、青龙湖、来凤管护站、点更新改造，建设三江消防训练基地。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2</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智慧林场巩固提升项目</w:t>
            </w:r>
          </w:p>
          <w:p>
            <w:pPr>
              <w:spacing w:line="440" w:lineRule="exact"/>
              <w:ind w:firstLine="560"/>
              <w:rPr>
                <w:rFonts w:eastAsia="方正仿宋_GBK" w:cs="Times New Roman"/>
                <w:szCs w:val="28"/>
              </w:rPr>
            </w:pPr>
            <w:r>
              <w:rPr>
                <w:rFonts w:hint="eastAsia" w:eastAsia="方正仿宋_GBK" w:cs="Times New Roman"/>
                <w:szCs w:val="28"/>
              </w:rPr>
              <w:t>完善智慧林场云服务平台功能，对现有功能模块进行整合与升级；对接“智慧林长”，实现共享共通；加强“智能化”应用，探索实现森林病虫害的全同期监测与预警、林区安全的监测与预警。全面融入“智慧林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3</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乡土珍贵树种培育基地</w:t>
            </w:r>
          </w:p>
          <w:p>
            <w:pPr>
              <w:spacing w:line="440" w:lineRule="exact"/>
              <w:ind w:firstLine="560"/>
              <w:rPr>
                <w:rFonts w:eastAsia="方正仿宋_GBK" w:cs="Times New Roman"/>
                <w:szCs w:val="28"/>
              </w:rPr>
            </w:pPr>
            <w:r>
              <w:rPr>
                <w:rFonts w:hint="eastAsia" w:eastAsia="方正仿宋_GBK" w:cs="Times New Roman"/>
                <w:szCs w:val="28"/>
              </w:rPr>
              <w:t>培育桢楠、红豆杉等乡土珍贵树种0.5万亩。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4</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青钱柳种植基地建设</w:t>
            </w:r>
          </w:p>
          <w:p>
            <w:pPr>
              <w:spacing w:line="440" w:lineRule="exact"/>
              <w:ind w:firstLine="560"/>
              <w:rPr>
                <w:rFonts w:eastAsia="方正仿宋_GBK" w:cs="Times New Roman"/>
                <w:szCs w:val="28"/>
              </w:rPr>
            </w:pPr>
            <w:r>
              <w:rPr>
                <w:rFonts w:hint="eastAsia" w:eastAsia="方正仿宋_GBK" w:cs="Times New Roman"/>
                <w:szCs w:val="28"/>
              </w:rPr>
              <w:t>逐步扩大青钱柳种植面积到</w:t>
            </w:r>
            <w:r>
              <w:rPr>
                <w:rFonts w:eastAsia="方正仿宋_GBK" w:cs="Times New Roman"/>
                <w:szCs w:val="28"/>
              </w:rPr>
              <w:t>0.2</w:t>
            </w:r>
            <w:r>
              <w:rPr>
                <w:rFonts w:hint="eastAsia" w:eastAsia="方正仿宋_GBK" w:cs="Times New Roman"/>
                <w:szCs w:val="28"/>
              </w:rPr>
              <w:t>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10" w:type="dxa"/>
            <w:vAlign w:val="center"/>
          </w:tcPr>
          <w:p>
            <w:pPr>
              <w:spacing w:line="500" w:lineRule="exact"/>
              <w:ind w:firstLine="0" w:firstLineChars="0"/>
              <w:jc w:val="center"/>
              <w:rPr>
                <w:rFonts w:eastAsia="方正仿宋_GBK" w:cs="Times New Roman"/>
                <w:szCs w:val="28"/>
              </w:rPr>
            </w:pPr>
            <w:r>
              <w:rPr>
                <w:rFonts w:hint="eastAsia" w:eastAsia="方正仿宋_GBK" w:cs="Times New Roman"/>
                <w:szCs w:val="28"/>
              </w:rPr>
              <w:t>5</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国有林场林下中药材种植项目</w:t>
            </w:r>
          </w:p>
          <w:p>
            <w:pPr>
              <w:spacing w:line="440" w:lineRule="exact"/>
              <w:ind w:firstLine="560"/>
              <w:rPr>
                <w:rFonts w:eastAsia="方正仿宋_GBK" w:cs="Times New Roman"/>
                <w:szCs w:val="28"/>
              </w:rPr>
            </w:pPr>
            <w:r>
              <w:rPr>
                <w:rFonts w:hint="eastAsia" w:eastAsia="方正仿宋_GBK" w:cs="Times New Roman"/>
                <w:szCs w:val="28"/>
              </w:rPr>
              <w:t>依托国药集团等大型企业，推进林下中草药种植基地建设；发展林下中药材种植1万亩。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10" w:type="dxa"/>
            <w:vAlign w:val="center"/>
          </w:tcPr>
          <w:p>
            <w:pPr>
              <w:spacing w:line="500" w:lineRule="exact"/>
              <w:ind w:firstLine="0" w:firstLineChars="0"/>
              <w:jc w:val="center"/>
              <w:rPr>
                <w:rFonts w:eastAsia="方正仿宋_GBK" w:cs="Times New Roman"/>
                <w:szCs w:val="28"/>
              </w:rPr>
            </w:pPr>
            <w:r>
              <w:rPr>
                <w:rFonts w:eastAsia="方正仿宋_GBK" w:cs="Times New Roman"/>
                <w:szCs w:val="28"/>
              </w:rPr>
              <w:t>6</w:t>
            </w:r>
          </w:p>
        </w:tc>
        <w:tc>
          <w:tcPr>
            <w:tcW w:w="7820" w:type="dxa"/>
            <w:vAlign w:val="center"/>
          </w:tcPr>
          <w:p>
            <w:pPr>
              <w:spacing w:line="440" w:lineRule="exact"/>
              <w:ind w:firstLine="560"/>
              <w:rPr>
                <w:rFonts w:eastAsia="方正仿宋_GBK" w:cs="Times New Roman"/>
                <w:b/>
                <w:bCs/>
                <w:szCs w:val="28"/>
              </w:rPr>
            </w:pPr>
            <w:r>
              <w:rPr>
                <w:rFonts w:hint="eastAsia" w:eastAsia="方正仿宋_GBK" w:cs="Times New Roman"/>
                <w:b/>
                <w:bCs/>
                <w:szCs w:val="28"/>
              </w:rPr>
              <w:t>森林景观利用</w:t>
            </w:r>
          </w:p>
          <w:p>
            <w:pPr>
              <w:spacing w:line="440" w:lineRule="exact"/>
              <w:ind w:firstLine="560"/>
              <w:rPr>
                <w:rFonts w:eastAsia="方正仿宋_GBK" w:cs="Times New Roman"/>
                <w:szCs w:val="28"/>
              </w:rPr>
            </w:pPr>
            <w:r>
              <w:rPr>
                <w:rFonts w:hint="eastAsia" w:eastAsia="方正仿宋_GBK" w:cs="Times New Roman"/>
                <w:szCs w:val="28"/>
              </w:rPr>
              <w:t>依托青龙湖、燃灯山、金剑山等优质森林资源，逐步完善森林康养基础设施。</w:t>
            </w:r>
          </w:p>
        </w:tc>
      </w:tr>
    </w:tbl>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38" w:name="_Toc93615554"/>
      <w:r>
        <w:rPr>
          <w:rFonts w:hint="eastAsia" w:ascii="方正黑体_GBK" w:hAnsi="Times New Roman" w:eastAsia="方正黑体_GBK" w:cs="Times New Roman"/>
          <w:b w:val="0"/>
          <w:szCs w:val="36"/>
        </w:rPr>
        <w:t>第四节 林业安全生产</w:t>
      </w:r>
      <w:bookmarkEnd w:id="38"/>
    </w:p>
    <w:p>
      <w:pPr>
        <w:spacing w:line="360" w:lineRule="auto"/>
        <w:ind w:firstLine="640"/>
        <w:rPr>
          <w:rFonts w:eastAsia="方正仿宋_GBK" w:cs="Times New Roman"/>
          <w:sz w:val="32"/>
          <w:szCs w:val="32"/>
        </w:rPr>
      </w:pPr>
      <w:r>
        <w:rPr>
          <w:rFonts w:hint="eastAsia" w:eastAsia="方正仿宋_GBK" w:cs="Times New Roman"/>
          <w:sz w:val="32"/>
          <w:szCs w:val="32"/>
        </w:rPr>
        <w:t>压实林业安全生产责任，深入开展林业安全生产专项整治三年行动。建立健全林业安全生产工作机制，建立林业安全生产事故有奖举报制度，加强激励约束。广泛开展林业安全生产宣传，加强新闻宣传报道，开展警示教育，增强安全意识。通过努力，全区林业安全生产责任体系更加严密、安全监管体系更加完善，林业安全意识显著提高，不发生重特大林业安全生产事故，初步实现林业安全生产治理体系和治理能力现代化。</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39" w:name="_Toc93615555"/>
      <w:r>
        <w:rPr>
          <w:rFonts w:hint="eastAsia" w:ascii="方正黑体_GBK" w:hAnsi="Times New Roman" w:eastAsia="方正黑体_GBK" w:cs="Times New Roman"/>
          <w:b w:val="0"/>
          <w:szCs w:val="36"/>
        </w:rPr>
        <w:t>第五节 林业执法能力</w:t>
      </w:r>
      <w:bookmarkEnd w:id="39"/>
    </w:p>
    <w:p>
      <w:pPr>
        <w:spacing w:line="360" w:lineRule="auto"/>
        <w:ind w:firstLine="640"/>
        <w:rPr>
          <w:rFonts w:eastAsia="方正仿宋_GBK" w:cs="Times New Roman"/>
          <w:sz w:val="32"/>
          <w:szCs w:val="32"/>
        </w:rPr>
      </w:pPr>
      <w:r>
        <w:rPr>
          <w:rFonts w:hint="eastAsia" w:eastAsia="方正仿宋_GBK" w:cs="Times New Roman"/>
          <w:sz w:val="32"/>
          <w:szCs w:val="32"/>
        </w:rPr>
        <w:t>全面加强林业执法，按照新修订森林法有关林业行政执法的要求，进一步加强林业执法机构和队伍建设，组织林业执法人员积极参加林业法律知识等业务培训，及时更新业务知识，按标准做好执法装备配备，加强执法保障，增强执法能力，促进林业执法规范化、标准化、专业化。加强法制宣传教育，增强广大职工和群众的法律意识，建立内外结合、上下联动的林业普法体系，增强打击查处能力，提高全民生态保护意识，全面推进依法治林。建立协同机制，实现行政执法与刑事司法有效衔接。与周边区县建立联防制度和外部联动机制，建设信息和资源共享平台。根据林业行政执法职责事项清单，推行“三项制度”建设，增强质量监督能力。健全执法过错责任追究和案件终身负责制度，实现执法过程透明化。</w:t>
      </w:r>
    </w:p>
    <w:p>
      <w:pPr>
        <w:spacing w:line="360" w:lineRule="auto"/>
        <w:ind w:firstLine="640"/>
        <w:rPr>
          <w:rFonts w:eastAsia="方正仿宋_GBK" w:cs="Times New Roman"/>
          <w:sz w:val="32"/>
          <w:szCs w:val="32"/>
        </w:rPr>
      </w:pPr>
    </w:p>
    <w:p>
      <w:pPr>
        <w:spacing w:line="360" w:lineRule="auto"/>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spacing w:before="0" w:beforeLines="0" w:after="312" w:line="360" w:lineRule="auto"/>
        <w:rPr>
          <w:rFonts w:ascii="方正小标宋_GBK" w:eastAsia="方正小标宋_GBK" w:hAnsiTheme="minorHAnsi"/>
          <w:b w:val="0"/>
          <w:szCs w:val="28"/>
        </w:rPr>
      </w:pPr>
      <w:bookmarkStart w:id="40" w:name="_Toc93615556"/>
      <w:r>
        <w:rPr>
          <w:rFonts w:hint="eastAsia" w:ascii="方正小标宋_GBK" w:eastAsia="方正小标宋_GBK" w:hAnsiTheme="minorHAnsi"/>
          <w:b w:val="0"/>
          <w:szCs w:val="28"/>
        </w:rPr>
        <w:t xml:space="preserve">第七章 </w:t>
      </w:r>
      <w:r>
        <w:rPr>
          <w:rFonts w:ascii="方正小标宋_GBK" w:eastAsia="方正小标宋_GBK" w:hAnsiTheme="minorHAnsi"/>
          <w:b w:val="0"/>
          <w:szCs w:val="28"/>
        </w:rPr>
        <w:t xml:space="preserve"> </w:t>
      </w:r>
      <w:r>
        <w:rPr>
          <w:rFonts w:hint="eastAsia" w:ascii="方正小标宋_GBK" w:eastAsia="方正小标宋_GBK" w:hAnsiTheme="minorHAnsi"/>
          <w:b w:val="0"/>
          <w:szCs w:val="28"/>
        </w:rPr>
        <w:t>改革创新</w:t>
      </w:r>
      <w:bookmarkEnd w:id="40"/>
    </w:p>
    <w:p>
      <w:pPr>
        <w:spacing w:line="360" w:lineRule="auto"/>
        <w:ind w:firstLine="640"/>
        <w:rPr>
          <w:rFonts w:eastAsia="方正仿宋_GBK" w:cs="Times New Roman"/>
          <w:sz w:val="32"/>
          <w:szCs w:val="32"/>
        </w:rPr>
      </w:pPr>
      <w:r>
        <w:rPr>
          <w:rFonts w:hint="eastAsia" w:eastAsia="方正仿宋_GBK" w:cs="Times New Roman"/>
          <w:sz w:val="32"/>
          <w:szCs w:val="32"/>
        </w:rPr>
        <w:t>深化林业改革，完善林业人才、科技建设，增强林业发展动力。</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41" w:name="_Toc93615557"/>
      <w:r>
        <w:rPr>
          <w:rFonts w:hint="eastAsia" w:ascii="方正黑体_GBK" w:hAnsi="Times New Roman" w:eastAsia="方正黑体_GBK" w:cs="Times New Roman"/>
          <w:b w:val="0"/>
          <w:szCs w:val="36"/>
        </w:rPr>
        <w:t>第一节 林业改革</w:t>
      </w:r>
      <w:bookmarkEnd w:id="41"/>
    </w:p>
    <w:p>
      <w:pPr>
        <w:spacing w:line="360" w:lineRule="auto"/>
        <w:ind w:firstLine="640"/>
        <w:rPr>
          <w:rFonts w:eastAsia="方正仿宋_GBK" w:cs="Times New Roman"/>
          <w:sz w:val="32"/>
          <w:szCs w:val="32"/>
        </w:rPr>
      </w:pPr>
      <w:r>
        <w:rPr>
          <w:rFonts w:hint="eastAsia" w:eastAsia="方正楷体_GBK" w:cs="Times New Roman"/>
          <w:b/>
          <w:bCs/>
          <w:sz w:val="32"/>
          <w:szCs w:val="20"/>
        </w:rPr>
        <w:t xml:space="preserve">全面推行林长制 </w:t>
      </w:r>
      <w:r>
        <w:rPr>
          <w:rFonts w:eastAsia="方正楷体_GBK" w:cs="Times New Roman"/>
          <w:b/>
          <w:bCs/>
          <w:sz w:val="32"/>
          <w:szCs w:val="20"/>
        </w:rPr>
        <w:t xml:space="preserve"> </w:t>
      </w:r>
      <w:r>
        <w:rPr>
          <w:rFonts w:hint="eastAsia" w:eastAsia="方正仿宋_GBK" w:cs="Times New Roman"/>
          <w:sz w:val="32"/>
          <w:szCs w:val="32"/>
        </w:rPr>
        <w:t>在总结试点经验的基础上，健全完善林长制体系，进一步完善镇、村级林长设置，完善林长制“树状责任图”和基础台账，建立健全林长制工作各项制度，在全区15个镇街全面推行林长制。整合智慧林场、缙云山森林火灾综合治理、天保巡护平台、无人机系统等资源，完善信息采集平台，推进开发应用系统或购买服务，建设“智慧林长”，为全面推行林长制提供高效保障。</w:t>
      </w:r>
    </w:p>
    <w:p>
      <w:pPr>
        <w:spacing w:line="360" w:lineRule="auto"/>
        <w:ind w:firstLine="640"/>
        <w:rPr>
          <w:rFonts w:eastAsia="方正仿宋_GBK" w:cs="Times New Roman"/>
          <w:sz w:val="32"/>
          <w:szCs w:val="32"/>
        </w:rPr>
      </w:pPr>
      <w:bookmarkStart w:id="42" w:name="_Hlk93614378"/>
      <w:r>
        <w:rPr>
          <w:rFonts w:hint="eastAsia" w:eastAsia="方正楷体_GBK" w:cs="Times New Roman"/>
          <w:b/>
          <w:bCs/>
          <w:sz w:val="32"/>
          <w:szCs w:val="20"/>
        </w:rPr>
        <w:t>持续推进“放管服”</w:t>
      </w:r>
      <w:bookmarkEnd w:id="42"/>
      <w:r>
        <w:rPr>
          <w:rFonts w:hint="eastAsia" w:eastAsia="方正楷体_GBK" w:cs="Times New Roman"/>
          <w:b/>
          <w:bCs/>
          <w:sz w:val="32"/>
          <w:szCs w:val="20"/>
        </w:rPr>
        <w:t xml:space="preserve"> </w:t>
      </w:r>
      <w:r>
        <w:rPr>
          <w:rFonts w:eastAsia="方正楷体_GBK" w:cs="Times New Roman"/>
          <w:b/>
          <w:bCs/>
          <w:sz w:val="32"/>
          <w:szCs w:val="20"/>
        </w:rPr>
        <w:t xml:space="preserve"> </w:t>
      </w:r>
      <w:r>
        <w:rPr>
          <w:rFonts w:hint="eastAsia" w:eastAsia="方正仿宋_GBK" w:cs="Times New Roman"/>
          <w:sz w:val="32"/>
          <w:szCs w:val="32"/>
        </w:rPr>
        <w:t>按照“最多跑一次”的要求，进一步优化政务服务，提高政务服务中心窗口工作人员的岗位意识、责任意识和服务意识，实行岗位责任制、限时办结制、公开承诺制、首问负责制、一次性告知制度，授权审批科全权负责各类审批服务，办件流程、结果及时推送，推动行政审批服务事项“马上办、网上办、一次办”改革，进一步缩短办理时限、规范行政审批行为，提高行政管理效能，实现政务服务事项“一窗通办”、中心以外无审批，努力营造快捷、高效、公平、开放的林业营商环境。</w:t>
      </w:r>
    </w:p>
    <w:p>
      <w:pPr>
        <w:spacing w:line="360" w:lineRule="auto"/>
        <w:ind w:firstLine="640"/>
        <w:rPr>
          <w:rFonts w:eastAsia="方正仿宋_GBK" w:cs="Times New Roman"/>
          <w:sz w:val="32"/>
          <w:szCs w:val="32"/>
        </w:rPr>
      </w:pPr>
      <w:bookmarkStart w:id="43" w:name="_Hlk93614395"/>
      <w:r>
        <w:rPr>
          <w:rFonts w:hint="eastAsia" w:eastAsia="方正楷体_GBK" w:cs="Times New Roman"/>
          <w:b/>
          <w:bCs/>
          <w:sz w:val="32"/>
          <w:szCs w:val="20"/>
        </w:rPr>
        <w:t>落实横向生态补偿机制</w:t>
      </w:r>
      <w:bookmarkEnd w:id="43"/>
      <w:r>
        <w:rPr>
          <w:rFonts w:hint="eastAsia" w:eastAsia="方正楷体_GBK" w:cs="Times New Roman"/>
          <w:b/>
          <w:bCs/>
          <w:sz w:val="32"/>
          <w:szCs w:val="20"/>
        </w:rPr>
        <w:t xml:space="preserve"> </w:t>
      </w:r>
      <w:r>
        <w:rPr>
          <w:rFonts w:eastAsia="方正楷体_GBK" w:cs="Times New Roman"/>
          <w:b/>
          <w:bCs/>
          <w:sz w:val="32"/>
          <w:szCs w:val="20"/>
        </w:rPr>
        <w:t xml:space="preserve"> </w:t>
      </w:r>
      <w:r>
        <w:rPr>
          <w:rFonts w:hint="eastAsia" w:eastAsia="方正仿宋_GBK" w:cs="Times New Roman"/>
          <w:sz w:val="32"/>
          <w:szCs w:val="32"/>
        </w:rPr>
        <w:t>按照《重庆市实施横向生态补偿提高森林覆盖率工作方案（试行）》要求，结合我区实际，向森林覆盖率高出目标值的区县购买森林面积指标，计入本区森林覆盖率，切实履行提高森林覆盖率职责，推动落实横向生态补偿机制。</w:t>
      </w:r>
    </w:p>
    <w:p>
      <w:pPr>
        <w:spacing w:line="360" w:lineRule="auto"/>
        <w:ind w:firstLine="640"/>
        <w:rPr>
          <w:rFonts w:eastAsia="方正仿宋_GBK" w:cs="Times New Roman"/>
          <w:sz w:val="32"/>
          <w:szCs w:val="32"/>
        </w:rPr>
      </w:pPr>
      <w:bookmarkStart w:id="44" w:name="_Hlk93603643"/>
      <w:r>
        <w:rPr>
          <w:rFonts w:hint="eastAsia" w:eastAsia="方正楷体_GBK" w:cs="Times New Roman"/>
          <w:b/>
          <w:bCs/>
          <w:sz w:val="32"/>
          <w:szCs w:val="20"/>
        </w:rPr>
        <w:t>探索实行重点生态区非国有林生态赎买</w:t>
      </w:r>
      <w:bookmarkEnd w:id="44"/>
      <w:r>
        <w:rPr>
          <w:rFonts w:hint="eastAsia" w:eastAsia="方正楷体_GBK" w:cs="Times New Roman"/>
          <w:b/>
          <w:bCs/>
          <w:sz w:val="32"/>
          <w:szCs w:val="20"/>
        </w:rPr>
        <w:t xml:space="preserve"> </w:t>
      </w:r>
      <w:r>
        <w:rPr>
          <w:rFonts w:eastAsia="方正楷体_GBK" w:cs="Times New Roman"/>
          <w:b/>
          <w:bCs/>
          <w:sz w:val="32"/>
          <w:szCs w:val="20"/>
        </w:rPr>
        <w:t xml:space="preserve"> </w:t>
      </w:r>
      <w:r>
        <w:rPr>
          <w:rFonts w:hint="eastAsia" w:eastAsia="方正仿宋_GBK" w:cs="Times New Roman"/>
          <w:sz w:val="32"/>
          <w:szCs w:val="32"/>
        </w:rPr>
        <w:t>根据《重庆市林业局关于在重点生态区位开展非国有林赎买改革试点的指导意见》要求，结合我区实际，试点缙云山国家级自然保护区生态搬迁区域未补偿林地的生态赎买工作。按照程序，统一开展生态赎买林地（林权）不动产变更登记手续。</w:t>
      </w:r>
    </w:p>
    <w:p>
      <w:pPr>
        <w:spacing w:line="360" w:lineRule="auto"/>
        <w:ind w:firstLine="640"/>
        <w:rPr>
          <w:rFonts w:eastAsia="方正仿宋_GBK" w:cs="Times New Roman"/>
          <w:sz w:val="32"/>
          <w:szCs w:val="32"/>
        </w:rPr>
      </w:pPr>
      <w:r>
        <w:rPr>
          <w:rFonts w:hint="eastAsia" w:eastAsia="方正楷体_GBK" w:cs="Times New Roman"/>
          <w:b/>
          <w:bCs/>
          <w:sz w:val="32"/>
          <w:szCs w:val="20"/>
        </w:rPr>
        <w:t>积极推进林业碳汇工作</w:t>
      </w:r>
      <w:r>
        <w:rPr>
          <w:rFonts w:hint="eastAsia" w:eastAsia="方正仿宋_GBK" w:cs="Times New Roman"/>
          <w:sz w:val="32"/>
          <w:szCs w:val="32"/>
        </w:rPr>
        <w:t xml:space="preserve"> </w:t>
      </w:r>
      <w:r>
        <w:rPr>
          <w:rFonts w:eastAsia="方正仿宋_GBK" w:cs="Times New Roman"/>
          <w:sz w:val="32"/>
          <w:szCs w:val="32"/>
        </w:rPr>
        <w:t xml:space="preserve"> </w:t>
      </w:r>
      <w:r>
        <w:rPr>
          <w:rFonts w:hint="eastAsia" w:eastAsia="方正仿宋_GBK" w:cs="Times New Roman"/>
          <w:sz w:val="32"/>
          <w:szCs w:val="32"/>
        </w:rPr>
        <w:t>坚决落实国家碳达峰、碳中和重大部署，把森林质量提升作为林业碳汇工作的重要内容，提高和巩固森林生态系统碳汇能力，降低因资源破坏、森林灾害造成的碳排放。加强林业碳汇宣传，普及林业碳汇知识。鼓励社会资本参与林业碳汇建设。</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45" w:name="_Toc93615558"/>
      <w:r>
        <w:rPr>
          <w:rFonts w:hint="eastAsia" w:ascii="方正黑体_GBK" w:hAnsi="Times New Roman" w:eastAsia="方正黑体_GBK" w:cs="Times New Roman"/>
          <w:b w:val="0"/>
          <w:szCs w:val="36"/>
        </w:rPr>
        <w:t>第二节 科技创新</w:t>
      </w:r>
      <w:bookmarkEnd w:id="45"/>
    </w:p>
    <w:p>
      <w:pPr>
        <w:spacing w:line="360" w:lineRule="auto"/>
        <w:ind w:firstLine="640"/>
        <w:rPr>
          <w:rFonts w:eastAsia="方正仿宋_GBK" w:cs="Times New Roman"/>
          <w:sz w:val="32"/>
          <w:szCs w:val="32"/>
        </w:rPr>
      </w:pPr>
      <w:r>
        <w:rPr>
          <w:rFonts w:hint="eastAsia" w:eastAsia="方正楷体_GBK" w:cs="Times New Roman"/>
          <w:b/>
          <w:bCs/>
          <w:sz w:val="32"/>
          <w:szCs w:val="20"/>
        </w:rPr>
        <w:t xml:space="preserve">科技支撑建设 </w:t>
      </w:r>
      <w:r>
        <w:rPr>
          <w:rFonts w:eastAsia="方正楷体_GBK" w:cs="Times New Roman"/>
          <w:b/>
          <w:bCs/>
          <w:sz w:val="32"/>
          <w:szCs w:val="20"/>
        </w:rPr>
        <w:t xml:space="preserve"> </w:t>
      </w:r>
      <w:r>
        <w:rPr>
          <w:rFonts w:hint="eastAsia" w:eastAsia="方正仿宋_GBK" w:cs="Times New Roman"/>
          <w:sz w:val="32"/>
          <w:szCs w:val="32"/>
        </w:rPr>
        <w:t>围绕全区林业生态建设和林业产业发展需求，创新发展林业科技，全面提高技术水平、综合生产力和竞争力。加强对自然生态修复，松材线虫病防治，大数据、物联网、无人机等林业技术推广应用。大力推广关键实用技术，提升林业机械化和智能化水平，广泛开展科技培训。重点围绕西部（重庆）花卉苗木产业园建设，林下经济、森林康养等产业发展，深化与高校、科研院所、龙头企业合作，推动新品种、新技术、新模式的示范和推广应用。</w:t>
      </w:r>
    </w:p>
    <w:p>
      <w:pPr>
        <w:spacing w:line="360" w:lineRule="auto"/>
        <w:ind w:firstLine="640"/>
        <w:rPr>
          <w:rFonts w:eastAsia="方正仿宋_GBK" w:cs="Times New Roman"/>
          <w:sz w:val="32"/>
          <w:szCs w:val="32"/>
        </w:rPr>
      </w:pPr>
      <w:r>
        <w:rPr>
          <w:rFonts w:hint="eastAsia" w:eastAsia="方正楷体_GBK" w:cs="Times New Roman"/>
          <w:b/>
          <w:bCs/>
          <w:sz w:val="32"/>
          <w:szCs w:val="20"/>
        </w:rPr>
        <w:t xml:space="preserve">人才队伍建设 </w:t>
      </w:r>
      <w:r>
        <w:rPr>
          <w:rFonts w:eastAsia="方正楷体_GBK" w:cs="Times New Roman"/>
          <w:b/>
          <w:bCs/>
          <w:sz w:val="32"/>
          <w:szCs w:val="20"/>
        </w:rPr>
        <w:t xml:space="preserve"> </w:t>
      </w:r>
      <w:r>
        <w:rPr>
          <w:rFonts w:hint="eastAsia" w:eastAsia="方正仿宋_GBK" w:cs="Times New Roman"/>
          <w:sz w:val="32"/>
          <w:szCs w:val="32"/>
        </w:rPr>
        <w:t>依托重庆市林业规划设计院、重庆市林业科学研究院，搭建森林资源培育、生态修复、生态旅游、森林康养等领域人才团队，不定期邀请相关领域专家前来授课、交流，将其作为我区林业人才提升、成长的重要平台。强化科技创新人才和管理型人才招录、培养，将想干事、能干事、干成事的人才选拔到合适岗位。围绕生态文明建设、森林城市建设、乡村振兴战略及林业重点项目、森林康养产业等领域，实施骨干人才培养计划，将年轻有为的干部派到生产实践第一线锻炼成长，在干部选用、职称评聘上给予倾斜。加强青年科技人才培训交流，制定青年科技人才培训计划。鼓励中青年人才在职学历教育，支持林业科技人员开展科技服务。加强护林员技能培训，实施生态护林员全员培训行动，促进林业实用技术在林区推广应用。</w:t>
      </w:r>
    </w:p>
    <w:p>
      <w:pPr>
        <w:spacing w:line="360" w:lineRule="auto"/>
        <w:ind w:firstLine="560"/>
        <w:rPr>
          <w:color w:val="000000" w:themeColor="text1"/>
          <w14:textFill>
            <w14:solidFill>
              <w14:schemeClr w14:val="tx1"/>
            </w14:solidFill>
          </w14:textFill>
        </w:rPr>
      </w:pPr>
    </w:p>
    <w:p>
      <w:pPr>
        <w:spacing w:line="360" w:lineRule="auto"/>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spacing w:before="0" w:beforeLines="0" w:after="312" w:line="360" w:lineRule="auto"/>
        <w:rPr>
          <w:rFonts w:ascii="方正小标宋_GBK" w:eastAsia="方正小标宋_GBK" w:hAnsiTheme="minorHAnsi"/>
          <w:b w:val="0"/>
          <w:szCs w:val="28"/>
        </w:rPr>
      </w:pPr>
      <w:bookmarkStart w:id="46" w:name="_Toc93615559"/>
      <w:r>
        <w:rPr>
          <w:rFonts w:hint="eastAsia" w:ascii="方正小标宋_GBK" w:eastAsia="方正小标宋_GBK" w:hAnsiTheme="minorHAnsi"/>
          <w:b w:val="0"/>
          <w:szCs w:val="28"/>
        </w:rPr>
        <w:t xml:space="preserve">第八章 </w:t>
      </w:r>
      <w:r>
        <w:rPr>
          <w:rFonts w:ascii="方正小标宋_GBK" w:eastAsia="方正小标宋_GBK" w:hAnsiTheme="minorHAnsi"/>
          <w:b w:val="0"/>
          <w:szCs w:val="28"/>
        </w:rPr>
        <w:t xml:space="preserve"> </w:t>
      </w:r>
      <w:r>
        <w:rPr>
          <w:rFonts w:hint="eastAsia" w:ascii="方正小标宋_GBK" w:eastAsia="方正小标宋_GBK" w:hAnsiTheme="minorHAnsi"/>
          <w:b w:val="0"/>
          <w:szCs w:val="28"/>
        </w:rPr>
        <w:t>投资估算</w:t>
      </w:r>
      <w:bookmarkEnd w:id="46"/>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47" w:name="_Toc93615560"/>
      <w:r>
        <w:rPr>
          <w:rFonts w:hint="eastAsia" w:ascii="方正黑体_GBK" w:hAnsi="Times New Roman" w:eastAsia="方正黑体_GBK" w:cs="Times New Roman"/>
          <w:b w:val="0"/>
          <w:szCs w:val="36"/>
        </w:rPr>
        <w:t>第一节 估算依据</w:t>
      </w:r>
      <w:bookmarkEnd w:id="47"/>
    </w:p>
    <w:p>
      <w:pPr>
        <w:spacing w:line="360" w:lineRule="auto"/>
        <w:ind w:firstLine="640"/>
        <w:rPr>
          <w:rFonts w:eastAsia="方正仿宋_GBK" w:cs="Times New Roman"/>
          <w:sz w:val="32"/>
          <w:szCs w:val="32"/>
        </w:rPr>
      </w:pPr>
      <w:r>
        <w:rPr>
          <w:rFonts w:hint="eastAsia" w:eastAsia="方正仿宋_GBK" w:cs="Times New Roman"/>
          <w:sz w:val="32"/>
          <w:szCs w:val="32"/>
        </w:rPr>
        <w:t>1、国家林业局颁布的有关规程、规定中确定的技术经济指标</w:t>
      </w:r>
    </w:p>
    <w:p>
      <w:pPr>
        <w:spacing w:line="360" w:lineRule="auto"/>
        <w:ind w:firstLine="640"/>
        <w:rPr>
          <w:rFonts w:eastAsia="方正仿宋_GBK" w:cs="Times New Roman"/>
          <w:sz w:val="32"/>
          <w:szCs w:val="32"/>
        </w:rPr>
      </w:pPr>
      <w:r>
        <w:rPr>
          <w:rFonts w:hint="eastAsia" w:eastAsia="方正仿宋_GBK" w:cs="Times New Roman"/>
          <w:sz w:val="32"/>
          <w:szCs w:val="32"/>
        </w:rPr>
        <w:t>2、《重点区域生态保护和修复工程建设投资估算指南（试行）》</w:t>
      </w:r>
    </w:p>
    <w:p>
      <w:pPr>
        <w:spacing w:line="360" w:lineRule="auto"/>
        <w:ind w:firstLine="640"/>
        <w:rPr>
          <w:rFonts w:eastAsia="方正仿宋_GBK" w:cs="Times New Roman"/>
          <w:sz w:val="32"/>
          <w:szCs w:val="32"/>
        </w:rPr>
      </w:pPr>
      <w:r>
        <w:rPr>
          <w:rFonts w:hint="eastAsia" w:eastAsia="方正仿宋_GBK" w:cs="Times New Roman"/>
          <w:sz w:val="32"/>
          <w:szCs w:val="32"/>
        </w:rPr>
        <w:t>3、《投资项目可行性研究指南（试用版）》</w:t>
      </w:r>
    </w:p>
    <w:p>
      <w:pPr>
        <w:spacing w:line="360" w:lineRule="auto"/>
        <w:ind w:firstLine="640"/>
        <w:rPr>
          <w:rFonts w:eastAsia="方正仿宋_GBK" w:cs="Times New Roman"/>
          <w:sz w:val="32"/>
          <w:szCs w:val="32"/>
        </w:rPr>
      </w:pPr>
      <w:r>
        <w:rPr>
          <w:rFonts w:eastAsia="方正仿宋_GBK" w:cs="Times New Roman"/>
          <w:sz w:val="32"/>
          <w:szCs w:val="32"/>
        </w:rPr>
        <w:t>4</w:t>
      </w:r>
      <w:r>
        <w:rPr>
          <w:rFonts w:hint="eastAsia" w:eastAsia="方正仿宋_GBK" w:cs="Times New Roman"/>
          <w:sz w:val="32"/>
          <w:szCs w:val="32"/>
        </w:rPr>
        <w:t>、《建设工程工程量清单计价规范》（GB5055—2013）</w:t>
      </w:r>
    </w:p>
    <w:p>
      <w:pPr>
        <w:spacing w:line="360" w:lineRule="auto"/>
        <w:ind w:firstLine="640"/>
        <w:rPr>
          <w:rFonts w:eastAsia="方正仿宋_GBK" w:cs="Times New Roman"/>
          <w:sz w:val="32"/>
          <w:szCs w:val="32"/>
        </w:rPr>
      </w:pPr>
      <w:r>
        <w:rPr>
          <w:rFonts w:eastAsia="方正仿宋_GBK" w:cs="Times New Roman"/>
          <w:sz w:val="32"/>
          <w:szCs w:val="32"/>
        </w:rPr>
        <w:t>5</w:t>
      </w:r>
      <w:r>
        <w:rPr>
          <w:rFonts w:hint="eastAsia" w:eastAsia="方正仿宋_GBK" w:cs="Times New Roman"/>
          <w:sz w:val="32"/>
          <w:szCs w:val="32"/>
        </w:rPr>
        <w:t>、《国家发展改革委关于进一步放开建设项目专业服务价格的通知》（发改价格〔2015〕299号）</w:t>
      </w:r>
    </w:p>
    <w:p>
      <w:pPr>
        <w:spacing w:line="360" w:lineRule="auto"/>
        <w:ind w:firstLine="640"/>
        <w:rPr>
          <w:rFonts w:eastAsia="方正仿宋_GBK" w:cs="Times New Roman"/>
          <w:sz w:val="32"/>
          <w:szCs w:val="32"/>
        </w:rPr>
      </w:pPr>
      <w:r>
        <w:rPr>
          <w:rFonts w:eastAsia="方正仿宋_GBK" w:cs="Times New Roman"/>
          <w:sz w:val="32"/>
          <w:szCs w:val="32"/>
        </w:rPr>
        <w:t>6</w:t>
      </w:r>
      <w:r>
        <w:rPr>
          <w:rFonts w:hint="eastAsia" w:eastAsia="方正仿宋_GBK" w:cs="Times New Roman"/>
          <w:sz w:val="32"/>
          <w:szCs w:val="32"/>
        </w:rPr>
        <w:t>、重庆市地方标准《造林工程计价定额》（DB50/T 707-2017）</w:t>
      </w:r>
    </w:p>
    <w:p>
      <w:pPr>
        <w:spacing w:line="360" w:lineRule="auto"/>
        <w:ind w:firstLine="640"/>
        <w:rPr>
          <w:rFonts w:eastAsia="方正仿宋_GBK" w:cs="Times New Roman"/>
          <w:sz w:val="32"/>
          <w:szCs w:val="32"/>
        </w:rPr>
      </w:pPr>
      <w:r>
        <w:rPr>
          <w:rFonts w:eastAsia="方正仿宋_GBK" w:cs="Times New Roman"/>
          <w:sz w:val="32"/>
          <w:szCs w:val="32"/>
        </w:rPr>
        <w:t>7</w:t>
      </w:r>
      <w:r>
        <w:rPr>
          <w:rFonts w:hint="eastAsia" w:eastAsia="方正仿宋_GBK" w:cs="Times New Roman"/>
          <w:sz w:val="32"/>
          <w:szCs w:val="32"/>
        </w:rPr>
        <w:t>、《关于提高国土绿化提升行动市级补助标准的建议》（重庆市五届人大三次会议第0205号建议）</w:t>
      </w:r>
    </w:p>
    <w:p>
      <w:pPr>
        <w:spacing w:line="360" w:lineRule="auto"/>
        <w:ind w:firstLine="640"/>
        <w:rPr>
          <w:rFonts w:eastAsia="方正仿宋_GBK" w:cs="Times New Roman"/>
          <w:sz w:val="32"/>
          <w:szCs w:val="32"/>
        </w:rPr>
      </w:pPr>
      <w:r>
        <w:rPr>
          <w:rFonts w:eastAsia="方正仿宋_GBK" w:cs="Times New Roman"/>
          <w:sz w:val="32"/>
          <w:szCs w:val="32"/>
        </w:rPr>
        <w:t>8</w:t>
      </w:r>
      <w:r>
        <w:rPr>
          <w:rFonts w:hint="eastAsia" w:eastAsia="方正仿宋_GBK" w:cs="Times New Roman"/>
          <w:sz w:val="32"/>
          <w:szCs w:val="32"/>
        </w:rPr>
        <w:t>、规划中各项专项工程部分采用原有专业规划中的有关经济技术指标</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48" w:name="_Toc93615561"/>
      <w:r>
        <w:rPr>
          <w:rFonts w:hint="eastAsia" w:ascii="方正黑体_GBK" w:hAnsi="Times New Roman" w:eastAsia="方正黑体_GBK" w:cs="Times New Roman"/>
          <w:b w:val="0"/>
          <w:szCs w:val="36"/>
        </w:rPr>
        <w:t>第二节 投资估算</w:t>
      </w:r>
      <w:bookmarkEnd w:id="48"/>
    </w:p>
    <w:p>
      <w:pPr>
        <w:spacing w:line="360" w:lineRule="auto"/>
        <w:ind w:firstLine="640"/>
        <w:rPr>
          <w:rFonts w:eastAsia="方正仿宋_GBK" w:cs="Times New Roman"/>
          <w:sz w:val="32"/>
          <w:szCs w:val="32"/>
        </w:rPr>
      </w:pPr>
      <w:r>
        <w:rPr>
          <w:rFonts w:hint="eastAsia" w:eastAsia="方正仿宋_GBK" w:cs="Times New Roman"/>
          <w:sz w:val="32"/>
          <w:szCs w:val="32"/>
        </w:rPr>
        <w:t>经测算，“十四五”期间全区林业规划总投入</w:t>
      </w:r>
      <w:bookmarkStart w:id="49" w:name="_Hlk88169060"/>
      <w:r>
        <w:rPr>
          <w:rFonts w:eastAsia="方正仿宋_GBK" w:cs="Times New Roman"/>
          <w:sz w:val="32"/>
          <w:szCs w:val="32"/>
        </w:rPr>
        <w:t>215766</w:t>
      </w:r>
      <w:r>
        <w:rPr>
          <w:rFonts w:hint="eastAsia" w:eastAsia="方正仿宋_GBK" w:cs="Times New Roman"/>
          <w:sz w:val="32"/>
          <w:szCs w:val="32"/>
        </w:rPr>
        <w:t>万</w:t>
      </w:r>
      <w:bookmarkEnd w:id="49"/>
      <w:r>
        <w:rPr>
          <w:rFonts w:hint="eastAsia" w:eastAsia="方正仿宋_GBK" w:cs="Times New Roman"/>
          <w:sz w:val="32"/>
          <w:szCs w:val="32"/>
        </w:rPr>
        <w:t>元，其中生物多样性保护工程</w:t>
      </w:r>
      <w:r>
        <w:rPr>
          <w:rFonts w:eastAsia="方正仿宋_GBK" w:cs="Times New Roman"/>
          <w:sz w:val="32"/>
          <w:szCs w:val="32"/>
        </w:rPr>
        <w:t>350</w:t>
      </w:r>
      <w:r>
        <w:rPr>
          <w:rFonts w:hint="eastAsia" w:eastAsia="方正仿宋_GBK" w:cs="Times New Roman"/>
          <w:sz w:val="32"/>
          <w:szCs w:val="32"/>
        </w:rPr>
        <w:t>万元，自然保护地体系建设工程</w:t>
      </w:r>
      <w:r>
        <w:rPr>
          <w:rFonts w:eastAsia="方正仿宋_GBK" w:cs="Times New Roman"/>
          <w:sz w:val="32"/>
          <w:szCs w:val="32"/>
        </w:rPr>
        <w:t>53090</w:t>
      </w:r>
      <w:r>
        <w:rPr>
          <w:rFonts w:hint="eastAsia" w:eastAsia="方正仿宋_GBK" w:cs="Times New Roman"/>
          <w:sz w:val="32"/>
          <w:szCs w:val="32"/>
        </w:rPr>
        <w:t>万元，森林防火能力与水平提升工程</w:t>
      </w:r>
      <w:r>
        <w:rPr>
          <w:rFonts w:eastAsia="方正仿宋_GBK" w:cs="Times New Roman"/>
          <w:sz w:val="32"/>
          <w:szCs w:val="32"/>
        </w:rPr>
        <w:t>18396万元</w:t>
      </w:r>
      <w:r>
        <w:rPr>
          <w:rFonts w:hint="eastAsia" w:eastAsia="方正仿宋_GBK" w:cs="Times New Roman"/>
          <w:sz w:val="32"/>
          <w:szCs w:val="32"/>
        </w:rPr>
        <w:t>，重大林业有害生物防治工程</w:t>
      </w:r>
      <w:r>
        <w:rPr>
          <w:rFonts w:eastAsia="方正仿宋_GBK" w:cs="Times New Roman"/>
          <w:sz w:val="32"/>
          <w:szCs w:val="32"/>
        </w:rPr>
        <w:t>6500</w:t>
      </w:r>
      <w:r>
        <w:rPr>
          <w:rFonts w:hint="eastAsia" w:eastAsia="方正仿宋_GBK" w:cs="Times New Roman"/>
          <w:sz w:val="32"/>
          <w:szCs w:val="32"/>
        </w:rPr>
        <w:t>万元，缙云山、茅莱山、云雾山生态屏障建设工程</w:t>
      </w:r>
      <w:r>
        <w:rPr>
          <w:rFonts w:eastAsia="方正仿宋_GBK" w:cs="Times New Roman"/>
          <w:sz w:val="32"/>
          <w:szCs w:val="32"/>
        </w:rPr>
        <w:t>30875</w:t>
      </w:r>
      <w:r>
        <w:rPr>
          <w:rFonts w:hint="eastAsia" w:eastAsia="方正仿宋_GBK" w:cs="Times New Roman"/>
          <w:sz w:val="32"/>
          <w:szCs w:val="32"/>
        </w:rPr>
        <w:t>万元，生态惠民产业发展工程</w:t>
      </w:r>
      <w:r>
        <w:rPr>
          <w:rFonts w:eastAsia="方正仿宋_GBK" w:cs="Times New Roman"/>
          <w:sz w:val="32"/>
          <w:szCs w:val="32"/>
        </w:rPr>
        <w:t>59060</w:t>
      </w:r>
      <w:r>
        <w:rPr>
          <w:rFonts w:hint="eastAsia" w:eastAsia="方正仿宋_GBK" w:cs="Times New Roman"/>
          <w:sz w:val="32"/>
          <w:szCs w:val="32"/>
        </w:rPr>
        <w:t>万元，国有林场发展6</w:t>
      </w:r>
      <w:r>
        <w:rPr>
          <w:rFonts w:eastAsia="方正仿宋_GBK" w:cs="Times New Roman"/>
          <w:sz w:val="32"/>
          <w:szCs w:val="32"/>
        </w:rPr>
        <w:t>670</w:t>
      </w:r>
      <w:r>
        <w:rPr>
          <w:rFonts w:hint="eastAsia" w:eastAsia="方正仿宋_GBK" w:cs="Times New Roman"/>
          <w:sz w:val="32"/>
          <w:szCs w:val="32"/>
        </w:rPr>
        <w:t>万元，林业基础保障建设工程</w:t>
      </w:r>
      <w:r>
        <w:rPr>
          <w:rFonts w:eastAsia="方正仿宋_GBK" w:cs="Times New Roman"/>
          <w:sz w:val="32"/>
          <w:szCs w:val="32"/>
        </w:rPr>
        <w:t>29460</w:t>
      </w:r>
      <w:r>
        <w:rPr>
          <w:rFonts w:hint="eastAsia" w:eastAsia="方正仿宋_GBK" w:cs="Times New Roman"/>
          <w:sz w:val="32"/>
          <w:szCs w:val="32"/>
        </w:rPr>
        <w:t>万元，创建国家森林城市1</w:t>
      </w:r>
      <w:r>
        <w:rPr>
          <w:rFonts w:eastAsia="方正仿宋_GBK" w:cs="Times New Roman"/>
          <w:sz w:val="32"/>
          <w:szCs w:val="32"/>
        </w:rPr>
        <w:t>1365</w:t>
      </w:r>
      <w:r>
        <w:rPr>
          <w:rFonts w:hint="eastAsia" w:eastAsia="方正仿宋_GBK" w:cs="Times New Roman"/>
          <w:sz w:val="32"/>
          <w:szCs w:val="32"/>
        </w:rPr>
        <w:t>万元（见附表）。</w:t>
      </w:r>
    </w:p>
    <w:p>
      <w:pPr>
        <w:spacing w:line="360" w:lineRule="auto"/>
        <w:ind w:firstLine="56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spacing w:before="0" w:beforeLines="0" w:after="312" w:line="360" w:lineRule="auto"/>
        <w:rPr>
          <w:rFonts w:ascii="方正小标宋_GBK" w:eastAsia="方正小标宋_GBK" w:hAnsiTheme="minorHAnsi"/>
          <w:b w:val="0"/>
          <w:szCs w:val="28"/>
        </w:rPr>
      </w:pPr>
      <w:bookmarkStart w:id="50" w:name="_Toc93615562"/>
      <w:r>
        <w:rPr>
          <w:rFonts w:hint="eastAsia" w:ascii="方正小标宋_GBK" w:eastAsia="方正小标宋_GBK" w:hAnsiTheme="minorHAnsi"/>
          <w:b w:val="0"/>
          <w:szCs w:val="28"/>
        </w:rPr>
        <w:t>第九章</w:t>
      </w:r>
      <w:r>
        <w:rPr>
          <w:rFonts w:ascii="方正小标宋_GBK" w:eastAsia="方正小标宋_GBK" w:hAnsiTheme="minorHAnsi"/>
          <w:b w:val="0"/>
          <w:szCs w:val="28"/>
        </w:rPr>
        <w:t xml:space="preserve">  </w:t>
      </w:r>
      <w:r>
        <w:rPr>
          <w:rFonts w:hint="eastAsia" w:ascii="方正小标宋_GBK" w:eastAsia="方正小标宋_GBK" w:hAnsiTheme="minorHAnsi"/>
          <w:b w:val="0"/>
          <w:szCs w:val="28"/>
        </w:rPr>
        <w:t>保障措施</w:t>
      </w:r>
      <w:bookmarkEnd w:id="50"/>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51" w:name="_Toc93615563"/>
      <w:r>
        <w:rPr>
          <w:rFonts w:hint="eastAsia" w:ascii="方正黑体_GBK" w:hAnsi="Times New Roman" w:eastAsia="方正黑体_GBK" w:cs="Times New Roman"/>
          <w:b w:val="0"/>
          <w:szCs w:val="36"/>
        </w:rPr>
        <w:t>第一节 组织保障</w:t>
      </w:r>
      <w:bookmarkEnd w:id="51"/>
    </w:p>
    <w:p>
      <w:pPr>
        <w:spacing w:line="360" w:lineRule="auto"/>
        <w:ind w:firstLine="640"/>
        <w:rPr>
          <w:rFonts w:eastAsia="方正仿宋_GBK" w:cs="Times New Roman"/>
          <w:sz w:val="32"/>
          <w:szCs w:val="32"/>
        </w:rPr>
      </w:pPr>
      <w:r>
        <w:rPr>
          <w:rFonts w:hint="eastAsia" w:eastAsia="方正仿宋_GBK" w:cs="Times New Roman"/>
          <w:sz w:val="32"/>
          <w:szCs w:val="32"/>
        </w:rPr>
        <w:t>林业建设是一项涉及面广、技术要求高、工程庞大的社会系统工程，必须以实际情况和林业特点出发，遵循客观规律，有重点、按步骤、分阶段地向前推进。因此，切实加强组织领导，健全管理机构，强化责任分工与协作是林业“十四五”发展规划实施的关键。深刻认识当前经济发展新常态下的林业发展重要意义，科学适应新常态、抓住新机遇、创造新优势、实现新发展，把“十四五”期间发展生态林业、民生林业提上重要议事日程，做出具体的年度实施方案，建立规划实施情况评估考核机制，适时开展中期评估和终期考核，确保规划内容有序推进、有效实施。</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52" w:name="_Toc93615564"/>
      <w:r>
        <w:rPr>
          <w:rFonts w:hint="eastAsia" w:ascii="方正黑体_GBK" w:hAnsi="Times New Roman" w:eastAsia="方正黑体_GBK" w:cs="Times New Roman"/>
          <w:b w:val="0"/>
          <w:szCs w:val="36"/>
        </w:rPr>
        <w:t>第二节 资金保障</w:t>
      </w:r>
      <w:bookmarkEnd w:id="52"/>
    </w:p>
    <w:p>
      <w:pPr>
        <w:spacing w:line="360" w:lineRule="auto"/>
        <w:ind w:firstLine="640"/>
        <w:rPr>
          <w:rFonts w:eastAsia="方正仿宋_GBK" w:cs="Times New Roman"/>
          <w:sz w:val="32"/>
          <w:szCs w:val="32"/>
        </w:rPr>
      </w:pPr>
      <w:r>
        <w:rPr>
          <w:rFonts w:hint="eastAsia" w:eastAsia="方正仿宋_GBK" w:cs="Times New Roman"/>
          <w:sz w:val="32"/>
          <w:szCs w:val="32"/>
        </w:rPr>
        <w:t>加强财政预算与规划实施的衔接协调，在明晰政府支出责任的基础上，强化各级财政对林业发展“十四五”规划实施的保障作用。建立健全财政支持林业发展的投入机制，将林业建设资金纳入政府公共财政预算体系，积极争取国家和市级资金扶持，加强对林业生态建设、主导产业提升、基础设施建设等资金投入力度，逐步推行工程化管理。林业建设项目安排尽可能与国家和重庆市重点建设工程项目相结合，多部门、多途径争取国家、重庆市重点建设工程资金支持，加快建立以政府投入为主的稳定的资金投入主渠道。拓宽融资渠道，加大招商引资力度，积极引导非公有制涉林企业强强联合，吸引社会民间资金参与林业建设，形成资金投入合力。</w:t>
      </w:r>
    </w:p>
    <w:p>
      <w:pPr>
        <w:pStyle w:val="3"/>
        <w:spacing w:before="0" w:beforeLines="0" w:after="312" w:afterLines="100" w:line="570" w:lineRule="exact"/>
        <w:contextualSpacing/>
        <w:jc w:val="center"/>
        <w:rPr>
          <w:rFonts w:ascii="方正黑体_GBK" w:hAnsi="Times New Roman" w:eastAsia="方正黑体_GBK" w:cs="Times New Roman"/>
          <w:b w:val="0"/>
          <w:szCs w:val="36"/>
        </w:rPr>
      </w:pPr>
      <w:bookmarkStart w:id="53" w:name="_Toc93615565"/>
      <w:r>
        <w:rPr>
          <w:rFonts w:hint="eastAsia" w:ascii="方正黑体_GBK" w:hAnsi="Times New Roman" w:eastAsia="方正黑体_GBK" w:cs="Times New Roman"/>
          <w:b w:val="0"/>
          <w:szCs w:val="36"/>
        </w:rPr>
        <w:t>第三节 宣传保障</w:t>
      </w:r>
      <w:bookmarkEnd w:id="53"/>
    </w:p>
    <w:p>
      <w:pPr>
        <w:spacing w:line="360" w:lineRule="auto"/>
        <w:ind w:firstLine="640"/>
        <w:rPr>
          <w:rFonts w:eastAsia="方正仿宋_GBK" w:cs="Times New Roman"/>
          <w:sz w:val="32"/>
          <w:szCs w:val="32"/>
        </w:rPr>
      </w:pPr>
      <w:r>
        <w:rPr>
          <w:rFonts w:hint="eastAsia" w:eastAsia="方正仿宋_GBK" w:cs="Times New Roman"/>
          <w:sz w:val="32"/>
          <w:szCs w:val="32"/>
        </w:rPr>
        <w:t>加强林业发展“十四五”建设的宣传力度，充分运用电视、广播、网络、报刊等各类新闻媒体，以创建国家森林城市为主题，以植树节、湿地日、生态日、爱鸟周等文化活动为重点，广泛宣传林业建设在经济社会发展中的重要作用，引导全社会树立生态文明观念和生态保护意识，形成全社会重视林业、支持林业和发展林业的良好氛围，不断扩大林业建设的影响力和示范效应。深入开展全民义务植树活动，鼓励企业、单位或个人参与绿地认养和古树名木保护活动，动员全社会参与林业保护与建设。</w:t>
      </w:r>
    </w:p>
    <w:p>
      <w:pPr>
        <w:spacing w:line="360" w:lineRule="auto"/>
        <w:ind w:firstLine="640"/>
        <w:rPr>
          <w:rFonts w:eastAsia="方正仿宋_GBK" w:cs="Times New Roman"/>
          <w:sz w:val="32"/>
          <w:szCs w:val="32"/>
        </w:rPr>
      </w:pPr>
    </w:p>
    <w:p>
      <w:pPr>
        <w:spacing w:line="360" w:lineRule="auto"/>
        <w:ind w:firstLine="560"/>
        <w:rPr>
          <w:color w:val="000000" w:themeColor="text1"/>
          <w14:textFill>
            <w14:solidFill>
              <w14:schemeClr w14:val="tx1"/>
            </w14:solidFill>
          </w14:textFill>
        </w:rPr>
      </w:pPr>
    </w:p>
    <w:p>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line="360" w:lineRule="auto"/>
        <w:ind w:firstLine="560"/>
        <w:rPr>
          <w:color w:val="000000" w:themeColor="text1"/>
          <w14:textFill>
            <w14:solidFill>
              <w14:schemeClr w14:val="tx1"/>
            </w14:solidFill>
          </w14:textFill>
        </w:rPr>
        <w:sectPr>
          <w:footerReference r:id="rId12" w:type="default"/>
          <w:pgSz w:w="11906" w:h="16838"/>
          <w:pgMar w:top="1440" w:right="1800" w:bottom="1440" w:left="1800" w:header="851" w:footer="992" w:gutter="0"/>
          <w:pgNumType w:start="1"/>
          <w:cols w:space="425" w:num="1"/>
          <w:docGrid w:type="lines" w:linePitch="312" w:charSpace="0"/>
        </w:sectPr>
      </w:pPr>
    </w:p>
    <w:tbl>
      <w:tblPr>
        <w:tblStyle w:val="22"/>
        <w:tblW w:w="14510" w:type="dxa"/>
        <w:tblInd w:w="108" w:type="dxa"/>
        <w:tblLayout w:type="fixed"/>
        <w:tblCellMar>
          <w:top w:w="0" w:type="dxa"/>
          <w:left w:w="108" w:type="dxa"/>
          <w:bottom w:w="0" w:type="dxa"/>
          <w:right w:w="108" w:type="dxa"/>
        </w:tblCellMar>
      </w:tblPr>
      <w:tblGrid>
        <w:gridCol w:w="752"/>
        <w:gridCol w:w="2650"/>
        <w:gridCol w:w="6237"/>
        <w:gridCol w:w="709"/>
        <w:gridCol w:w="992"/>
        <w:gridCol w:w="1134"/>
        <w:gridCol w:w="1533"/>
        <w:gridCol w:w="503"/>
      </w:tblGrid>
      <w:tr>
        <w:tblPrEx>
          <w:tblCellMar>
            <w:top w:w="0" w:type="dxa"/>
            <w:left w:w="108" w:type="dxa"/>
            <w:bottom w:w="0" w:type="dxa"/>
            <w:right w:w="108" w:type="dxa"/>
          </w:tblCellMar>
        </w:tblPrEx>
        <w:trPr>
          <w:gridAfter w:val="1"/>
          <w:wAfter w:w="503" w:type="dxa"/>
          <w:trHeight w:val="451" w:hRule="atLeast"/>
          <w:tblHeader/>
        </w:trPr>
        <w:tc>
          <w:tcPr>
            <w:tcW w:w="752" w:type="dxa"/>
            <w:tcBorders>
              <w:top w:val="nil"/>
              <w:left w:val="nil"/>
              <w:bottom w:val="nil"/>
              <w:right w:val="nil"/>
            </w:tcBorders>
            <w:shd w:val="clear" w:color="auto" w:fill="auto"/>
            <w:vAlign w:val="center"/>
          </w:tcPr>
          <w:p>
            <w:pPr>
              <w:widowControl/>
              <w:spacing w:line="240" w:lineRule="auto"/>
              <w:ind w:firstLine="0" w:firstLineChars="0"/>
              <w:jc w:val="center"/>
              <w:rPr>
                <w:rFonts w:ascii="仿宋" w:hAnsi="仿宋" w:eastAsia="仿宋" w:cs="宋体"/>
                <w:color w:val="000000"/>
                <w:kern w:val="0"/>
                <w:sz w:val="24"/>
                <w:szCs w:val="24"/>
              </w:rPr>
            </w:pPr>
            <w:r>
              <w:rPr>
                <w:rFonts w:hint="eastAsia" w:ascii="方正黑体_GBK" w:eastAsia="方正黑体_GBK" w:hAnsiTheme="minorHAnsi"/>
                <w:sz w:val="24"/>
                <w:szCs w:val="24"/>
              </w:rPr>
              <w:t>附表</w:t>
            </w:r>
          </w:p>
        </w:tc>
        <w:tc>
          <w:tcPr>
            <w:tcW w:w="13255" w:type="dxa"/>
            <w:gridSpan w:val="6"/>
            <w:tcBorders>
              <w:top w:val="nil"/>
              <w:left w:val="nil"/>
              <w:bottom w:val="single" w:color="auto" w:sz="4" w:space="0"/>
              <w:right w:val="nil"/>
            </w:tcBorders>
            <w:shd w:val="clear" w:color="auto" w:fill="auto"/>
            <w:vAlign w:val="center"/>
          </w:tcPr>
          <w:p>
            <w:pPr>
              <w:widowControl/>
              <w:spacing w:line="240" w:lineRule="auto"/>
              <w:ind w:firstLine="0" w:firstLineChars="0"/>
              <w:jc w:val="center"/>
              <w:rPr>
                <w:rFonts w:ascii="仿宋" w:hAnsi="仿宋" w:eastAsia="仿宋" w:cs="宋体"/>
                <w:b/>
                <w:bCs/>
                <w:color w:val="000000"/>
                <w:kern w:val="0"/>
                <w:szCs w:val="28"/>
              </w:rPr>
            </w:pPr>
            <w:r>
              <w:rPr>
                <w:rFonts w:hint="eastAsia" w:ascii="方正黑体_GBK" w:eastAsia="方正黑体_GBK" w:hAnsiTheme="minorHAnsi"/>
              </w:rPr>
              <w:t>璧山区“十四五”林业发展规划重点项目及投资表</w:t>
            </w:r>
          </w:p>
        </w:tc>
      </w:tr>
      <w:tr>
        <w:tblPrEx>
          <w:tblCellMar>
            <w:top w:w="0" w:type="dxa"/>
            <w:left w:w="108" w:type="dxa"/>
            <w:bottom w:w="0" w:type="dxa"/>
            <w:right w:w="108" w:type="dxa"/>
          </w:tblCellMar>
        </w:tblPrEx>
        <w:trPr>
          <w:gridAfter w:val="1"/>
          <w:wAfter w:w="503" w:type="dxa"/>
          <w:trHeight w:val="451" w:hRule="atLeast"/>
          <w:tblHeader/>
        </w:trPr>
        <w:tc>
          <w:tcPr>
            <w:tcW w:w="7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序号</w:t>
            </w:r>
          </w:p>
        </w:tc>
        <w:tc>
          <w:tcPr>
            <w:tcW w:w="2650"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项目名称</w:t>
            </w:r>
          </w:p>
        </w:tc>
        <w:tc>
          <w:tcPr>
            <w:tcW w:w="6237"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建设内容与规模</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建设性质</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总投资（万元）</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牵头部门</w:t>
            </w:r>
          </w:p>
        </w:tc>
        <w:tc>
          <w:tcPr>
            <w:tcW w:w="1533"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配合单位</w:t>
            </w:r>
          </w:p>
        </w:tc>
      </w:tr>
      <w:tr>
        <w:tblPrEx>
          <w:tblCellMar>
            <w:top w:w="0" w:type="dxa"/>
            <w:left w:w="108" w:type="dxa"/>
            <w:bottom w:w="0" w:type="dxa"/>
            <w:right w:w="108" w:type="dxa"/>
          </w:tblCellMar>
        </w:tblPrEx>
        <w:trPr>
          <w:trHeight w:val="451" w:hRule="atLeast"/>
          <w:tblHeader/>
        </w:trPr>
        <w:tc>
          <w:tcPr>
            <w:tcW w:w="75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宋体"/>
                <w:b/>
                <w:bCs/>
                <w:color w:val="000000"/>
                <w:kern w:val="0"/>
                <w:sz w:val="18"/>
                <w:szCs w:val="18"/>
              </w:rPr>
            </w:pPr>
          </w:p>
        </w:tc>
        <w:tc>
          <w:tcPr>
            <w:tcW w:w="265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宋体"/>
                <w:b/>
                <w:bCs/>
                <w:color w:val="000000"/>
                <w:kern w:val="0"/>
                <w:sz w:val="18"/>
                <w:szCs w:val="18"/>
              </w:rPr>
            </w:pPr>
          </w:p>
        </w:tc>
        <w:tc>
          <w:tcPr>
            <w:tcW w:w="623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宋体"/>
                <w:b/>
                <w:bCs/>
                <w:color w:val="000000"/>
                <w:kern w:val="0"/>
                <w:sz w:val="18"/>
                <w:szCs w:val="18"/>
              </w:rPr>
            </w:pP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宋体"/>
                <w:b/>
                <w:bCs/>
                <w:color w:val="000000"/>
                <w:kern w:val="0"/>
                <w:sz w:val="18"/>
                <w:szCs w:val="18"/>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宋体"/>
                <w:b/>
                <w:bCs/>
                <w:color w:val="000000"/>
                <w:kern w:val="0"/>
                <w:sz w:val="18"/>
                <w:szCs w:val="18"/>
              </w:rPr>
            </w:pPr>
          </w:p>
        </w:tc>
        <w:tc>
          <w:tcPr>
            <w:tcW w:w="113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宋体"/>
                <w:b/>
                <w:bCs/>
                <w:color w:val="000000"/>
                <w:kern w:val="0"/>
                <w:sz w:val="18"/>
                <w:szCs w:val="18"/>
              </w:rPr>
            </w:pPr>
          </w:p>
        </w:tc>
        <w:tc>
          <w:tcPr>
            <w:tcW w:w="153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宋体"/>
                <w:b/>
                <w:bCs/>
                <w:color w:val="000000"/>
                <w:kern w:val="0"/>
                <w:sz w:val="18"/>
                <w:szCs w:val="18"/>
              </w:rPr>
            </w:pPr>
          </w:p>
        </w:tc>
        <w:tc>
          <w:tcPr>
            <w:tcW w:w="503" w:type="dxa"/>
            <w:tcBorders>
              <w:top w:val="nil"/>
              <w:left w:val="nil"/>
              <w:bottom w:val="nil"/>
              <w:right w:val="nil"/>
            </w:tcBorders>
            <w:shd w:val="clear" w:color="auto" w:fill="auto"/>
            <w:noWrap/>
            <w:vAlign w:val="bottom"/>
          </w:tcPr>
          <w:p>
            <w:pPr>
              <w:widowControl/>
              <w:spacing w:line="240" w:lineRule="auto"/>
              <w:ind w:firstLine="0" w:firstLineChars="0"/>
              <w:jc w:val="center"/>
              <w:rPr>
                <w:rFonts w:ascii="仿宋" w:hAnsi="仿宋" w:eastAsia="仿宋" w:cs="宋体"/>
                <w:b/>
                <w:bCs/>
                <w:color w:val="000000"/>
                <w:kern w:val="0"/>
                <w:sz w:val="18"/>
                <w:szCs w:val="18"/>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合计</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215766</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一</w:t>
            </w:r>
          </w:p>
        </w:tc>
        <w:tc>
          <w:tcPr>
            <w:tcW w:w="88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生物多样性保护工程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350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野生动植物资源调查</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开展野生动植物资源本底调查，珍稀濒危野生动植物专项调查，形成野生动植物资源档案资料。</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150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珍稀濒危野生植物保护</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加强国家级保护植物（南方红豆杉、桫椤、黑桫椤、金毛狗、润楠、喜树等）生境保护，建设缙云黄芩扩繁基地1处。</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野生动物救护站建设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加强国家重点保护动物（黑冠鹃隼、普通鵟、游隼、画眉等）生境保护，建设野生动物救护站1处。</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二</w:t>
            </w:r>
          </w:p>
        </w:tc>
        <w:tc>
          <w:tcPr>
            <w:tcW w:w="8887"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自然保护地体系建设工程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53090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4</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自然保护地整合优化</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持续推进自然保护地整合优化，完善预案、方案、分述报告及矢量数据库。</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续建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90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5</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自然保护地勘界立标</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按照《自然保护区等自然保护地勘界立标工作规范》要求，开展全区自然保护地勘界立标。</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续建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500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6</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自然保护地总体规划编制</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按照整合优化成果，在国土空间规划指导约束下，编制全区自然保护地总体规划（修编）。</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400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7</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自然保护地资源调查</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开展全区自然保护地生态环境和自然资源调查。</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8</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自然保护地管理能力建设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对全区自然保护地配备巡护相关设施设备，建设科普和管护中心2-3个，新建或完善日常巡护管理平台，开展自然保护地人类活动遥感监测。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1800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9</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璧山区缙云山生态环山道路工程</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建设车行道约15.4公里、骑游道约16.4公里、桥梁5座约1.1公里；实施附属设施及绿化景观建设。</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续建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50000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三</w:t>
            </w:r>
          </w:p>
        </w:tc>
        <w:tc>
          <w:tcPr>
            <w:tcW w:w="88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森林防火能力与水平提升工程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w:t>
            </w:r>
            <w:r>
              <w:rPr>
                <w:rFonts w:cs="Times New Roman"/>
                <w:color w:val="000000"/>
                <w:kern w:val="0"/>
                <w:sz w:val="22"/>
              </w:rPr>
              <w:t>8</w:t>
            </w:r>
            <w:r>
              <w:rPr>
                <w:rFonts w:hint="eastAsia" w:cs="Times New Roman"/>
                <w:color w:val="000000"/>
                <w:kern w:val="0"/>
                <w:sz w:val="22"/>
              </w:rPr>
              <w:t>396</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10</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林火阻隔系统建设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新建森林防火通道60公里、消防水池150 口、生物防火阻隔带350公里。</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9600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11</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森林防火标准检查站建设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建设森林防火标准检查站 20个。</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400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12</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森林防火基础设施提升改造</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结合四好农村路和山坪塘整治，硬化林区道路50公里，维修整治重要林区水源点20个。</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4500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交通局、水利局</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13</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“天空地”一体化火情智能监测系统</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购买森林火情智能监控服务28套，林火探测器300套，林内主要路口安装监控摄像头200个，建设区级森林防火监测预警中心1个。</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1896</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w:t>
            </w:r>
            <w:r>
              <w:rPr>
                <w:rFonts w:cs="Times New Roman"/>
                <w:color w:val="000000"/>
                <w:kern w:val="0"/>
                <w:sz w:val="22"/>
              </w:rPr>
              <w:t>4</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森林火灾隐患排查</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结合森林抚育，开展林下可燃物清理，规划实施4万亩。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四</w:t>
            </w:r>
          </w:p>
        </w:tc>
        <w:tc>
          <w:tcPr>
            <w:tcW w:w="88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重大林业有害生物防治工程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6500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w:t>
            </w:r>
            <w:r>
              <w:rPr>
                <w:rFonts w:cs="Times New Roman"/>
                <w:color w:val="000000"/>
                <w:kern w:val="0"/>
                <w:sz w:val="22"/>
              </w:rPr>
              <w:t>5</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重大林业有害生物综合治理</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科学制定攻坚任务，全力推进松材线虫病疫情5年攻坚行动，力争实现疫区拔除目标。加强其他重大林业有害生物监测、防治，确保全区森林资源安全。</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4500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w:t>
            </w:r>
            <w:r>
              <w:rPr>
                <w:rFonts w:cs="Times New Roman"/>
                <w:color w:val="000000"/>
                <w:kern w:val="0"/>
                <w:sz w:val="22"/>
              </w:rPr>
              <w:t>6</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成渝经济圈重大林业有害生物防治综合治理项目</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建立和完善以松材线虫病等重大林业有害生物防治为核心的防治减灾体系。</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续建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五</w:t>
            </w:r>
          </w:p>
        </w:tc>
        <w:tc>
          <w:tcPr>
            <w:tcW w:w="88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缙云山、茅莱山、云雾山生态屏障建设工程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30875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w:t>
            </w:r>
            <w:r>
              <w:rPr>
                <w:rFonts w:cs="Times New Roman"/>
                <w:color w:val="000000"/>
                <w:kern w:val="0"/>
                <w:sz w:val="22"/>
              </w:rPr>
              <w:t>7</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精准提升森林质量</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实施森林经营面积</w:t>
            </w:r>
            <w:r>
              <w:rPr>
                <w:rFonts w:ascii="方正仿宋_GBK" w:hAnsi="宋体" w:eastAsia="方正仿宋_GBK" w:cs="宋体"/>
                <w:color w:val="000000"/>
                <w:kern w:val="0"/>
                <w:sz w:val="22"/>
              </w:rPr>
              <w:t>17</w:t>
            </w:r>
            <w:r>
              <w:rPr>
                <w:rFonts w:hint="eastAsia" w:ascii="方正仿宋_GBK" w:hAnsi="宋体" w:eastAsia="方正仿宋_GBK" w:cs="宋体"/>
                <w:color w:val="000000"/>
                <w:kern w:val="0"/>
                <w:sz w:val="22"/>
              </w:rPr>
              <w:t>.2万亩，其中：低效林改造5万亩，森林抚育</w:t>
            </w:r>
            <w:r>
              <w:rPr>
                <w:rFonts w:ascii="方正仿宋_GBK" w:hAnsi="宋体" w:eastAsia="方正仿宋_GBK" w:cs="宋体"/>
                <w:color w:val="000000"/>
                <w:kern w:val="0"/>
                <w:sz w:val="22"/>
              </w:rPr>
              <w:t>10</w:t>
            </w:r>
            <w:r>
              <w:rPr>
                <w:rFonts w:hint="eastAsia" w:ascii="方正仿宋_GBK" w:hAnsi="宋体" w:eastAsia="方正仿宋_GBK" w:cs="宋体"/>
                <w:color w:val="000000"/>
                <w:kern w:val="0"/>
                <w:sz w:val="22"/>
              </w:rPr>
              <w:t>万亩，石漠化综合治理0.2万亩。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29000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w:t>
            </w:r>
            <w:r>
              <w:rPr>
                <w:rFonts w:cs="Times New Roman"/>
                <w:color w:val="000000"/>
                <w:kern w:val="0"/>
                <w:sz w:val="22"/>
              </w:rPr>
              <w:t>8</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国家储备林建设项目</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采取现有林改培措施，建设国家储备林0.45万亩。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1575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w:t>
            </w:r>
            <w:r>
              <w:rPr>
                <w:rFonts w:cs="Times New Roman"/>
                <w:color w:val="000000"/>
                <w:kern w:val="0"/>
                <w:sz w:val="22"/>
              </w:rPr>
              <w:t>9</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临时占地复绿</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对建设项目临时使用林地，在项目结束后种植适生树种。规划复绿0.1万亩。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六</w:t>
            </w:r>
          </w:p>
        </w:tc>
        <w:tc>
          <w:tcPr>
            <w:tcW w:w="88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生态惠民产业发展工程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5</w:t>
            </w:r>
            <w:r>
              <w:rPr>
                <w:rFonts w:hint="eastAsia" w:cs="Times New Roman"/>
                <w:color w:val="000000"/>
                <w:kern w:val="0"/>
                <w:sz w:val="22"/>
              </w:rPr>
              <w:t>9060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0</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*山地特色水果产业建设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建设山地特色水果产业，全面实施特色经济林产业提质增效，形成“一镇一品”。</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农业农村委员会</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1</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中药材生态种植基地建设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xml:space="preserve">建设2个林下中药材试点示范基地。 </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1435"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2</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*西部（重庆）花卉苗木产业园建设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建设西部(重庆）花卉苗木产业园，出台花卉苗木产业扶持政策和基地改造提升标准，升级改造花木基地，建设花木大道17.6公里，建成花卉苗木交易市场。</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璧山高新区管委会</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农业农村委员会、交通局、规划自然资源局、林业局、相关镇街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3</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森林康养基地建设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建成市级森林康养基地2个。</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7360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民政局、卫生健康委</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4</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森林人家培育</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规划期内建成森林人家10个。</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5</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绿色示范村建设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规划期内建成市级绿色示范村5个。</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500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6</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*璧山区乡村旅游精品线路建设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打造璧南、璧北、璧西3条乡村旅游精品线路。</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改扩建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农业农村委员会</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文旅委、各镇街、林业局</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7</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金剑山景观通道建设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建设金剑山水天池至白云湖段山脊和山麓2条景观通廊，兼顾森林防火、健身休闲功能。</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50000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交通局、各镇街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七</w:t>
            </w:r>
          </w:p>
        </w:tc>
        <w:tc>
          <w:tcPr>
            <w:tcW w:w="88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国有林场发展</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6670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w:t>
            </w:r>
            <w:r>
              <w:rPr>
                <w:rFonts w:cs="Times New Roman"/>
                <w:color w:val="000000"/>
                <w:kern w:val="0"/>
                <w:sz w:val="22"/>
              </w:rPr>
              <w:t>8</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国有林场管护站点改造建设项目</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实施璧城、大兴、七塘、青龙湖、来凤管护站、点更新改造，建设三江消防训练基地。</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改扩建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520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29</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智慧林场巩固提升项目</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完善智慧林场设备布局，开展后期运维和系统升级优化，实现林场管理信息化、智慧化目标。</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续建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500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0</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国有林场林下中药材种植项目</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发展林下中药材种植1万亩。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4000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1</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乡土珍贵树种培育基地</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培育桢楠、红豆杉等乡土珍贵树种0.5万亩。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1500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2</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青钱柳种植基地项目</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继续加强现有基地培育管护，利用低效林改造扩大种植规模到0.</w:t>
            </w:r>
            <w:r>
              <w:rPr>
                <w:rFonts w:ascii="方正仿宋_GBK" w:hAnsi="宋体" w:eastAsia="方正仿宋_GBK" w:cs="宋体"/>
                <w:color w:val="000000"/>
                <w:kern w:val="0"/>
                <w:sz w:val="22"/>
              </w:rPr>
              <w:t>2</w:t>
            </w:r>
            <w:r>
              <w:rPr>
                <w:rFonts w:hint="eastAsia" w:ascii="方正仿宋_GBK" w:hAnsi="宋体" w:eastAsia="方正仿宋_GBK" w:cs="宋体"/>
                <w:color w:val="000000"/>
                <w:kern w:val="0"/>
                <w:sz w:val="22"/>
              </w:rPr>
              <w:t>万亩，适时开发青钱柳茶等林产品。</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续建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150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八</w:t>
            </w:r>
          </w:p>
        </w:tc>
        <w:tc>
          <w:tcPr>
            <w:tcW w:w="88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林业基础保障建设工程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29460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3</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璧山区特色林业试验基地（市级保障性苗圃）</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通过植物新品种培育、良种选育、林业新技术应用等措施，培育乡土、珍贵品种种苗。</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400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4</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智慧林长建设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整合智慧林场、缙云山森林火灾综合治理、天保巡护平台、无人机系统等资源，增加林区监控设备，完善信息采集平台。推进开发“智慧林长”App，为各级林长搭建“智慧林长”系统操作运用平台。</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5</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横向生态补偿</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按照《重庆市实施横向生态补偿提高森林覆盖率工作方案（试行）》要求，结合璧山区实际情况，购买森林面积指标。经估算，需购买森林面积指标9.6万亩。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24000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财政局</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6</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重点生态区非国有林生态赎买</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开展重点生态区非国有林生态赎买。缙云山、云雾山部分重点生态区或生态退化区域面积1万亩。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2060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林业局、财政局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九</w:t>
            </w:r>
          </w:p>
        </w:tc>
        <w:tc>
          <w:tcPr>
            <w:tcW w:w="88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创建国家森林城市</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11365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7</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创森宣传</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以创建国家森林城市为主题，在高速、高铁、机场、轻轨等重要节点及主要公共场所，充分运用电视、广播、网络、报刊等各类新闻媒体进行宣传。在全区范围进行区花、区树征选。</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2000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宣传部</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城市管理局、林业局</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3</w:t>
            </w:r>
            <w:r>
              <w:rPr>
                <w:rFonts w:cs="Times New Roman"/>
                <w:color w:val="000000"/>
                <w:kern w:val="0"/>
                <w:sz w:val="22"/>
              </w:rPr>
              <w:t>8</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受损弃置地生态恢复</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对高陡边坡、退出或废弃采石场、取土场、堆积地等受损弃置地，采取工程、生物等多种治理措施，科学实施生态修复，着力恢复生态环境。</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10</w:t>
            </w:r>
            <w:r>
              <w:rPr>
                <w:rFonts w:hint="eastAsia" w:cs="Times New Roman"/>
                <w:color w:val="000000"/>
                <w:kern w:val="0"/>
                <w:sz w:val="22"/>
              </w:rPr>
              <w:t>00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规划自然资源局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生态环境局、林业局、相关镇街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451"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39</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重要河流生态廊道修复</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在璧南河、璧北河、梅江河两岸第一层山脊线或平缓地带1公里可视范围内的可建区域（0.35万亩），进行林相改造，增加彩色树种比例。</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1225</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水利局、相关镇街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933"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cs="Times New Roman"/>
                <w:color w:val="000000"/>
                <w:kern w:val="0"/>
                <w:sz w:val="22"/>
              </w:rPr>
              <w:t>40</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交通干线生态廊道建设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对新建铁路（渝昆高铁九龙坡至永川段、成渝中线高铁和璧铜线、兰渝高铁）沿线14公里，高速公路（合璧津高速、渝遂高速复线、永川至璧山高速）沿线85公里，国省干道（G244大路至北碚段、S545大兴至城区段）沿线29公里，进行高标准绿化造林；对改扩建国省干道（G319福里树至瀚恩公园、S547正兴至九龙坡界、S545大兴至石院）沿线31公里，重要县乡道沿线70公里，全面清零修复受损林带。</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7140</w:t>
            </w: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交通局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林业局、相关镇街</w:t>
            </w:r>
          </w:p>
        </w:tc>
        <w:tc>
          <w:tcPr>
            <w:tcW w:w="503" w:type="dxa"/>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1672" w:hRule="atLeast"/>
        </w:trPr>
        <w:tc>
          <w:tcPr>
            <w:tcW w:w="75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r>
              <w:rPr>
                <w:rFonts w:hint="eastAsia" w:cs="Times New Roman"/>
                <w:color w:val="000000"/>
                <w:kern w:val="0"/>
                <w:sz w:val="22"/>
              </w:rPr>
              <w:t>4</w:t>
            </w:r>
            <w:r>
              <w:rPr>
                <w:rFonts w:cs="Times New Roman"/>
                <w:color w:val="000000"/>
                <w:kern w:val="0"/>
                <w:sz w:val="22"/>
              </w:rPr>
              <w:t>1</w:t>
            </w:r>
          </w:p>
        </w:tc>
        <w:tc>
          <w:tcPr>
            <w:tcW w:w="265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*重要河流水生态建设</w:t>
            </w:r>
          </w:p>
        </w:tc>
        <w:tc>
          <w:tcPr>
            <w:tcW w:w="623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对璧南河流经镇街（璧城、璧泉、青杠、来凤、河边、福禄、健龙等），璧北河流经镇街（大路、七塘、八塘等）实施生态水利工程，进行河湖湿地保护、水生态环境综合整治；对梅江河流经镇街（丁家街道、福禄镇、正兴镇、大兴镇、三合镇）实施河道水生态环境治理。</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新建</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水利局</w:t>
            </w:r>
          </w:p>
        </w:tc>
        <w:tc>
          <w:tcPr>
            <w:tcW w:w="153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林业局、相关镇街</w:t>
            </w:r>
          </w:p>
        </w:tc>
        <w:tc>
          <w:tcPr>
            <w:tcW w:w="503" w:type="dxa"/>
            <w:vMerge w:val="restart"/>
            <w:vAlign w:val="center"/>
          </w:tcPr>
          <w:p>
            <w:pPr>
              <w:widowControl/>
              <w:spacing w:line="240" w:lineRule="auto"/>
              <w:ind w:firstLine="0" w:firstLineChars="0"/>
              <w:jc w:val="left"/>
              <w:rPr>
                <w:rFonts w:eastAsia="Times New Roman" w:cs="Times New Roman"/>
                <w:kern w:val="0"/>
                <w:sz w:val="20"/>
                <w:szCs w:val="20"/>
              </w:rPr>
            </w:pPr>
          </w:p>
        </w:tc>
      </w:tr>
      <w:tr>
        <w:tblPrEx>
          <w:tblCellMar>
            <w:top w:w="0" w:type="dxa"/>
            <w:left w:w="108" w:type="dxa"/>
            <w:bottom w:w="0" w:type="dxa"/>
            <w:right w:w="108" w:type="dxa"/>
          </w:tblCellMar>
        </w:tblPrEx>
        <w:trPr>
          <w:trHeight w:val="368" w:hRule="atLeast"/>
        </w:trPr>
        <w:tc>
          <w:tcPr>
            <w:tcW w:w="1400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40"/>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注：*项目为《璧山区生态环境保护“十四五”规划和二〇三五年远景目标》、《璧山现代农业产业发展和巩固拓展脱贫攻坚成果同乡村振兴有效衔接“十四五”专项规划》等规划纳入项目。</w:t>
            </w:r>
          </w:p>
        </w:tc>
        <w:tc>
          <w:tcPr>
            <w:tcW w:w="503" w:type="dxa"/>
            <w:vMerge w:val="continue"/>
            <w:vAlign w:val="center"/>
          </w:tcPr>
          <w:p>
            <w:pPr>
              <w:widowControl/>
              <w:spacing w:line="240" w:lineRule="auto"/>
              <w:ind w:firstLine="0" w:firstLineChars="0"/>
              <w:jc w:val="left"/>
              <w:rPr>
                <w:rFonts w:eastAsia="Times New Roman" w:cs="Times New Roman"/>
                <w:kern w:val="0"/>
                <w:sz w:val="20"/>
                <w:szCs w:val="20"/>
              </w:rPr>
            </w:pPr>
          </w:p>
        </w:tc>
      </w:tr>
    </w:tbl>
    <w:p>
      <w:pPr>
        <w:widowControl/>
        <w:spacing w:line="240" w:lineRule="auto"/>
        <w:ind w:firstLine="0" w:firstLineChars="0"/>
        <w:jc w:val="left"/>
        <w:rPr>
          <w:color w:val="000000" w:themeColor="text1"/>
          <w14:textFill>
            <w14:solidFill>
              <w14:schemeClr w14:val="tx1"/>
            </w14:solidFill>
          </w14:textFill>
        </w:rPr>
      </w:pPr>
    </w:p>
    <w:p>
      <w:pPr>
        <w:spacing w:line="360" w:lineRule="auto"/>
        <w:ind w:firstLine="560"/>
        <w:rPr>
          <w:color w:val="000000" w:themeColor="text1"/>
          <w14:textFill>
            <w14:solidFill>
              <w14:schemeClr w14:val="tx1"/>
            </w14:solidFill>
          </w14:textFill>
        </w:rPr>
        <w:sectPr>
          <w:pgSz w:w="16838" w:h="11906" w:orient="landscape"/>
          <w:pgMar w:top="1800" w:right="1440" w:bottom="1800" w:left="1440" w:header="851" w:footer="992" w:gutter="0"/>
          <w:pgNumType w:start="1"/>
          <w:cols w:space="425" w:num="1"/>
          <w:docGrid w:type="lines" w:linePitch="381" w:charSpace="0"/>
        </w:sectPr>
      </w:pPr>
    </w:p>
    <w:p>
      <w:pPr>
        <w:spacing w:line="360" w:lineRule="auto"/>
        <w:ind w:firstLine="0" w:firstLineChars="0"/>
        <w:rPr>
          <w:color w:val="000000" w:themeColor="text1"/>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-342900</wp:posOffset>
            </wp:positionH>
            <wp:positionV relativeFrom="page">
              <wp:posOffset>869315</wp:posOffset>
            </wp:positionV>
            <wp:extent cx="6419850" cy="9023350"/>
            <wp:effectExtent l="0" t="0" r="0" b="6985"/>
            <wp:wrapNone/>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5">
                      <a:extLst>
                        <a:ext uri="{28A0092B-C50C-407E-A947-70E740481C1C}">
                          <a14:useLocalDpi xmlns:a14="http://schemas.microsoft.com/office/drawing/2010/main" val="false"/>
                        </a:ext>
                      </a:extLst>
                    </a:blip>
                    <a:srcRect l="1637" b="2214"/>
                    <a:stretch>
                      <a:fillRect/>
                    </a:stretch>
                  </pic:blipFill>
                  <pic:spPr>
                    <a:xfrm rot="10800000">
                      <a:off x="0" y="0"/>
                      <a:ext cx="6421322" cy="9025222"/>
                    </a:xfrm>
                    <a:prstGeom prst="rect">
                      <a:avLst/>
                    </a:prstGeom>
                    <a:noFill/>
                    <a:ln>
                      <a:noFill/>
                    </a:ln>
                  </pic:spPr>
                </pic:pic>
              </a:graphicData>
            </a:graphic>
          </wp:anchor>
        </w:drawing>
      </w: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-331470</wp:posOffset>
            </wp:positionH>
            <wp:positionV relativeFrom="page">
              <wp:posOffset>927100</wp:posOffset>
            </wp:positionV>
            <wp:extent cx="6249670" cy="8969375"/>
            <wp:effectExtent l="0" t="0" r="0" b="3175"/>
            <wp:wrapNone/>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16">
                      <a:extLst>
                        <a:ext uri="{28A0092B-C50C-407E-A947-70E740481C1C}">
                          <a14:useLocalDpi xmlns:a14="http://schemas.microsoft.com/office/drawing/2010/main" val="false"/>
                        </a:ext>
                      </a:extLst>
                    </a:blip>
                    <a:srcRect l="1565" t="1181" r="1878" b="1721"/>
                    <a:stretch>
                      <a:fillRect/>
                    </a:stretch>
                  </pic:blipFill>
                  <pic:spPr>
                    <a:xfrm>
                      <a:off x="0" y="0"/>
                      <a:ext cx="6249729" cy="8969375"/>
                    </a:xfrm>
                    <a:prstGeom prst="rect">
                      <a:avLst/>
                    </a:prstGeom>
                    <a:noFill/>
                    <a:ln>
                      <a:noFill/>
                    </a:ln>
                  </pic:spPr>
                </pic:pic>
              </a:graphicData>
            </a:graphic>
          </wp:anchor>
        </w:drawing>
      </w: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p>
    <w:sectPr>
      <w:pgSz w:w="11906" w:h="16838"/>
      <w:pgMar w:top="1440" w:right="1800" w:bottom="1440" w:left="1800" w:header="851" w:footer="992"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roman"/>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7349273"/>
    </w:sdtPr>
    <w:sdtContent>
      <w:p>
        <w:pPr>
          <w:pStyle w:val="13"/>
          <w:ind w:firstLine="360"/>
          <w:jc w:val="center"/>
        </w:pPr>
        <w:r>
          <w:fldChar w:fldCharType="begin"/>
        </w:r>
        <w:r>
          <w:instrText xml:space="preserve">PAGE   \* MERGEFORMAT</w:instrText>
        </w:r>
        <w:r>
          <w:fldChar w:fldCharType="separate"/>
        </w:r>
        <w:r>
          <w:rPr>
            <w:lang w:val="zh-CN"/>
          </w:rPr>
          <w:t>2</w:t>
        </w:r>
        <w:r>
          <w:fldChar w:fldCharType="end"/>
        </w:r>
      </w:p>
    </w:sdtContent>
  </w:sdt>
  <w:p>
    <w:pPr>
      <w:pStyle w:val="13"/>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C13"/>
    <w:rsid w:val="00001434"/>
    <w:rsid w:val="00001BC4"/>
    <w:rsid w:val="0000323B"/>
    <w:rsid w:val="00004063"/>
    <w:rsid w:val="0000438D"/>
    <w:rsid w:val="00004B39"/>
    <w:rsid w:val="000054FD"/>
    <w:rsid w:val="00005B2B"/>
    <w:rsid w:val="00007194"/>
    <w:rsid w:val="0000741A"/>
    <w:rsid w:val="00012456"/>
    <w:rsid w:val="0001298E"/>
    <w:rsid w:val="00012CB8"/>
    <w:rsid w:val="000142E9"/>
    <w:rsid w:val="00015B08"/>
    <w:rsid w:val="00015FAA"/>
    <w:rsid w:val="000208E8"/>
    <w:rsid w:val="0002227B"/>
    <w:rsid w:val="0002286E"/>
    <w:rsid w:val="0002291F"/>
    <w:rsid w:val="00022CFC"/>
    <w:rsid w:val="000231D7"/>
    <w:rsid w:val="000247B5"/>
    <w:rsid w:val="00024B1F"/>
    <w:rsid w:val="00025B4F"/>
    <w:rsid w:val="00025D07"/>
    <w:rsid w:val="00026EB8"/>
    <w:rsid w:val="00027012"/>
    <w:rsid w:val="00030838"/>
    <w:rsid w:val="000337B1"/>
    <w:rsid w:val="00033D85"/>
    <w:rsid w:val="00036863"/>
    <w:rsid w:val="0003782B"/>
    <w:rsid w:val="00037B85"/>
    <w:rsid w:val="00037D39"/>
    <w:rsid w:val="0004004E"/>
    <w:rsid w:val="0004041A"/>
    <w:rsid w:val="00040E9F"/>
    <w:rsid w:val="00041281"/>
    <w:rsid w:val="000412EA"/>
    <w:rsid w:val="00042888"/>
    <w:rsid w:val="00042A34"/>
    <w:rsid w:val="00042B67"/>
    <w:rsid w:val="000430FB"/>
    <w:rsid w:val="000439FE"/>
    <w:rsid w:val="00043FBE"/>
    <w:rsid w:val="000445FD"/>
    <w:rsid w:val="000456F3"/>
    <w:rsid w:val="000461F8"/>
    <w:rsid w:val="00046B3D"/>
    <w:rsid w:val="00047129"/>
    <w:rsid w:val="00047C9A"/>
    <w:rsid w:val="00050C13"/>
    <w:rsid w:val="00051462"/>
    <w:rsid w:val="00051E1A"/>
    <w:rsid w:val="00052D87"/>
    <w:rsid w:val="00055450"/>
    <w:rsid w:val="000563C4"/>
    <w:rsid w:val="00056BE3"/>
    <w:rsid w:val="00056F72"/>
    <w:rsid w:val="00057F4E"/>
    <w:rsid w:val="00060BBD"/>
    <w:rsid w:val="00061C88"/>
    <w:rsid w:val="000626A8"/>
    <w:rsid w:val="00063351"/>
    <w:rsid w:val="00063490"/>
    <w:rsid w:val="0006356B"/>
    <w:rsid w:val="00063CA9"/>
    <w:rsid w:val="00063D3A"/>
    <w:rsid w:val="0006586F"/>
    <w:rsid w:val="00065F29"/>
    <w:rsid w:val="00066221"/>
    <w:rsid w:val="00066681"/>
    <w:rsid w:val="00066A05"/>
    <w:rsid w:val="00066D6F"/>
    <w:rsid w:val="00066DCF"/>
    <w:rsid w:val="00067697"/>
    <w:rsid w:val="00067A53"/>
    <w:rsid w:val="00067DD6"/>
    <w:rsid w:val="00067E4F"/>
    <w:rsid w:val="000714C1"/>
    <w:rsid w:val="00071B66"/>
    <w:rsid w:val="00071FBF"/>
    <w:rsid w:val="000723E0"/>
    <w:rsid w:val="00072AAF"/>
    <w:rsid w:val="00073756"/>
    <w:rsid w:val="00073E0D"/>
    <w:rsid w:val="00074335"/>
    <w:rsid w:val="00074981"/>
    <w:rsid w:val="00074B37"/>
    <w:rsid w:val="00074F68"/>
    <w:rsid w:val="00077398"/>
    <w:rsid w:val="0007771E"/>
    <w:rsid w:val="0008068C"/>
    <w:rsid w:val="0008245F"/>
    <w:rsid w:val="00084833"/>
    <w:rsid w:val="00084AC1"/>
    <w:rsid w:val="00084E71"/>
    <w:rsid w:val="00085925"/>
    <w:rsid w:val="000870D9"/>
    <w:rsid w:val="000870EE"/>
    <w:rsid w:val="00087428"/>
    <w:rsid w:val="000877FD"/>
    <w:rsid w:val="00087E8A"/>
    <w:rsid w:val="00090362"/>
    <w:rsid w:val="00090757"/>
    <w:rsid w:val="00090BF3"/>
    <w:rsid w:val="00092678"/>
    <w:rsid w:val="00092A0F"/>
    <w:rsid w:val="00092FA3"/>
    <w:rsid w:val="000941CF"/>
    <w:rsid w:val="00094323"/>
    <w:rsid w:val="00094DA6"/>
    <w:rsid w:val="0009514C"/>
    <w:rsid w:val="00096066"/>
    <w:rsid w:val="00097714"/>
    <w:rsid w:val="00097EA1"/>
    <w:rsid w:val="000A094D"/>
    <w:rsid w:val="000A1A12"/>
    <w:rsid w:val="000A1BFB"/>
    <w:rsid w:val="000A39F8"/>
    <w:rsid w:val="000A54EA"/>
    <w:rsid w:val="000A6E5A"/>
    <w:rsid w:val="000A7A30"/>
    <w:rsid w:val="000A7B07"/>
    <w:rsid w:val="000B10D1"/>
    <w:rsid w:val="000B1C9C"/>
    <w:rsid w:val="000B2F0B"/>
    <w:rsid w:val="000B5285"/>
    <w:rsid w:val="000B5376"/>
    <w:rsid w:val="000B6DF2"/>
    <w:rsid w:val="000B6F4F"/>
    <w:rsid w:val="000B7F7A"/>
    <w:rsid w:val="000C0361"/>
    <w:rsid w:val="000C08DD"/>
    <w:rsid w:val="000C0B2F"/>
    <w:rsid w:val="000C2B35"/>
    <w:rsid w:val="000C329A"/>
    <w:rsid w:val="000C3BF5"/>
    <w:rsid w:val="000C3DB8"/>
    <w:rsid w:val="000C495D"/>
    <w:rsid w:val="000C5848"/>
    <w:rsid w:val="000C63F0"/>
    <w:rsid w:val="000C65A8"/>
    <w:rsid w:val="000C6A46"/>
    <w:rsid w:val="000C71DA"/>
    <w:rsid w:val="000C743E"/>
    <w:rsid w:val="000C7F45"/>
    <w:rsid w:val="000D1EF4"/>
    <w:rsid w:val="000D2150"/>
    <w:rsid w:val="000D280D"/>
    <w:rsid w:val="000D2A79"/>
    <w:rsid w:val="000D2D09"/>
    <w:rsid w:val="000D306B"/>
    <w:rsid w:val="000D354F"/>
    <w:rsid w:val="000D3B39"/>
    <w:rsid w:val="000D3CF6"/>
    <w:rsid w:val="000D4631"/>
    <w:rsid w:val="000D48B4"/>
    <w:rsid w:val="000D4D57"/>
    <w:rsid w:val="000D5330"/>
    <w:rsid w:val="000D5DB8"/>
    <w:rsid w:val="000D5F05"/>
    <w:rsid w:val="000D6471"/>
    <w:rsid w:val="000D7A41"/>
    <w:rsid w:val="000E00B2"/>
    <w:rsid w:val="000E04E6"/>
    <w:rsid w:val="000E140E"/>
    <w:rsid w:val="000E248A"/>
    <w:rsid w:val="000E2962"/>
    <w:rsid w:val="000E329F"/>
    <w:rsid w:val="000E3FC5"/>
    <w:rsid w:val="000E535C"/>
    <w:rsid w:val="000E67BF"/>
    <w:rsid w:val="000E6F34"/>
    <w:rsid w:val="000E7233"/>
    <w:rsid w:val="000E77F9"/>
    <w:rsid w:val="000E7BBE"/>
    <w:rsid w:val="000E7FF4"/>
    <w:rsid w:val="000F0665"/>
    <w:rsid w:val="000F0683"/>
    <w:rsid w:val="000F231D"/>
    <w:rsid w:val="000F27C1"/>
    <w:rsid w:val="000F28F5"/>
    <w:rsid w:val="000F2977"/>
    <w:rsid w:val="000F34E6"/>
    <w:rsid w:val="000F39EC"/>
    <w:rsid w:val="000F415D"/>
    <w:rsid w:val="000F5064"/>
    <w:rsid w:val="000F6BD1"/>
    <w:rsid w:val="000F7A5B"/>
    <w:rsid w:val="000F7FC4"/>
    <w:rsid w:val="001004EF"/>
    <w:rsid w:val="00100CE3"/>
    <w:rsid w:val="001011CC"/>
    <w:rsid w:val="0010194C"/>
    <w:rsid w:val="00101D66"/>
    <w:rsid w:val="00102491"/>
    <w:rsid w:val="00103292"/>
    <w:rsid w:val="00103D15"/>
    <w:rsid w:val="00103F68"/>
    <w:rsid w:val="00104BD9"/>
    <w:rsid w:val="00105221"/>
    <w:rsid w:val="001058A1"/>
    <w:rsid w:val="00105FC6"/>
    <w:rsid w:val="00106B1F"/>
    <w:rsid w:val="001070BE"/>
    <w:rsid w:val="00107A14"/>
    <w:rsid w:val="00111CA9"/>
    <w:rsid w:val="00111E0D"/>
    <w:rsid w:val="00111ED3"/>
    <w:rsid w:val="00113C8F"/>
    <w:rsid w:val="001149C7"/>
    <w:rsid w:val="00114E34"/>
    <w:rsid w:val="001158F8"/>
    <w:rsid w:val="00115A92"/>
    <w:rsid w:val="0011601A"/>
    <w:rsid w:val="0011652B"/>
    <w:rsid w:val="00116CA1"/>
    <w:rsid w:val="00117034"/>
    <w:rsid w:val="00117597"/>
    <w:rsid w:val="001176C5"/>
    <w:rsid w:val="00117F4C"/>
    <w:rsid w:val="00120347"/>
    <w:rsid w:val="00122E96"/>
    <w:rsid w:val="00123006"/>
    <w:rsid w:val="001255DB"/>
    <w:rsid w:val="001259A1"/>
    <w:rsid w:val="00125BF4"/>
    <w:rsid w:val="0012655A"/>
    <w:rsid w:val="00126BDA"/>
    <w:rsid w:val="00126E01"/>
    <w:rsid w:val="001326FF"/>
    <w:rsid w:val="001327BD"/>
    <w:rsid w:val="00132E26"/>
    <w:rsid w:val="001366B7"/>
    <w:rsid w:val="00136940"/>
    <w:rsid w:val="00137204"/>
    <w:rsid w:val="00137789"/>
    <w:rsid w:val="001416CA"/>
    <w:rsid w:val="0014437A"/>
    <w:rsid w:val="00144412"/>
    <w:rsid w:val="001456B7"/>
    <w:rsid w:val="00145A1C"/>
    <w:rsid w:val="00145E31"/>
    <w:rsid w:val="001460A4"/>
    <w:rsid w:val="001463A8"/>
    <w:rsid w:val="001464B3"/>
    <w:rsid w:val="00147335"/>
    <w:rsid w:val="001473CC"/>
    <w:rsid w:val="00147844"/>
    <w:rsid w:val="0014798C"/>
    <w:rsid w:val="00147A04"/>
    <w:rsid w:val="00150386"/>
    <w:rsid w:val="001521CA"/>
    <w:rsid w:val="00152251"/>
    <w:rsid w:val="00152795"/>
    <w:rsid w:val="001528D6"/>
    <w:rsid w:val="00152CDA"/>
    <w:rsid w:val="00152FBC"/>
    <w:rsid w:val="0015399A"/>
    <w:rsid w:val="00153E1B"/>
    <w:rsid w:val="00154D1A"/>
    <w:rsid w:val="00154DB8"/>
    <w:rsid w:val="00155263"/>
    <w:rsid w:val="001552A4"/>
    <w:rsid w:val="00156643"/>
    <w:rsid w:val="00156DF9"/>
    <w:rsid w:val="00157F22"/>
    <w:rsid w:val="00161ACD"/>
    <w:rsid w:val="00161FFE"/>
    <w:rsid w:val="00162A8D"/>
    <w:rsid w:val="00163F64"/>
    <w:rsid w:val="001654BB"/>
    <w:rsid w:val="0016635E"/>
    <w:rsid w:val="00166A1E"/>
    <w:rsid w:val="00166AC8"/>
    <w:rsid w:val="00166B61"/>
    <w:rsid w:val="00166FEB"/>
    <w:rsid w:val="00170455"/>
    <w:rsid w:val="00170693"/>
    <w:rsid w:val="001734EC"/>
    <w:rsid w:val="00173E48"/>
    <w:rsid w:val="00175156"/>
    <w:rsid w:val="001752F9"/>
    <w:rsid w:val="00175490"/>
    <w:rsid w:val="00175BBC"/>
    <w:rsid w:val="001767E7"/>
    <w:rsid w:val="00176D35"/>
    <w:rsid w:val="001772DE"/>
    <w:rsid w:val="00177743"/>
    <w:rsid w:val="00177B4B"/>
    <w:rsid w:val="00177FF9"/>
    <w:rsid w:val="001810FD"/>
    <w:rsid w:val="0018240A"/>
    <w:rsid w:val="001824E8"/>
    <w:rsid w:val="00182E0A"/>
    <w:rsid w:val="00183062"/>
    <w:rsid w:val="00183761"/>
    <w:rsid w:val="001859F5"/>
    <w:rsid w:val="00192323"/>
    <w:rsid w:val="001923C0"/>
    <w:rsid w:val="0019243C"/>
    <w:rsid w:val="001935CB"/>
    <w:rsid w:val="00194B27"/>
    <w:rsid w:val="0019500F"/>
    <w:rsid w:val="00195522"/>
    <w:rsid w:val="00195550"/>
    <w:rsid w:val="001955E8"/>
    <w:rsid w:val="00195632"/>
    <w:rsid w:val="00195D6A"/>
    <w:rsid w:val="0019754B"/>
    <w:rsid w:val="001A07F9"/>
    <w:rsid w:val="001A0B0E"/>
    <w:rsid w:val="001A0CAB"/>
    <w:rsid w:val="001A19AA"/>
    <w:rsid w:val="001A290E"/>
    <w:rsid w:val="001A2953"/>
    <w:rsid w:val="001A2C46"/>
    <w:rsid w:val="001A3336"/>
    <w:rsid w:val="001A389C"/>
    <w:rsid w:val="001A3B01"/>
    <w:rsid w:val="001A4DF6"/>
    <w:rsid w:val="001A5405"/>
    <w:rsid w:val="001A5BC4"/>
    <w:rsid w:val="001A5CD7"/>
    <w:rsid w:val="001A7292"/>
    <w:rsid w:val="001A739C"/>
    <w:rsid w:val="001A7971"/>
    <w:rsid w:val="001B032E"/>
    <w:rsid w:val="001B06B2"/>
    <w:rsid w:val="001B115A"/>
    <w:rsid w:val="001B1D26"/>
    <w:rsid w:val="001B233C"/>
    <w:rsid w:val="001B2DB3"/>
    <w:rsid w:val="001B4377"/>
    <w:rsid w:val="001B4A93"/>
    <w:rsid w:val="001B553D"/>
    <w:rsid w:val="001B5FDC"/>
    <w:rsid w:val="001B739C"/>
    <w:rsid w:val="001C0D70"/>
    <w:rsid w:val="001C0EC4"/>
    <w:rsid w:val="001C127B"/>
    <w:rsid w:val="001C2536"/>
    <w:rsid w:val="001C2A58"/>
    <w:rsid w:val="001C34A5"/>
    <w:rsid w:val="001C410F"/>
    <w:rsid w:val="001C4D1E"/>
    <w:rsid w:val="001C4F57"/>
    <w:rsid w:val="001C5844"/>
    <w:rsid w:val="001C5DBF"/>
    <w:rsid w:val="001C67E1"/>
    <w:rsid w:val="001C6982"/>
    <w:rsid w:val="001C6AAB"/>
    <w:rsid w:val="001C6C39"/>
    <w:rsid w:val="001D1091"/>
    <w:rsid w:val="001D1787"/>
    <w:rsid w:val="001D24C5"/>
    <w:rsid w:val="001D2556"/>
    <w:rsid w:val="001D29D3"/>
    <w:rsid w:val="001D34EC"/>
    <w:rsid w:val="001D3964"/>
    <w:rsid w:val="001D3A09"/>
    <w:rsid w:val="001D56C6"/>
    <w:rsid w:val="001D5D9E"/>
    <w:rsid w:val="001D6572"/>
    <w:rsid w:val="001D6942"/>
    <w:rsid w:val="001D6C98"/>
    <w:rsid w:val="001D7137"/>
    <w:rsid w:val="001D7290"/>
    <w:rsid w:val="001D75B5"/>
    <w:rsid w:val="001D7FE4"/>
    <w:rsid w:val="001E0B9D"/>
    <w:rsid w:val="001E0C14"/>
    <w:rsid w:val="001E0D91"/>
    <w:rsid w:val="001E0E51"/>
    <w:rsid w:val="001E2968"/>
    <w:rsid w:val="001E2C59"/>
    <w:rsid w:val="001E2EFF"/>
    <w:rsid w:val="001E3125"/>
    <w:rsid w:val="001E376E"/>
    <w:rsid w:val="001E5053"/>
    <w:rsid w:val="001E6724"/>
    <w:rsid w:val="001E73AE"/>
    <w:rsid w:val="001E75D3"/>
    <w:rsid w:val="001E79C8"/>
    <w:rsid w:val="001E7B32"/>
    <w:rsid w:val="001F03C9"/>
    <w:rsid w:val="001F138A"/>
    <w:rsid w:val="001F275F"/>
    <w:rsid w:val="001F36BE"/>
    <w:rsid w:val="001F4093"/>
    <w:rsid w:val="001F480E"/>
    <w:rsid w:val="001F6184"/>
    <w:rsid w:val="001F660A"/>
    <w:rsid w:val="001F6692"/>
    <w:rsid w:val="001F7075"/>
    <w:rsid w:val="001F70F9"/>
    <w:rsid w:val="001F7CF2"/>
    <w:rsid w:val="001F7E1F"/>
    <w:rsid w:val="00200AF1"/>
    <w:rsid w:val="00201358"/>
    <w:rsid w:val="002013FB"/>
    <w:rsid w:val="00202578"/>
    <w:rsid w:val="00202C75"/>
    <w:rsid w:val="00203241"/>
    <w:rsid w:val="002032DE"/>
    <w:rsid w:val="0020362C"/>
    <w:rsid w:val="00203BB4"/>
    <w:rsid w:val="00205B10"/>
    <w:rsid w:val="0020706D"/>
    <w:rsid w:val="00207295"/>
    <w:rsid w:val="002077AA"/>
    <w:rsid w:val="002102E3"/>
    <w:rsid w:val="0021076A"/>
    <w:rsid w:val="002109A0"/>
    <w:rsid w:val="00210E22"/>
    <w:rsid w:val="00211096"/>
    <w:rsid w:val="002117B8"/>
    <w:rsid w:val="002134B6"/>
    <w:rsid w:val="00214E6C"/>
    <w:rsid w:val="0021646D"/>
    <w:rsid w:val="00216ADD"/>
    <w:rsid w:val="00216F61"/>
    <w:rsid w:val="00217A00"/>
    <w:rsid w:val="00220A92"/>
    <w:rsid w:val="00221726"/>
    <w:rsid w:val="00221C0B"/>
    <w:rsid w:val="0022271F"/>
    <w:rsid w:val="00222DB5"/>
    <w:rsid w:val="00222E72"/>
    <w:rsid w:val="00223C7B"/>
    <w:rsid w:val="00224DD0"/>
    <w:rsid w:val="002259D0"/>
    <w:rsid w:val="00225B0F"/>
    <w:rsid w:val="00226EF3"/>
    <w:rsid w:val="00227445"/>
    <w:rsid w:val="00227958"/>
    <w:rsid w:val="00227F82"/>
    <w:rsid w:val="002301FA"/>
    <w:rsid w:val="00230A1B"/>
    <w:rsid w:val="00230EBF"/>
    <w:rsid w:val="00231889"/>
    <w:rsid w:val="00231A26"/>
    <w:rsid w:val="00232C9A"/>
    <w:rsid w:val="00234028"/>
    <w:rsid w:val="002343FB"/>
    <w:rsid w:val="00234AF3"/>
    <w:rsid w:val="00235FC2"/>
    <w:rsid w:val="00236C74"/>
    <w:rsid w:val="00236F7C"/>
    <w:rsid w:val="002374FF"/>
    <w:rsid w:val="00240551"/>
    <w:rsid w:val="002407EC"/>
    <w:rsid w:val="00240CBA"/>
    <w:rsid w:val="00240E60"/>
    <w:rsid w:val="00240F22"/>
    <w:rsid w:val="002411B9"/>
    <w:rsid w:val="00241D21"/>
    <w:rsid w:val="0024204D"/>
    <w:rsid w:val="00242655"/>
    <w:rsid w:val="00243FCA"/>
    <w:rsid w:val="002444D9"/>
    <w:rsid w:val="00244557"/>
    <w:rsid w:val="00245365"/>
    <w:rsid w:val="002453D2"/>
    <w:rsid w:val="00246693"/>
    <w:rsid w:val="00246E5E"/>
    <w:rsid w:val="00250CCC"/>
    <w:rsid w:val="00251322"/>
    <w:rsid w:val="0025197C"/>
    <w:rsid w:val="00251B2C"/>
    <w:rsid w:val="00251EDC"/>
    <w:rsid w:val="00252EFC"/>
    <w:rsid w:val="002538DC"/>
    <w:rsid w:val="00253D1F"/>
    <w:rsid w:val="002543B0"/>
    <w:rsid w:val="00254761"/>
    <w:rsid w:val="00254E35"/>
    <w:rsid w:val="0025541A"/>
    <w:rsid w:val="00256E5F"/>
    <w:rsid w:val="0025708C"/>
    <w:rsid w:val="002579C4"/>
    <w:rsid w:val="0026069E"/>
    <w:rsid w:val="00260E5A"/>
    <w:rsid w:val="00261327"/>
    <w:rsid w:val="00261D36"/>
    <w:rsid w:val="00261FB7"/>
    <w:rsid w:val="002623C4"/>
    <w:rsid w:val="00262446"/>
    <w:rsid w:val="00262C12"/>
    <w:rsid w:val="00262E7C"/>
    <w:rsid w:val="0026316F"/>
    <w:rsid w:val="0026386F"/>
    <w:rsid w:val="00263E53"/>
    <w:rsid w:val="00264A8F"/>
    <w:rsid w:val="00265C36"/>
    <w:rsid w:val="00265C3A"/>
    <w:rsid w:val="00266AC3"/>
    <w:rsid w:val="00266D21"/>
    <w:rsid w:val="0026764F"/>
    <w:rsid w:val="002708C4"/>
    <w:rsid w:val="00270CB8"/>
    <w:rsid w:val="0027169A"/>
    <w:rsid w:val="00273BD0"/>
    <w:rsid w:val="00273E32"/>
    <w:rsid w:val="00274021"/>
    <w:rsid w:val="002742D2"/>
    <w:rsid w:val="00274E71"/>
    <w:rsid w:val="00275622"/>
    <w:rsid w:val="002761FB"/>
    <w:rsid w:val="00277C1A"/>
    <w:rsid w:val="00277E9B"/>
    <w:rsid w:val="00281068"/>
    <w:rsid w:val="00281097"/>
    <w:rsid w:val="00281669"/>
    <w:rsid w:val="002823D0"/>
    <w:rsid w:val="00283664"/>
    <w:rsid w:val="00284595"/>
    <w:rsid w:val="00284A6A"/>
    <w:rsid w:val="002850EB"/>
    <w:rsid w:val="00285480"/>
    <w:rsid w:val="00285FA8"/>
    <w:rsid w:val="00286079"/>
    <w:rsid w:val="002860A2"/>
    <w:rsid w:val="0028635C"/>
    <w:rsid w:val="00286BB7"/>
    <w:rsid w:val="00290729"/>
    <w:rsid w:val="00291C55"/>
    <w:rsid w:val="00291F4B"/>
    <w:rsid w:val="00292FA0"/>
    <w:rsid w:val="002939F5"/>
    <w:rsid w:val="00295676"/>
    <w:rsid w:val="00295808"/>
    <w:rsid w:val="0029591C"/>
    <w:rsid w:val="002968D7"/>
    <w:rsid w:val="00297461"/>
    <w:rsid w:val="00297BC3"/>
    <w:rsid w:val="002A01BA"/>
    <w:rsid w:val="002A0623"/>
    <w:rsid w:val="002A0F6A"/>
    <w:rsid w:val="002A18D1"/>
    <w:rsid w:val="002A1AC1"/>
    <w:rsid w:val="002A2465"/>
    <w:rsid w:val="002A2CC2"/>
    <w:rsid w:val="002A33EF"/>
    <w:rsid w:val="002A3EF7"/>
    <w:rsid w:val="002A403B"/>
    <w:rsid w:val="002A49E7"/>
    <w:rsid w:val="002A5983"/>
    <w:rsid w:val="002A686E"/>
    <w:rsid w:val="002A6905"/>
    <w:rsid w:val="002A74BC"/>
    <w:rsid w:val="002B0201"/>
    <w:rsid w:val="002B110E"/>
    <w:rsid w:val="002B1B06"/>
    <w:rsid w:val="002B2704"/>
    <w:rsid w:val="002B2719"/>
    <w:rsid w:val="002B2AAA"/>
    <w:rsid w:val="002B357E"/>
    <w:rsid w:val="002B386D"/>
    <w:rsid w:val="002B42A7"/>
    <w:rsid w:val="002B47C0"/>
    <w:rsid w:val="002B5658"/>
    <w:rsid w:val="002B6B7F"/>
    <w:rsid w:val="002B77C4"/>
    <w:rsid w:val="002B782E"/>
    <w:rsid w:val="002C0CEA"/>
    <w:rsid w:val="002C14C4"/>
    <w:rsid w:val="002C1CA8"/>
    <w:rsid w:val="002C299E"/>
    <w:rsid w:val="002C2CE5"/>
    <w:rsid w:val="002C3473"/>
    <w:rsid w:val="002C368A"/>
    <w:rsid w:val="002C3A3E"/>
    <w:rsid w:val="002C3E73"/>
    <w:rsid w:val="002C59FC"/>
    <w:rsid w:val="002C6097"/>
    <w:rsid w:val="002C6955"/>
    <w:rsid w:val="002C6AD5"/>
    <w:rsid w:val="002C7787"/>
    <w:rsid w:val="002D0083"/>
    <w:rsid w:val="002D24EA"/>
    <w:rsid w:val="002D2827"/>
    <w:rsid w:val="002D300D"/>
    <w:rsid w:val="002D32AD"/>
    <w:rsid w:val="002D4026"/>
    <w:rsid w:val="002D44BE"/>
    <w:rsid w:val="002D4E47"/>
    <w:rsid w:val="002D5036"/>
    <w:rsid w:val="002D59F0"/>
    <w:rsid w:val="002D663E"/>
    <w:rsid w:val="002D6791"/>
    <w:rsid w:val="002D6DE9"/>
    <w:rsid w:val="002E0C79"/>
    <w:rsid w:val="002E0FDD"/>
    <w:rsid w:val="002E10C3"/>
    <w:rsid w:val="002E19F9"/>
    <w:rsid w:val="002E3206"/>
    <w:rsid w:val="002E33DC"/>
    <w:rsid w:val="002E3A80"/>
    <w:rsid w:val="002E4590"/>
    <w:rsid w:val="002E583A"/>
    <w:rsid w:val="002E598D"/>
    <w:rsid w:val="002E5BEC"/>
    <w:rsid w:val="002E71D2"/>
    <w:rsid w:val="002E7872"/>
    <w:rsid w:val="002E79C6"/>
    <w:rsid w:val="002E7D0E"/>
    <w:rsid w:val="002E7FB5"/>
    <w:rsid w:val="002F0388"/>
    <w:rsid w:val="002F19FE"/>
    <w:rsid w:val="002F3963"/>
    <w:rsid w:val="002F3FB8"/>
    <w:rsid w:val="002F44B5"/>
    <w:rsid w:val="002F4528"/>
    <w:rsid w:val="002F4AD4"/>
    <w:rsid w:val="002F5647"/>
    <w:rsid w:val="002F56F4"/>
    <w:rsid w:val="002F5A13"/>
    <w:rsid w:val="002F6401"/>
    <w:rsid w:val="002F6C84"/>
    <w:rsid w:val="003022E4"/>
    <w:rsid w:val="003024C2"/>
    <w:rsid w:val="00303C72"/>
    <w:rsid w:val="00303DEA"/>
    <w:rsid w:val="003040FE"/>
    <w:rsid w:val="003050E1"/>
    <w:rsid w:val="00305919"/>
    <w:rsid w:val="00305A56"/>
    <w:rsid w:val="003060B6"/>
    <w:rsid w:val="00307967"/>
    <w:rsid w:val="00310F28"/>
    <w:rsid w:val="00311355"/>
    <w:rsid w:val="00311796"/>
    <w:rsid w:val="00313732"/>
    <w:rsid w:val="0031387F"/>
    <w:rsid w:val="0031399A"/>
    <w:rsid w:val="00314FAC"/>
    <w:rsid w:val="00315A34"/>
    <w:rsid w:val="00315D4C"/>
    <w:rsid w:val="00316916"/>
    <w:rsid w:val="003169AC"/>
    <w:rsid w:val="00316BD5"/>
    <w:rsid w:val="0031727F"/>
    <w:rsid w:val="00320D3B"/>
    <w:rsid w:val="00320DEE"/>
    <w:rsid w:val="00321C4E"/>
    <w:rsid w:val="00321DAE"/>
    <w:rsid w:val="00323958"/>
    <w:rsid w:val="003251C0"/>
    <w:rsid w:val="00325FE9"/>
    <w:rsid w:val="003261A5"/>
    <w:rsid w:val="0032650F"/>
    <w:rsid w:val="00326F95"/>
    <w:rsid w:val="00326FE0"/>
    <w:rsid w:val="00326FF4"/>
    <w:rsid w:val="003270F1"/>
    <w:rsid w:val="00330047"/>
    <w:rsid w:val="00331863"/>
    <w:rsid w:val="00332A4A"/>
    <w:rsid w:val="00332D41"/>
    <w:rsid w:val="00332D49"/>
    <w:rsid w:val="003330B4"/>
    <w:rsid w:val="00333661"/>
    <w:rsid w:val="003338CF"/>
    <w:rsid w:val="003339B5"/>
    <w:rsid w:val="00333D36"/>
    <w:rsid w:val="003349BA"/>
    <w:rsid w:val="003353C6"/>
    <w:rsid w:val="003354AE"/>
    <w:rsid w:val="003355EB"/>
    <w:rsid w:val="00335A56"/>
    <w:rsid w:val="00335FF4"/>
    <w:rsid w:val="00336E89"/>
    <w:rsid w:val="0033771D"/>
    <w:rsid w:val="00337843"/>
    <w:rsid w:val="00337AD4"/>
    <w:rsid w:val="003407F9"/>
    <w:rsid w:val="003408CB"/>
    <w:rsid w:val="00340CED"/>
    <w:rsid w:val="003423C6"/>
    <w:rsid w:val="0034267F"/>
    <w:rsid w:val="0034299B"/>
    <w:rsid w:val="00342C12"/>
    <w:rsid w:val="003447E0"/>
    <w:rsid w:val="00344844"/>
    <w:rsid w:val="00345E00"/>
    <w:rsid w:val="00347AE9"/>
    <w:rsid w:val="003515E8"/>
    <w:rsid w:val="00351E79"/>
    <w:rsid w:val="0035206C"/>
    <w:rsid w:val="00352549"/>
    <w:rsid w:val="00352EFC"/>
    <w:rsid w:val="00353C31"/>
    <w:rsid w:val="00353F93"/>
    <w:rsid w:val="0035474F"/>
    <w:rsid w:val="00354CC4"/>
    <w:rsid w:val="00356FFA"/>
    <w:rsid w:val="00357443"/>
    <w:rsid w:val="00357B6F"/>
    <w:rsid w:val="003619F4"/>
    <w:rsid w:val="00362271"/>
    <w:rsid w:val="00364124"/>
    <w:rsid w:val="0036500C"/>
    <w:rsid w:val="00366322"/>
    <w:rsid w:val="003664DF"/>
    <w:rsid w:val="00367EDB"/>
    <w:rsid w:val="0037193B"/>
    <w:rsid w:val="003727E9"/>
    <w:rsid w:val="003728E4"/>
    <w:rsid w:val="00373A9A"/>
    <w:rsid w:val="00373B72"/>
    <w:rsid w:val="00374212"/>
    <w:rsid w:val="00374C2A"/>
    <w:rsid w:val="0037526C"/>
    <w:rsid w:val="00377700"/>
    <w:rsid w:val="00377C7A"/>
    <w:rsid w:val="00381399"/>
    <w:rsid w:val="003819AB"/>
    <w:rsid w:val="00381C1D"/>
    <w:rsid w:val="00382AE1"/>
    <w:rsid w:val="003833A4"/>
    <w:rsid w:val="00383444"/>
    <w:rsid w:val="00383E5F"/>
    <w:rsid w:val="003851D5"/>
    <w:rsid w:val="00386338"/>
    <w:rsid w:val="00386416"/>
    <w:rsid w:val="00386544"/>
    <w:rsid w:val="00386D18"/>
    <w:rsid w:val="00390201"/>
    <w:rsid w:val="00390BBB"/>
    <w:rsid w:val="003910CA"/>
    <w:rsid w:val="0039231E"/>
    <w:rsid w:val="00392410"/>
    <w:rsid w:val="00393349"/>
    <w:rsid w:val="00394C48"/>
    <w:rsid w:val="00394DCE"/>
    <w:rsid w:val="00394E6A"/>
    <w:rsid w:val="0039547D"/>
    <w:rsid w:val="00396A97"/>
    <w:rsid w:val="00397BE9"/>
    <w:rsid w:val="003A10F7"/>
    <w:rsid w:val="003A11D9"/>
    <w:rsid w:val="003A134B"/>
    <w:rsid w:val="003A1459"/>
    <w:rsid w:val="003A2816"/>
    <w:rsid w:val="003A3035"/>
    <w:rsid w:val="003A34D0"/>
    <w:rsid w:val="003A35E5"/>
    <w:rsid w:val="003A3A70"/>
    <w:rsid w:val="003A3EE1"/>
    <w:rsid w:val="003A4525"/>
    <w:rsid w:val="003A476B"/>
    <w:rsid w:val="003A53FF"/>
    <w:rsid w:val="003A5433"/>
    <w:rsid w:val="003A5AF7"/>
    <w:rsid w:val="003A7C1F"/>
    <w:rsid w:val="003B0228"/>
    <w:rsid w:val="003B0B63"/>
    <w:rsid w:val="003B0DFC"/>
    <w:rsid w:val="003B0F40"/>
    <w:rsid w:val="003B18FD"/>
    <w:rsid w:val="003B2932"/>
    <w:rsid w:val="003B3BF1"/>
    <w:rsid w:val="003B3CB0"/>
    <w:rsid w:val="003B4D89"/>
    <w:rsid w:val="003B524F"/>
    <w:rsid w:val="003B577D"/>
    <w:rsid w:val="003B6417"/>
    <w:rsid w:val="003B6856"/>
    <w:rsid w:val="003B688A"/>
    <w:rsid w:val="003B7187"/>
    <w:rsid w:val="003B72BD"/>
    <w:rsid w:val="003B78B5"/>
    <w:rsid w:val="003C02DB"/>
    <w:rsid w:val="003C03A1"/>
    <w:rsid w:val="003C04A1"/>
    <w:rsid w:val="003C055B"/>
    <w:rsid w:val="003C05D3"/>
    <w:rsid w:val="003C0EF9"/>
    <w:rsid w:val="003C13B1"/>
    <w:rsid w:val="003C1C43"/>
    <w:rsid w:val="003C22E6"/>
    <w:rsid w:val="003C28F1"/>
    <w:rsid w:val="003C315D"/>
    <w:rsid w:val="003C3AC0"/>
    <w:rsid w:val="003C3CAD"/>
    <w:rsid w:val="003C55F1"/>
    <w:rsid w:val="003C56FA"/>
    <w:rsid w:val="003C720B"/>
    <w:rsid w:val="003C784B"/>
    <w:rsid w:val="003D0520"/>
    <w:rsid w:val="003D085A"/>
    <w:rsid w:val="003D145E"/>
    <w:rsid w:val="003D35A5"/>
    <w:rsid w:val="003D3CE9"/>
    <w:rsid w:val="003D4165"/>
    <w:rsid w:val="003D5367"/>
    <w:rsid w:val="003D5542"/>
    <w:rsid w:val="003D56C8"/>
    <w:rsid w:val="003D5C5B"/>
    <w:rsid w:val="003D62D5"/>
    <w:rsid w:val="003D6775"/>
    <w:rsid w:val="003D7545"/>
    <w:rsid w:val="003D79AF"/>
    <w:rsid w:val="003E154F"/>
    <w:rsid w:val="003E2448"/>
    <w:rsid w:val="003E2DD7"/>
    <w:rsid w:val="003E41B8"/>
    <w:rsid w:val="003E4921"/>
    <w:rsid w:val="003E5053"/>
    <w:rsid w:val="003E53A0"/>
    <w:rsid w:val="003E614D"/>
    <w:rsid w:val="003E617D"/>
    <w:rsid w:val="003E6FC7"/>
    <w:rsid w:val="003E7319"/>
    <w:rsid w:val="003E7F5C"/>
    <w:rsid w:val="003F00D9"/>
    <w:rsid w:val="003F050B"/>
    <w:rsid w:val="003F287D"/>
    <w:rsid w:val="003F29A4"/>
    <w:rsid w:val="003F31D2"/>
    <w:rsid w:val="003F31FE"/>
    <w:rsid w:val="003F4DF1"/>
    <w:rsid w:val="003F5160"/>
    <w:rsid w:val="003F571F"/>
    <w:rsid w:val="003F5B2D"/>
    <w:rsid w:val="003F5CA5"/>
    <w:rsid w:val="003F5DDE"/>
    <w:rsid w:val="003F6072"/>
    <w:rsid w:val="003F7117"/>
    <w:rsid w:val="004005DB"/>
    <w:rsid w:val="004019D1"/>
    <w:rsid w:val="004040C9"/>
    <w:rsid w:val="00404560"/>
    <w:rsid w:val="00404E77"/>
    <w:rsid w:val="00405FF5"/>
    <w:rsid w:val="004065A8"/>
    <w:rsid w:val="0040749B"/>
    <w:rsid w:val="00411241"/>
    <w:rsid w:val="00411D9E"/>
    <w:rsid w:val="004127F6"/>
    <w:rsid w:val="00412F93"/>
    <w:rsid w:val="00413385"/>
    <w:rsid w:val="004137BB"/>
    <w:rsid w:val="00414124"/>
    <w:rsid w:val="00414708"/>
    <w:rsid w:val="0041684B"/>
    <w:rsid w:val="00416B93"/>
    <w:rsid w:val="00416FC3"/>
    <w:rsid w:val="00420D49"/>
    <w:rsid w:val="0042158A"/>
    <w:rsid w:val="004235EA"/>
    <w:rsid w:val="00426239"/>
    <w:rsid w:val="0042636F"/>
    <w:rsid w:val="00427AB0"/>
    <w:rsid w:val="00430DC8"/>
    <w:rsid w:val="004313CA"/>
    <w:rsid w:val="00431F3D"/>
    <w:rsid w:val="0043246B"/>
    <w:rsid w:val="004334CA"/>
    <w:rsid w:val="004338DE"/>
    <w:rsid w:val="004348D5"/>
    <w:rsid w:val="004348F5"/>
    <w:rsid w:val="0043493B"/>
    <w:rsid w:val="00434BEC"/>
    <w:rsid w:val="004357F0"/>
    <w:rsid w:val="00435E86"/>
    <w:rsid w:val="00436033"/>
    <w:rsid w:val="004364B3"/>
    <w:rsid w:val="00436911"/>
    <w:rsid w:val="00436BB9"/>
    <w:rsid w:val="0043702A"/>
    <w:rsid w:val="00437231"/>
    <w:rsid w:val="0043739F"/>
    <w:rsid w:val="0044030F"/>
    <w:rsid w:val="00440988"/>
    <w:rsid w:val="00440C7C"/>
    <w:rsid w:val="00440D5E"/>
    <w:rsid w:val="00442152"/>
    <w:rsid w:val="004427B0"/>
    <w:rsid w:val="00443268"/>
    <w:rsid w:val="00443AA8"/>
    <w:rsid w:val="00444AA4"/>
    <w:rsid w:val="004456B4"/>
    <w:rsid w:val="004459A1"/>
    <w:rsid w:val="004463F1"/>
    <w:rsid w:val="00446EFD"/>
    <w:rsid w:val="0045057C"/>
    <w:rsid w:val="004506C8"/>
    <w:rsid w:val="0045111A"/>
    <w:rsid w:val="0045141D"/>
    <w:rsid w:val="00452D31"/>
    <w:rsid w:val="004532D4"/>
    <w:rsid w:val="0045348C"/>
    <w:rsid w:val="004534A4"/>
    <w:rsid w:val="004549BC"/>
    <w:rsid w:val="00454A14"/>
    <w:rsid w:val="00455989"/>
    <w:rsid w:val="00456A28"/>
    <w:rsid w:val="00457E49"/>
    <w:rsid w:val="00460A52"/>
    <w:rsid w:val="00461BA8"/>
    <w:rsid w:val="00461D67"/>
    <w:rsid w:val="00461D9C"/>
    <w:rsid w:val="00463779"/>
    <w:rsid w:val="0046472A"/>
    <w:rsid w:val="00464CD5"/>
    <w:rsid w:val="004661F8"/>
    <w:rsid w:val="00466757"/>
    <w:rsid w:val="00466CF2"/>
    <w:rsid w:val="00470A7F"/>
    <w:rsid w:val="00470AF1"/>
    <w:rsid w:val="00470EB6"/>
    <w:rsid w:val="0047136C"/>
    <w:rsid w:val="00472EF4"/>
    <w:rsid w:val="00473E0B"/>
    <w:rsid w:val="004741F4"/>
    <w:rsid w:val="00474261"/>
    <w:rsid w:val="00474481"/>
    <w:rsid w:val="00474FDC"/>
    <w:rsid w:val="00475132"/>
    <w:rsid w:val="0047630A"/>
    <w:rsid w:val="00476C9A"/>
    <w:rsid w:val="004807A7"/>
    <w:rsid w:val="00481253"/>
    <w:rsid w:val="00481B73"/>
    <w:rsid w:val="004822C8"/>
    <w:rsid w:val="00482882"/>
    <w:rsid w:val="00483641"/>
    <w:rsid w:val="00483DA0"/>
    <w:rsid w:val="00484216"/>
    <w:rsid w:val="00484E35"/>
    <w:rsid w:val="004857D9"/>
    <w:rsid w:val="00486204"/>
    <w:rsid w:val="00486754"/>
    <w:rsid w:val="004873F0"/>
    <w:rsid w:val="00490B94"/>
    <w:rsid w:val="0049191A"/>
    <w:rsid w:val="0049229E"/>
    <w:rsid w:val="004927A5"/>
    <w:rsid w:val="00493541"/>
    <w:rsid w:val="004937BA"/>
    <w:rsid w:val="004938BD"/>
    <w:rsid w:val="0049392D"/>
    <w:rsid w:val="00493989"/>
    <w:rsid w:val="004944A0"/>
    <w:rsid w:val="004946CC"/>
    <w:rsid w:val="00494EE1"/>
    <w:rsid w:val="00495606"/>
    <w:rsid w:val="00495AF0"/>
    <w:rsid w:val="00496698"/>
    <w:rsid w:val="004A0193"/>
    <w:rsid w:val="004A01F3"/>
    <w:rsid w:val="004A0CDF"/>
    <w:rsid w:val="004A0D78"/>
    <w:rsid w:val="004A1320"/>
    <w:rsid w:val="004A1A8E"/>
    <w:rsid w:val="004A1F0A"/>
    <w:rsid w:val="004A21BE"/>
    <w:rsid w:val="004A2495"/>
    <w:rsid w:val="004A24E5"/>
    <w:rsid w:val="004A29D9"/>
    <w:rsid w:val="004A3862"/>
    <w:rsid w:val="004A395F"/>
    <w:rsid w:val="004A40CB"/>
    <w:rsid w:val="004A41EF"/>
    <w:rsid w:val="004A571B"/>
    <w:rsid w:val="004A5E74"/>
    <w:rsid w:val="004A730E"/>
    <w:rsid w:val="004B00A7"/>
    <w:rsid w:val="004B00C2"/>
    <w:rsid w:val="004B1ABF"/>
    <w:rsid w:val="004B21B7"/>
    <w:rsid w:val="004B2367"/>
    <w:rsid w:val="004B273E"/>
    <w:rsid w:val="004B2BE8"/>
    <w:rsid w:val="004B3438"/>
    <w:rsid w:val="004B5656"/>
    <w:rsid w:val="004B58E5"/>
    <w:rsid w:val="004B5DEA"/>
    <w:rsid w:val="004B5F26"/>
    <w:rsid w:val="004C0631"/>
    <w:rsid w:val="004C1060"/>
    <w:rsid w:val="004C1CF3"/>
    <w:rsid w:val="004C2088"/>
    <w:rsid w:val="004C208A"/>
    <w:rsid w:val="004C2A65"/>
    <w:rsid w:val="004C2E46"/>
    <w:rsid w:val="004C36E3"/>
    <w:rsid w:val="004C4A0C"/>
    <w:rsid w:val="004C4E94"/>
    <w:rsid w:val="004C552E"/>
    <w:rsid w:val="004C6C9E"/>
    <w:rsid w:val="004C6EAA"/>
    <w:rsid w:val="004C6F22"/>
    <w:rsid w:val="004D154C"/>
    <w:rsid w:val="004D2E9E"/>
    <w:rsid w:val="004D36BF"/>
    <w:rsid w:val="004D4375"/>
    <w:rsid w:val="004D4ABD"/>
    <w:rsid w:val="004D4E01"/>
    <w:rsid w:val="004D6450"/>
    <w:rsid w:val="004D7850"/>
    <w:rsid w:val="004D7A8D"/>
    <w:rsid w:val="004E1050"/>
    <w:rsid w:val="004E2AB3"/>
    <w:rsid w:val="004E348A"/>
    <w:rsid w:val="004E372B"/>
    <w:rsid w:val="004E4A8F"/>
    <w:rsid w:val="004E6FE4"/>
    <w:rsid w:val="004E79BD"/>
    <w:rsid w:val="004E7D09"/>
    <w:rsid w:val="004F036D"/>
    <w:rsid w:val="004F146C"/>
    <w:rsid w:val="004F26E1"/>
    <w:rsid w:val="004F306C"/>
    <w:rsid w:val="004F3355"/>
    <w:rsid w:val="004F36DB"/>
    <w:rsid w:val="004F47AD"/>
    <w:rsid w:val="004F493F"/>
    <w:rsid w:val="004F4DDF"/>
    <w:rsid w:val="004F56DB"/>
    <w:rsid w:val="004F6E5D"/>
    <w:rsid w:val="004F72C9"/>
    <w:rsid w:val="005002CA"/>
    <w:rsid w:val="00500990"/>
    <w:rsid w:val="00502657"/>
    <w:rsid w:val="00502783"/>
    <w:rsid w:val="00503858"/>
    <w:rsid w:val="00505A28"/>
    <w:rsid w:val="005067D2"/>
    <w:rsid w:val="0050683B"/>
    <w:rsid w:val="005069DD"/>
    <w:rsid w:val="005077D2"/>
    <w:rsid w:val="00507F2F"/>
    <w:rsid w:val="0051022B"/>
    <w:rsid w:val="0051038F"/>
    <w:rsid w:val="00510417"/>
    <w:rsid w:val="00510915"/>
    <w:rsid w:val="00511EAB"/>
    <w:rsid w:val="0051237C"/>
    <w:rsid w:val="005125DC"/>
    <w:rsid w:val="00512725"/>
    <w:rsid w:val="00512A7A"/>
    <w:rsid w:val="00512B62"/>
    <w:rsid w:val="00512BD8"/>
    <w:rsid w:val="0051309E"/>
    <w:rsid w:val="005131C1"/>
    <w:rsid w:val="00513D0A"/>
    <w:rsid w:val="00513FB0"/>
    <w:rsid w:val="00515509"/>
    <w:rsid w:val="005162BC"/>
    <w:rsid w:val="005164CA"/>
    <w:rsid w:val="005166C2"/>
    <w:rsid w:val="00516C20"/>
    <w:rsid w:val="005170EA"/>
    <w:rsid w:val="00517A72"/>
    <w:rsid w:val="00517ABF"/>
    <w:rsid w:val="00520DF2"/>
    <w:rsid w:val="00521706"/>
    <w:rsid w:val="00522200"/>
    <w:rsid w:val="00522CFD"/>
    <w:rsid w:val="00525F95"/>
    <w:rsid w:val="0052604E"/>
    <w:rsid w:val="005265C1"/>
    <w:rsid w:val="00530F34"/>
    <w:rsid w:val="005310DF"/>
    <w:rsid w:val="0053373E"/>
    <w:rsid w:val="005357EF"/>
    <w:rsid w:val="00536CA4"/>
    <w:rsid w:val="00536D6C"/>
    <w:rsid w:val="00536DE4"/>
    <w:rsid w:val="00537FB2"/>
    <w:rsid w:val="00540CCA"/>
    <w:rsid w:val="00540DD1"/>
    <w:rsid w:val="005416A5"/>
    <w:rsid w:val="0054178B"/>
    <w:rsid w:val="00541976"/>
    <w:rsid w:val="00541F6F"/>
    <w:rsid w:val="00542837"/>
    <w:rsid w:val="00542ACB"/>
    <w:rsid w:val="00542E11"/>
    <w:rsid w:val="00543BEA"/>
    <w:rsid w:val="0054569D"/>
    <w:rsid w:val="005463B0"/>
    <w:rsid w:val="00546DB9"/>
    <w:rsid w:val="005478D4"/>
    <w:rsid w:val="005506BD"/>
    <w:rsid w:val="0055238A"/>
    <w:rsid w:val="005523AA"/>
    <w:rsid w:val="00554FEF"/>
    <w:rsid w:val="00555C12"/>
    <w:rsid w:val="005561EC"/>
    <w:rsid w:val="00556F24"/>
    <w:rsid w:val="00557025"/>
    <w:rsid w:val="00557E52"/>
    <w:rsid w:val="0056022F"/>
    <w:rsid w:val="00560E2F"/>
    <w:rsid w:val="00560E96"/>
    <w:rsid w:val="00561509"/>
    <w:rsid w:val="00564D00"/>
    <w:rsid w:val="00565094"/>
    <w:rsid w:val="00565294"/>
    <w:rsid w:val="005655F5"/>
    <w:rsid w:val="00565FFF"/>
    <w:rsid w:val="00566AD4"/>
    <w:rsid w:val="005671A7"/>
    <w:rsid w:val="0056788A"/>
    <w:rsid w:val="0057122A"/>
    <w:rsid w:val="005719C0"/>
    <w:rsid w:val="0057254A"/>
    <w:rsid w:val="0057292A"/>
    <w:rsid w:val="005739B3"/>
    <w:rsid w:val="00573AC1"/>
    <w:rsid w:val="0057468C"/>
    <w:rsid w:val="005749B7"/>
    <w:rsid w:val="0057510D"/>
    <w:rsid w:val="00576681"/>
    <w:rsid w:val="00577718"/>
    <w:rsid w:val="00582009"/>
    <w:rsid w:val="00582398"/>
    <w:rsid w:val="005835B0"/>
    <w:rsid w:val="00583A1C"/>
    <w:rsid w:val="005853F3"/>
    <w:rsid w:val="005857E1"/>
    <w:rsid w:val="00585819"/>
    <w:rsid w:val="00585D50"/>
    <w:rsid w:val="005868AA"/>
    <w:rsid w:val="005875CF"/>
    <w:rsid w:val="00587874"/>
    <w:rsid w:val="00590AE0"/>
    <w:rsid w:val="00591F9C"/>
    <w:rsid w:val="0059263A"/>
    <w:rsid w:val="00593B27"/>
    <w:rsid w:val="00593B2E"/>
    <w:rsid w:val="005940D9"/>
    <w:rsid w:val="005942D4"/>
    <w:rsid w:val="00595365"/>
    <w:rsid w:val="00595D33"/>
    <w:rsid w:val="005968AA"/>
    <w:rsid w:val="00596B88"/>
    <w:rsid w:val="0059724A"/>
    <w:rsid w:val="005A1308"/>
    <w:rsid w:val="005A18F8"/>
    <w:rsid w:val="005A239E"/>
    <w:rsid w:val="005A323F"/>
    <w:rsid w:val="005A3260"/>
    <w:rsid w:val="005A3829"/>
    <w:rsid w:val="005A3D91"/>
    <w:rsid w:val="005A3F59"/>
    <w:rsid w:val="005A490F"/>
    <w:rsid w:val="005A4D1B"/>
    <w:rsid w:val="005A5042"/>
    <w:rsid w:val="005A68AF"/>
    <w:rsid w:val="005B0201"/>
    <w:rsid w:val="005B0FCD"/>
    <w:rsid w:val="005B13CC"/>
    <w:rsid w:val="005B1433"/>
    <w:rsid w:val="005B1557"/>
    <w:rsid w:val="005B1578"/>
    <w:rsid w:val="005B29A0"/>
    <w:rsid w:val="005B2EFD"/>
    <w:rsid w:val="005B4521"/>
    <w:rsid w:val="005B48FC"/>
    <w:rsid w:val="005B4FC9"/>
    <w:rsid w:val="005B664D"/>
    <w:rsid w:val="005B7DC7"/>
    <w:rsid w:val="005C0C3D"/>
    <w:rsid w:val="005C0C40"/>
    <w:rsid w:val="005C169F"/>
    <w:rsid w:val="005C1AEA"/>
    <w:rsid w:val="005C27B3"/>
    <w:rsid w:val="005C46AB"/>
    <w:rsid w:val="005C546E"/>
    <w:rsid w:val="005C56DA"/>
    <w:rsid w:val="005C6616"/>
    <w:rsid w:val="005C7A7E"/>
    <w:rsid w:val="005D09F8"/>
    <w:rsid w:val="005D11C4"/>
    <w:rsid w:val="005D1B9D"/>
    <w:rsid w:val="005D1D39"/>
    <w:rsid w:val="005D2FD0"/>
    <w:rsid w:val="005D5F84"/>
    <w:rsid w:val="005D6558"/>
    <w:rsid w:val="005D69B9"/>
    <w:rsid w:val="005D6C73"/>
    <w:rsid w:val="005D7163"/>
    <w:rsid w:val="005E1002"/>
    <w:rsid w:val="005E2E1E"/>
    <w:rsid w:val="005E3449"/>
    <w:rsid w:val="005E3B37"/>
    <w:rsid w:val="005E3D5E"/>
    <w:rsid w:val="005E4375"/>
    <w:rsid w:val="005E467F"/>
    <w:rsid w:val="005E55C6"/>
    <w:rsid w:val="005E5778"/>
    <w:rsid w:val="005E5780"/>
    <w:rsid w:val="005E57D1"/>
    <w:rsid w:val="005E77E9"/>
    <w:rsid w:val="005E7EF5"/>
    <w:rsid w:val="005E7FD3"/>
    <w:rsid w:val="005F0595"/>
    <w:rsid w:val="005F06C8"/>
    <w:rsid w:val="005F0C17"/>
    <w:rsid w:val="005F0D14"/>
    <w:rsid w:val="005F0E24"/>
    <w:rsid w:val="005F1478"/>
    <w:rsid w:val="005F2080"/>
    <w:rsid w:val="005F239A"/>
    <w:rsid w:val="005F2A2E"/>
    <w:rsid w:val="005F326A"/>
    <w:rsid w:val="005F3CAE"/>
    <w:rsid w:val="005F3E7F"/>
    <w:rsid w:val="005F5137"/>
    <w:rsid w:val="005F59D5"/>
    <w:rsid w:val="005F62A3"/>
    <w:rsid w:val="005F6606"/>
    <w:rsid w:val="005F6EAC"/>
    <w:rsid w:val="005F7E3B"/>
    <w:rsid w:val="00601BC0"/>
    <w:rsid w:val="00601BEB"/>
    <w:rsid w:val="00602B04"/>
    <w:rsid w:val="0060313D"/>
    <w:rsid w:val="006038E9"/>
    <w:rsid w:val="00603DEA"/>
    <w:rsid w:val="00607835"/>
    <w:rsid w:val="00610B85"/>
    <w:rsid w:val="00611238"/>
    <w:rsid w:val="00611EED"/>
    <w:rsid w:val="00612016"/>
    <w:rsid w:val="00612C03"/>
    <w:rsid w:val="00613980"/>
    <w:rsid w:val="0061399E"/>
    <w:rsid w:val="006148AF"/>
    <w:rsid w:val="0061513C"/>
    <w:rsid w:val="006169EE"/>
    <w:rsid w:val="00617CA0"/>
    <w:rsid w:val="00617F8D"/>
    <w:rsid w:val="0062009C"/>
    <w:rsid w:val="00620F59"/>
    <w:rsid w:val="00621676"/>
    <w:rsid w:val="00621CDB"/>
    <w:rsid w:val="00622143"/>
    <w:rsid w:val="006239BF"/>
    <w:rsid w:val="00623C43"/>
    <w:rsid w:val="006240F4"/>
    <w:rsid w:val="00627541"/>
    <w:rsid w:val="006276CF"/>
    <w:rsid w:val="00630047"/>
    <w:rsid w:val="006300B7"/>
    <w:rsid w:val="00630738"/>
    <w:rsid w:val="00631705"/>
    <w:rsid w:val="00632C8A"/>
    <w:rsid w:val="006336AA"/>
    <w:rsid w:val="0063371B"/>
    <w:rsid w:val="00633B52"/>
    <w:rsid w:val="00636382"/>
    <w:rsid w:val="00636F12"/>
    <w:rsid w:val="00640C53"/>
    <w:rsid w:val="00640DCB"/>
    <w:rsid w:val="0064143E"/>
    <w:rsid w:val="0064147B"/>
    <w:rsid w:val="00641B61"/>
    <w:rsid w:val="00641C4D"/>
    <w:rsid w:val="0064255D"/>
    <w:rsid w:val="00643234"/>
    <w:rsid w:val="00646699"/>
    <w:rsid w:val="00650032"/>
    <w:rsid w:val="00650607"/>
    <w:rsid w:val="00650C45"/>
    <w:rsid w:val="00650CF7"/>
    <w:rsid w:val="0065114B"/>
    <w:rsid w:val="00651BCA"/>
    <w:rsid w:val="0065408A"/>
    <w:rsid w:val="0065464E"/>
    <w:rsid w:val="006552CC"/>
    <w:rsid w:val="00655ABE"/>
    <w:rsid w:val="00656AFE"/>
    <w:rsid w:val="00656C64"/>
    <w:rsid w:val="00657582"/>
    <w:rsid w:val="006604F5"/>
    <w:rsid w:val="00660B75"/>
    <w:rsid w:val="00660F7D"/>
    <w:rsid w:val="00661162"/>
    <w:rsid w:val="00661872"/>
    <w:rsid w:val="00661D3C"/>
    <w:rsid w:val="006628DB"/>
    <w:rsid w:val="00662A31"/>
    <w:rsid w:val="0066373A"/>
    <w:rsid w:val="00665CB9"/>
    <w:rsid w:val="00670201"/>
    <w:rsid w:val="00670784"/>
    <w:rsid w:val="006714CB"/>
    <w:rsid w:val="00671712"/>
    <w:rsid w:val="00671F14"/>
    <w:rsid w:val="0067314B"/>
    <w:rsid w:val="00673C34"/>
    <w:rsid w:val="00673E21"/>
    <w:rsid w:val="00673F83"/>
    <w:rsid w:val="00674D16"/>
    <w:rsid w:val="00674F93"/>
    <w:rsid w:val="006751E1"/>
    <w:rsid w:val="00675956"/>
    <w:rsid w:val="00676505"/>
    <w:rsid w:val="00677F9B"/>
    <w:rsid w:val="00680446"/>
    <w:rsid w:val="006822E2"/>
    <w:rsid w:val="00682479"/>
    <w:rsid w:val="00682DA9"/>
    <w:rsid w:val="00682F43"/>
    <w:rsid w:val="00683263"/>
    <w:rsid w:val="006847A9"/>
    <w:rsid w:val="00685AC2"/>
    <w:rsid w:val="00686208"/>
    <w:rsid w:val="00686930"/>
    <w:rsid w:val="00686D41"/>
    <w:rsid w:val="00686FF6"/>
    <w:rsid w:val="00687478"/>
    <w:rsid w:val="00687C2C"/>
    <w:rsid w:val="00687C2F"/>
    <w:rsid w:val="00690147"/>
    <w:rsid w:val="0069020D"/>
    <w:rsid w:val="0069021C"/>
    <w:rsid w:val="0069028F"/>
    <w:rsid w:val="0069046E"/>
    <w:rsid w:val="00690587"/>
    <w:rsid w:val="00691659"/>
    <w:rsid w:val="006927BF"/>
    <w:rsid w:val="00692B89"/>
    <w:rsid w:val="00693201"/>
    <w:rsid w:val="00694042"/>
    <w:rsid w:val="006951D9"/>
    <w:rsid w:val="0069769C"/>
    <w:rsid w:val="006A0C8B"/>
    <w:rsid w:val="006A0CD6"/>
    <w:rsid w:val="006A1F4C"/>
    <w:rsid w:val="006A2107"/>
    <w:rsid w:val="006A28E5"/>
    <w:rsid w:val="006A2CA9"/>
    <w:rsid w:val="006A335E"/>
    <w:rsid w:val="006A4B52"/>
    <w:rsid w:val="006A4F81"/>
    <w:rsid w:val="006A5227"/>
    <w:rsid w:val="006A67D9"/>
    <w:rsid w:val="006A7901"/>
    <w:rsid w:val="006B05E5"/>
    <w:rsid w:val="006B0E1F"/>
    <w:rsid w:val="006B11CF"/>
    <w:rsid w:val="006B454E"/>
    <w:rsid w:val="006B519F"/>
    <w:rsid w:val="006B5FE2"/>
    <w:rsid w:val="006B70EA"/>
    <w:rsid w:val="006B727B"/>
    <w:rsid w:val="006B7570"/>
    <w:rsid w:val="006B7DFD"/>
    <w:rsid w:val="006C0500"/>
    <w:rsid w:val="006C12BD"/>
    <w:rsid w:val="006C250B"/>
    <w:rsid w:val="006C298A"/>
    <w:rsid w:val="006C3167"/>
    <w:rsid w:val="006C3CF1"/>
    <w:rsid w:val="006C48B8"/>
    <w:rsid w:val="006C5529"/>
    <w:rsid w:val="006C5C51"/>
    <w:rsid w:val="006C6048"/>
    <w:rsid w:val="006C6FC3"/>
    <w:rsid w:val="006C741E"/>
    <w:rsid w:val="006D02D1"/>
    <w:rsid w:val="006D0745"/>
    <w:rsid w:val="006D0B52"/>
    <w:rsid w:val="006D12AB"/>
    <w:rsid w:val="006D2D53"/>
    <w:rsid w:val="006D3E85"/>
    <w:rsid w:val="006D4CD8"/>
    <w:rsid w:val="006D4D61"/>
    <w:rsid w:val="006D58A9"/>
    <w:rsid w:val="006D5C47"/>
    <w:rsid w:val="006D6A60"/>
    <w:rsid w:val="006D722C"/>
    <w:rsid w:val="006E05CF"/>
    <w:rsid w:val="006E0A08"/>
    <w:rsid w:val="006E0FCD"/>
    <w:rsid w:val="006E1ED6"/>
    <w:rsid w:val="006E250A"/>
    <w:rsid w:val="006E29E0"/>
    <w:rsid w:val="006E32A1"/>
    <w:rsid w:val="006E37AB"/>
    <w:rsid w:val="006E394F"/>
    <w:rsid w:val="006E3B7A"/>
    <w:rsid w:val="006E46AB"/>
    <w:rsid w:val="006E5104"/>
    <w:rsid w:val="006E63FE"/>
    <w:rsid w:val="006F0439"/>
    <w:rsid w:val="006F0450"/>
    <w:rsid w:val="006F08A0"/>
    <w:rsid w:val="006F1595"/>
    <w:rsid w:val="006F1DE5"/>
    <w:rsid w:val="006F2F6C"/>
    <w:rsid w:val="006F36C4"/>
    <w:rsid w:val="006F3951"/>
    <w:rsid w:val="006F3BAB"/>
    <w:rsid w:val="006F3E47"/>
    <w:rsid w:val="006F449A"/>
    <w:rsid w:val="006F4651"/>
    <w:rsid w:val="006F4BF0"/>
    <w:rsid w:val="006F6EA5"/>
    <w:rsid w:val="006F6EE6"/>
    <w:rsid w:val="006F78BC"/>
    <w:rsid w:val="00700DC2"/>
    <w:rsid w:val="00700E66"/>
    <w:rsid w:val="007011D7"/>
    <w:rsid w:val="00701C42"/>
    <w:rsid w:val="00702209"/>
    <w:rsid w:val="00702CC3"/>
    <w:rsid w:val="007032A0"/>
    <w:rsid w:val="0070435A"/>
    <w:rsid w:val="00704828"/>
    <w:rsid w:val="00705E62"/>
    <w:rsid w:val="00706A67"/>
    <w:rsid w:val="00707524"/>
    <w:rsid w:val="00707651"/>
    <w:rsid w:val="00707788"/>
    <w:rsid w:val="00710B7F"/>
    <w:rsid w:val="0071277F"/>
    <w:rsid w:val="0071313D"/>
    <w:rsid w:val="00713A66"/>
    <w:rsid w:val="00714274"/>
    <w:rsid w:val="00715070"/>
    <w:rsid w:val="00716E28"/>
    <w:rsid w:val="00716F63"/>
    <w:rsid w:val="00717B12"/>
    <w:rsid w:val="00717E3D"/>
    <w:rsid w:val="00717F07"/>
    <w:rsid w:val="00717F32"/>
    <w:rsid w:val="007205C4"/>
    <w:rsid w:val="00721572"/>
    <w:rsid w:val="00721BBE"/>
    <w:rsid w:val="0072278C"/>
    <w:rsid w:val="007232C5"/>
    <w:rsid w:val="00723DE5"/>
    <w:rsid w:val="00723DF0"/>
    <w:rsid w:val="00724558"/>
    <w:rsid w:val="0072492F"/>
    <w:rsid w:val="007251F9"/>
    <w:rsid w:val="007268D8"/>
    <w:rsid w:val="00726C27"/>
    <w:rsid w:val="00727918"/>
    <w:rsid w:val="00727B0F"/>
    <w:rsid w:val="00730819"/>
    <w:rsid w:val="007309F1"/>
    <w:rsid w:val="007331D3"/>
    <w:rsid w:val="007344DF"/>
    <w:rsid w:val="00734B04"/>
    <w:rsid w:val="00734EC1"/>
    <w:rsid w:val="0073511F"/>
    <w:rsid w:val="0073513C"/>
    <w:rsid w:val="00735251"/>
    <w:rsid w:val="00735C8A"/>
    <w:rsid w:val="00736A41"/>
    <w:rsid w:val="0073732B"/>
    <w:rsid w:val="0073771D"/>
    <w:rsid w:val="0074026F"/>
    <w:rsid w:val="0074028B"/>
    <w:rsid w:val="00740750"/>
    <w:rsid w:val="007418A2"/>
    <w:rsid w:val="00741CF4"/>
    <w:rsid w:val="00741CFB"/>
    <w:rsid w:val="007426E4"/>
    <w:rsid w:val="00742B05"/>
    <w:rsid w:val="007435EB"/>
    <w:rsid w:val="00743EB6"/>
    <w:rsid w:val="007456E2"/>
    <w:rsid w:val="0074576A"/>
    <w:rsid w:val="00745DD1"/>
    <w:rsid w:val="007468EB"/>
    <w:rsid w:val="0075021E"/>
    <w:rsid w:val="00750ECE"/>
    <w:rsid w:val="007513A9"/>
    <w:rsid w:val="00751A02"/>
    <w:rsid w:val="00752655"/>
    <w:rsid w:val="00752750"/>
    <w:rsid w:val="007527B5"/>
    <w:rsid w:val="00752BC5"/>
    <w:rsid w:val="00753396"/>
    <w:rsid w:val="0075385B"/>
    <w:rsid w:val="00754012"/>
    <w:rsid w:val="00754329"/>
    <w:rsid w:val="00754E96"/>
    <w:rsid w:val="00755328"/>
    <w:rsid w:val="00755825"/>
    <w:rsid w:val="007560A3"/>
    <w:rsid w:val="00756755"/>
    <w:rsid w:val="00756F2D"/>
    <w:rsid w:val="007570A0"/>
    <w:rsid w:val="0075721F"/>
    <w:rsid w:val="00757238"/>
    <w:rsid w:val="00757595"/>
    <w:rsid w:val="0076021C"/>
    <w:rsid w:val="00760241"/>
    <w:rsid w:val="00760430"/>
    <w:rsid w:val="00760CCC"/>
    <w:rsid w:val="00761337"/>
    <w:rsid w:val="00762420"/>
    <w:rsid w:val="007627D6"/>
    <w:rsid w:val="0076362C"/>
    <w:rsid w:val="00763697"/>
    <w:rsid w:val="0076399C"/>
    <w:rsid w:val="00763C05"/>
    <w:rsid w:val="00764825"/>
    <w:rsid w:val="007650AC"/>
    <w:rsid w:val="00765F92"/>
    <w:rsid w:val="007660CC"/>
    <w:rsid w:val="007662D4"/>
    <w:rsid w:val="007663B0"/>
    <w:rsid w:val="00767C15"/>
    <w:rsid w:val="00770682"/>
    <w:rsid w:val="0077072C"/>
    <w:rsid w:val="00772787"/>
    <w:rsid w:val="00772828"/>
    <w:rsid w:val="00773C7C"/>
    <w:rsid w:val="00775CF2"/>
    <w:rsid w:val="0077704C"/>
    <w:rsid w:val="007775D1"/>
    <w:rsid w:val="00777937"/>
    <w:rsid w:val="007800DF"/>
    <w:rsid w:val="00780728"/>
    <w:rsid w:val="007812A7"/>
    <w:rsid w:val="00781E4E"/>
    <w:rsid w:val="007831FA"/>
    <w:rsid w:val="00783D3A"/>
    <w:rsid w:val="00785590"/>
    <w:rsid w:val="00785907"/>
    <w:rsid w:val="00785C2A"/>
    <w:rsid w:val="00787B74"/>
    <w:rsid w:val="00787FAB"/>
    <w:rsid w:val="0079095B"/>
    <w:rsid w:val="0079149C"/>
    <w:rsid w:val="00792B3C"/>
    <w:rsid w:val="007930CB"/>
    <w:rsid w:val="00794027"/>
    <w:rsid w:val="00795968"/>
    <w:rsid w:val="00795BF7"/>
    <w:rsid w:val="007962F1"/>
    <w:rsid w:val="007969E5"/>
    <w:rsid w:val="00796B49"/>
    <w:rsid w:val="007A0341"/>
    <w:rsid w:val="007A07E6"/>
    <w:rsid w:val="007A0A07"/>
    <w:rsid w:val="007A1366"/>
    <w:rsid w:val="007A1F88"/>
    <w:rsid w:val="007A25D4"/>
    <w:rsid w:val="007A29D4"/>
    <w:rsid w:val="007A4162"/>
    <w:rsid w:val="007A46FC"/>
    <w:rsid w:val="007A4A1C"/>
    <w:rsid w:val="007A4A42"/>
    <w:rsid w:val="007B009B"/>
    <w:rsid w:val="007B0E87"/>
    <w:rsid w:val="007B1782"/>
    <w:rsid w:val="007B2E6F"/>
    <w:rsid w:val="007C0639"/>
    <w:rsid w:val="007C1F39"/>
    <w:rsid w:val="007C27B0"/>
    <w:rsid w:val="007C3103"/>
    <w:rsid w:val="007C3B33"/>
    <w:rsid w:val="007C3DA0"/>
    <w:rsid w:val="007C4059"/>
    <w:rsid w:val="007C4808"/>
    <w:rsid w:val="007C4871"/>
    <w:rsid w:val="007C48FD"/>
    <w:rsid w:val="007C4F05"/>
    <w:rsid w:val="007C5377"/>
    <w:rsid w:val="007C5B73"/>
    <w:rsid w:val="007C6047"/>
    <w:rsid w:val="007C676A"/>
    <w:rsid w:val="007C7311"/>
    <w:rsid w:val="007C7920"/>
    <w:rsid w:val="007D1112"/>
    <w:rsid w:val="007D277F"/>
    <w:rsid w:val="007D2D12"/>
    <w:rsid w:val="007D3280"/>
    <w:rsid w:val="007D3B7C"/>
    <w:rsid w:val="007D3D70"/>
    <w:rsid w:val="007D42BA"/>
    <w:rsid w:val="007D5320"/>
    <w:rsid w:val="007D5B80"/>
    <w:rsid w:val="007D60BC"/>
    <w:rsid w:val="007D68C7"/>
    <w:rsid w:val="007D6F02"/>
    <w:rsid w:val="007D71A3"/>
    <w:rsid w:val="007E004F"/>
    <w:rsid w:val="007E00C3"/>
    <w:rsid w:val="007E0757"/>
    <w:rsid w:val="007E07E3"/>
    <w:rsid w:val="007E0865"/>
    <w:rsid w:val="007E09AD"/>
    <w:rsid w:val="007E17B2"/>
    <w:rsid w:val="007E192F"/>
    <w:rsid w:val="007E2FAB"/>
    <w:rsid w:val="007E3F4B"/>
    <w:rsid w:val="007E6A13"/>
    <w:rsid w:val="007E7885"/>
    <w:rsid w:val="007F0094"/>
    <w:rsid w:val="007F14FC"/>
    <w:rsid w:val="007F2774"/>
    <w:rsid w:val="007F2977"/>
    <w:rsid w:val="007F3050"/>
    <w:rsid w:val="007F3A5C"/>
    <w:rsid w:val="007F3B7E"/>
    <w:rsid w:val="007F3BAA"/>
    <w:rsid w:val="007F3F03"/>
    <w:rsid w:val="007F3FDD"/>
    <w:rsid w:val="007F4229"/>
    <w:rsid w:val="007F57AB"/>
    <w:rsid w:val="007F59A2"/>
    <w:rsid w:val="007F5C29"/>
    <w:rsid w:val="007F6ABA"/>
    <w:rsid w:val="007F73B8"/>
    <w:rsid w:val="007F7A4A"/>
    <w:rsid w:val="008005B9"/>
    <w:rsid w:val="00802294"/>
    <w:rsid w:val="00802500"/>
    <w:rsid w:val="00802F51"/>
    <w:rsid w:val="00803835"/>
    <w:rsid w:val="00804152"/>
    <w:rsid w:val="00805577"/>
    <w:rsid w:val="00805672"/>
    <w:rsid w:val="0080589F"/>
    <w:rsid w:val="0080672D"/>
    <w:rsid w:val="00806A83"/>
    <w:rsid w:val="00807229"/>
    <w:rsid w:val="00807239"/>
    <w:rsid w:val="00807290"/>
    <w:rsid w:val="008077CA"/>
    <w:rsid w:val="00807CB7"/>
    <w:rsid w:val="008103D4"/>
    <w:rsid w:val="008104DF"/>
    <w:rsid w:val="008106C9"/>
    <w:rsid w:val="00811101"/>
    <w:rsid w:val="0081188B"/>
    <w:rsid w:val="00812EBC"/>
    <w:rsid w:val="00813105"/>
    <w:rsid w:val="008133EC"/>
    <w:rsid w:val="00814528"/>
    <w:rsid w:val="00814DD1"/>
    <w:rsid w:val="00814F61"/>
    <w:rsid w:val="008158A1"/>
    <w:rsid w:val="00815BB0"/>
    <w:rsid w:val="00815DBD"/>
    <w:rsid w:val="0081743D"/>
    <w:rsid w:val="008176DA"/>
    <w:rsid w:val="008215E3"/>
    <w:rsid w:val="0082196C"/>
    <w:rsid w:val="00823C8B"/>
    <w:rsid w:val="00823F10"/>
    <w:rsid w:val="008248E9"/>
    <w:rsid w:val="008253B6"/>
    <w:rsid w:val="00826194"/>
    <w:rsid w:val="00826D26"/>
    <w:rsid w:val="00827A51"/>
    <w:rsid w:val="008301A6"/>
    <w:rsid w:val="00830365"/>
    <w:rsid w:val="00831230"/>
    <w:rsid w:val="00831794"/>
    <w:rsid w:val="00832157"/>
    <w:rsid w:val="0083259B"/>
    <w:rsid w:val="00834219"/>
    <w:rsid w:val="00834A2C"/>
    <w:rsid w:val="008354A0"/>
    <w:rsid w:val="008370AC"/>
    <w:rsid w:val="0083764C"/>
    <w:rsid w:val="00840D9D"/>
    <w:rsid w:val="00841F57"/>
    <w:rsid w:val="0084232F"/>
    <w:rsid w:val="00842C85"/>
    <w:rsid w:val="00843500"/>
    <w:rsid w:val="00844BE7"/>
    <w:rsid w:val="00845217"/>
    <w:rsid w:val="00847856"/>
    <w:rsid w:val="008502EE"/>
    <w:rsid w:val="00850411"/>
    <w:rsid w:val="0085096C"/>
    <w:rsid w:val="008509B3"/>
    <w:rsid w:val="00851D1D"/>
    <w:rsid w:val="00852EB7"/>
    <w:rsid w:val="0085310B"/>
    <w:rsid w:val="00853719"/>
    <w:rsid w:val="008542A0"/>
    <w:rsid w:val="008547D2"/>
    <w:rsid w:val="00855258"/>
    <w:rsid w:val="008557D8"/>
    <w:rsid w:val="00855AD6"/>
    <w:rsid w:val="00857D5E"/>
    <w:rsid w:val="00860986"/>
    <w:rsid w:val="008616CE"/>
    <w:rsid w:val="0086366A"/>
    <w:rsid w:val="00863A6C"/>
    <w:rsid w:val="00863E5A"/>
    <w:rsid w:val="00865669"/>
    <w:rsid w:val="0086580D"/>
    <w:rsid w:val="00865908"/>
    <w:rsid w:val="00865A69"/>
    <w:rsid w:val="008661DB"/>
    <w:rsid w:val="008663E4"/>
    <w:rsid w:val="00872F63"/>
    <w:rsid w:val="00872F9B"/>
    <w:rsid w:val="008746E5"/>
    <w:rsid w:val="008752A3"/>
    <w:rsid w:val="00875398"/>
    <w:rsid w:val="00875629"/>
    <w:rsid w:val="008761F3"/>
    <w:rsid w:val="00876459"/>
    <w:rsid w:val="0088080F"/>
    <w:rsid w:val="008813B3"/>
    <w:rsid w:val="008817DF"/>
    <w:rsid w:val="00881988"/>
    <w:rsid w:val="008830E8"/>
    <w:rsid w:val="00883236"/>
    <w:rsid w:val="008835CE"/>
    <w:rsid w:val="00883EF5"/>
    <w:rsid w:val="00884476"/>
    <w:rsid w:val="0088465C"/>
    <w:rsid w:val="0088539F"/>
    <w:rsid w:val="008855A2"/>
    <w:rsid w:val="0088562B"/>
    <w:rsid w:val="00886CB3"/>
    <w:rsid w:val="008900E5"/>
    <w:rsid w:val="00890604"/>
    <w:rsid w:val="00890975"/>
    <w:rsid w:val="00890E7B"/>
    <w:rsid w:val="0089156A"/>
    <w:rsid w:val="00891FBA"/>
    <w:rsid w:val="0089279D"/>
    <w:rsid w:val="00893CF7"/>
    <w:rsid w:val="00894402"/>
    <w:rsid w:val="00894F39"/>
    <w:rsid w:val="00895A87"/>
    <w:rsid w:val="00895B46"/>
    <w:rsid w:val="00896489"/>
    <w:rsid w:val="00896D4D"/>
    <w:rsid w:val="0089750F"/>
    <w:rsid w:val="0089768B"/>
    <w:rsid w:val="008A0DA3"/>
    <w:rsid w:val="008A1509"/>
    <w:rsid w:val="008A1B4D"/>
    <w:rsid w:val="008A202A"/>
    <w:rsid w:val="008A2A2B"/>
    <w:rsid w:val="008A40C0"/>
    <w:rsid w:val="008A49C9"/>
    <w:rsid w:val="008A4B42"/>
    <w:rsid w:val="008A4CB9"/>
    <w:rsid w:val="008A4E14"/>
    <w:rsid w:val="008A4F9C"/>
    <w:rsid w:val="008A5063"/>
    <w:rsid w:val="008A561E"/>
    <w:rsid w:val="008A5B50"/>
    <w:rsid w:val="008A5D84"/>
    <w:rsid w:val="008A6D94"/>
    <w:rsid w:val="008A795C"/>
    <w:rsid w:val="008B0555"/>
    <w:rsid w:val="008B08A8"/>
    <w:rsid w:val="008B184F"/>
    <w:rsid w:val="008B1DAC"/>
    <w:rsid w:val="008B2D85"/>
    <w:rsid w:val="008C043C"/>
    <w:rsid w:val="008C1323"/>
    <w:rsid w:val="008C193A"/>
    <w:rsid w:val="008C3A67"/>
    <w:rsid w:val="008C422E"/>
    <w:rsid w:val="008C42AE"/>
    <w:rsid w:val="008C5A5A"/>
    <w:rsid w:val="008C5A91"/>
    <w:rsid w:val="008C5E2A"/>
    <w:rsid w:val="008C7825"/>
    <w:rsid w:val="008D0AD1"/>
    <w:rsid w:val="008D112A"/>
    <w:rsid w:val="008D138F"/>
    <w:rsid w:val="008D1DFC"/>
    <w:rsid w:val="008D2227"/>
    <w:rsid w:val="008D283B"/>
    <w:rsid w:val="008D2F70"/>
    <w:rsid w:val="008D39BD"/>
    <w:rsid w:val="008D3F52"/>
    <w:rsid w:val="008D4027"/>
    <w:rsid w:val="008D4135"/>
    <w:rsid w:val="008D6BDC"/>
    <w:rsid w:val="008E0027"/>
    <w:rsid w:val="008E0C8C"/>
    <w:rsid w:val="008E0EDC"/>
    <w:rsid w:val="008E3D3A"/>
    <w:rsid w:val="008E4393"/>
    <w:rsid w:val="008E50E3"/>
    <w:rsid w:val="008E5875"/>
    <w:rsid w:val="008E77EF"/>
    <w:rsid w:val="008E7BA2"/>
    <w:rsid w:val="008E7EF9"/>
    <w:rsid w:val="008E7F50"/>
    <w:rsid w:val="008F03E7"/>
    <w:rsid w:val="008F1353"/>
    <w:rsid w:val="008F1B90"/>
    <w:rsid w:val="008F2097"/>
    <w:rsid w:val="008F2443"/>
    <w:rsid w:val="008F3153"/>
    <w:rsid w:val="008F48A4"/>
    <w:rsid w:val="008F4B43"/>
    <w:rsid w:val="008F57C7"/>
    <w:rsid w:val="008F5CFA"/>
    <w:rsid w:val="008F648E"/>
    <w:rsid w:val="008F68CE"/>
    <w:rsid w:val="008F7469"/>
    <w:rsid w:val="008F75DD"/>
    <w:rsid w:val="009003F5"/>
    <w:rsid w:val="00901B0C"/>
    <w:rsid w:val="00902D2D"/>
    <w:rsid w:val="00903CB2"/>
    <w:rsid w:val="0090415B"/>
    <w:rsid w:val="0090423E"/>
    <w:rsid w:val="009051CE"/>
    <w:rsid w:val="00905C99"/>
    <w:rsid w:val="009100B2"/>
    <w:rsid w:val="0091115A"/>
    <w:rsid w:val="00912AD6"/>
    <w:rsid w:val="009136B9"/>
    <w:rsid w:val="00914F14"/>
    <w:rsid w:val="009154E7"/>
    <w:rsid w:val="0091586A"/>
    <w:rsid w:val="00915E05"/>
    <w:rsid w:val="0091621D"/>
    <w:rsid w:val="00916F8E"/>
    <w:rsid w:val="00917699"/>
    <w:rsid w:val="00917F12"/>
    <w:rsid w:val="009202B7"/>
    <w:rsid w:val="00920806"/>
    <w:rsid w:val="00920B4F"/>
    <w:rsid w:val="00921073"/>
    <w:rsid w:val="0092109F"/>
    <w:rsid w:val="009213AD"/>
    <w:rsid w:val="0092203F"/>
    <w:rsid w:val="00922606"/>
    <w:rsid w:val="00922B31"/>
    <w:rsid w:val="0092344B"/>
    <w:rsid w:val="009246C2"/>
    <w:rsid w:val="00924E06"/>
    <w:rsid w:val="0092580D"/>
    <w:rsid w:val="009263BB"/>
    <w:rsid w:val="00927458"/>
    <w:rsid w:val="00927E85"/>
    <w:rsid w:val="0093060F"/>
    <w:rsid w:val="00930A4A"/>
    <w:rsid w:val="00932360"/>
    <w:rsid w:val="00932996"/>
    <w:rsid w:val="00933717"/>
    <w:rsid w:val="00933DC2"/>
    <w:rsid w:val="00934456"/>
    <w:rsid w:val="009356B1"/>
    <w:rsid w:val="0093634D"/>
    <w:rsid w:val="009365C6"/>
    <w:rsid w:val="00936D5E"/>
    <w:rsid w:val="0093726B"/>
    <w:rsid w:val="009372AE"/>
    <w:rsid w:val="00937794"/>
    <w:rsid w:val="00937808"/>
    <w:rsid w:val="0094136B"/>
    <w:rsid w:val="00942CED"/>
    <w:rsid w:val="00943751"/>
    <w:rsid w:val="00944592"/>
    <w:rsid w:val="009447DF"/>
    <w:rsid w:val="0095278D"/>
    <w:rsid w:val="00952810"/>
    <w:rsid w:val="00952E76"/>
    <w:rsid w:val="0095426C"/>
    <w:rsid w:val="00955867"/>
    <w:rsid w:val="00957137"/>
    <w:rsid w:val="009571F4"/>
    <w:rsid w:val="00957643"/>
    <w:rsid w:val="00957B55"/>
    <w:rsid w:val="00961259"/>
    <w:rsid w:val="009619B2"/>
    <w:rsid w:val="0096206E"/>
    <w:rsid w:val="00962125"/>
    <w:rsid w:val="00963617"/>
    <w:rsid w:val="00963CB4"/>
    <w:rsid w:val="00964284"/>
    <w:rsid w:val="00964443"/>
    <w:rsid w:val="00964513"/>
    <w:rsid w:val="009650AE"/>
    <w:rsid w:val="009655AD"/>
    <w:rsid w:val="00965A67"/>
    <w:rsid w:val="00966177"/>
    <w:rsid w:val="00971ACD"/>
    <w:rsid w:val="0097225D"/>
    <w:rsid w:val="00972D3F"/>
    <w:rsid w:val="00973A97"/>
    <w:rsid w:val="00974866"/>
    <w:rsid w:val="00974D1B"/>
    <w:rsid w:val="009753F6"/>
    <w:rsid w:val="0097540A"/>
    <w:rsid w:val="00975EB8"/>
    <w:rsid w:val="00976105"/>
    <w:rsid w:val="0097621C"/>
    <w:rsid w:val="0097729F"/>
    <w:rsid w:val="00977446"/>
    <w:rsid w:val="009807BD"/>
    <w:rsid w:val="00982A18"/>
    <w:rsid w:val="00982F49"/>
    <w:rsid w:val="00982F71"/>
    <w:rsid w:val="0098503B"/>
    <w:rsid w:val="00985891"/>
    <w:rsid w:val="00986A24"/>
    <w:rsid w:val="00986A3A"/>
    <w:rsid w:val="00987BB1"/>
    <w:rsid w:val="00990066"/>
    <w:rsid w:val="00990D34"/>
    <w:rsid w:val="0099109A"/>
    <w:rsid w:val="00991BC9"/>
    <w:rsid w:val="00991C84"/>
    <w:rsid w:val="00992357"/>
    <w:rsid w:val="00992616"/>
    <w:rsid w:val="00993171"/>
    <w:rsid w:val="0099363A"/>
    <w:rsid w:val="00994721"/>
    <w:rsid w:val="009949C7"/>
    <w:rsid w:val="009950CA"/>
    <w:rsid w:val="009951B5"/>
    <w:rsid w:val="0099558F"/>
    <w:rsid w:val="00995706"/>
    <w:rsid w:val="0099672A"/>
    <w:rsid w:val="00996F73"/>
    <w:rsid w:val="00997698"/>
    <w:rsid w:val="0099795F"/>
    <w:rsid w:val="009A064A"/>
    <w:rsid w:val="009A146F"/>
    <w:rsid w:val="009A14E5"/>
    <w:rsid w:val="009A1FF9"/>
    <w:rsid w:val="009A226C"/>
    <w:rsid w:val="009A27E7"/>
    <w:rsid w:val="009A2B29"/>
    <w:rsid w:val="009A31B0"/>
    <w:rsid w:val="009A3D21"/>
    <w:rsid w:val="009A4622"/>
    <w:rsid w:val="009A5410"/>
    <w:rsid w:val="009A5A25"/>
    <w:rsid w:val="009A7D72"/>
    <w:rsid w:val="009B0262"/>
    <w:rsid w:val="009B17CD"/>
    <w:rsid w:val="009B2511"/>
    <w:rsid w:val="009B2AF8"/>
    <w:rsid w:val="009B31D9"/>
    <w:rsid w:val="009B37F5"/>
    <w:rsid w:val="009B42C2"/>
    <w:rsid w:val="009B4323"/>
    <w:rsid w:val="009B52DA"/>
    <w:rsid w:val="009B6A41"/>
    <w:rsid w:val="009B73D3"/>
    <w:rsid w:val="009C00B1"/>
    <w:rsid w:val="009C00E2"/>
    <w:rsid w:val="009C04D1"/>
    <w:rsid w:val="009C0949"/>
    <w:rsid w:val="009C1945"/>
    <w:rsid w:val="009C1D72"/>
    <w:rsid w:val="009C27AB"/>
    <w:rsid w:val="009C38C7"/>
    <w:rsid w:val="009C4490"/>
    <w:rsid w:val="009C460A"/>
    <w:rsid w:val="009C47B2"/>
    <w:rsid w:val="009C4C94"/>
    <w:rsid w:val="009C52B7"/>
    <w:rsid w:val="009C5754"/>
    <w:rsid w:val="009C5AB8"/>
    <w:rsid w:val="009C73C3"/>
    <w:rsid w:val="009D01E3"/>
    <w:rsid w:val="009D166B"/>
    <w:rsid w:val="009D175A"/>
    <w:rsid w:val="009D2079"/>
    <w:rsid w:val="009D2B2D"/>
    <w:rsid w:val="009D2CE8"/>
    <w:rsid w:val="009D3781"/>
    <w:rsid w:val="009D40F5"/>
    <w:rsid w:val="009D5755"/>
    <w:rsid w:val="009D5C5B"/>
    <w:rsid w:val="009D6909"/>
    <w:rsid w:val="009D6EA6"/>
    <w:rsid w:val="009D7373"/>
    <w:rsid w:val="009E004C"/>
    <w:rsid w:val="009E0438"/>
    <w:rsid w:val="009E1B2E"/>
    <w:rsid w:val="009E1DD1"/>
    <w:rsid w:val="009E2201"/>
    <w:rsid w:val="009E22AB"/>
    <w:rsid w:val="009E2927"/>
    <w:rsid w:val="009E2A87"/>
    <w:rsid w:val="009E2DAC"/>
    <w:rsid w:val="009E2E49"/>
    <w:rsid w:val="009E30D6"/>
    <w:rsid w:val="009E3DC6"/>
    <w:rsid w:val="009E43FF"/>
    <w:rsid w:val="009E45BA"/>
    <w:rsid w:val="009E6975"/>
    <w:rsid w:val="009E69DC"/>
    <w:rsid w:val="009E76C7"/>
    <w:rsid w:val="009F05FC"/>
    <w:rsid w:val="009F0A42"/>
    <w:rsid w:val="009F10B0"/>
    <w:rsid w:val="009F10B8"/>
    <w:rsid w:val="009F15A5"/>
    <w:rsid w:val="009F19B6"/>
    <w:rsid w:val="009F2033"/>
    <w:rsid w:val="009F2577"/>
    <w:rsid w:val="009F2C01"/>
    <w:rsid w:val="009F30CC"/>
    <w:rsid w:val="009F3D7E"/>
    <w:rsid w:val="009F4038"/>
    <w:rsid w:val="009F4162"/>
    <w:rsid w:val="009F42C6"/>
    <w:rsid w:val="009F5242"/>
    <w:rsid w:val="009F57F6"/>
    <w:rsid w:val="009F5A39"/>
    <w:rsid w:val="009F5BD8"/>
    <w:rsid w:val="009F6163"/>
    <w:rsid w:val="009F6483"/>
    <w:rsid w:val="009F66B3"/>
    <w:rsid w:val="009F6B38"/>
    <w:rsid w:val="00A0020E"/>
    <w:rsid w:val="00A0078B"/>
    <w:rsid w:val="00A010C9"/>
    <w:rsid w:val="00A020E6"/>
    <w:rsid w:val="00A025FD"/>
    <w:rsid w:val="00A036BB"/>
    <w:rsid w:val="00A037C1"/>
    <w:rsid w:val="00A03DCA"/>
    <w:rsid w:val="00A04146"/>
    <w:rsid w:val="00A0564B"/>
    <w:rsid w:val="00A060BF"/>
    <w:rsid w:val="00A07407"/>
    <w:rsid w:val="00A0741B"/>
    <w:rsid w:val="00A0745B"/>
    <w:rsid w:val="00A07BBE"/>
    <w:rsid w:val="00A11752"/>
    <w:rsid w:val="00A12987"/>
    <w:rsid w:val="00A12C00"/>
    <w:rsid w:val="00A12DB5"/>
    <w:rsid w:val="00A1316B"/>
    <w:rsid w:val="00A13DBE"/>
    <w:rsid w:val="00A13DF4"/>
    <w:rsid w:val="00A13E52"/>
    <w:rsid w:val="00A14445"/>
    <w:rsid w:val="00A14CA5"/>
    <w:rsid w:val="00A14F0D"/>
    <w:rsid w:val="00A15401"/>
    <w:rsid w:val="00A15FA4"/>
    <w:rsid w:val="00A17547"/>
    <w:rsid w:val="00A2073C"/>
    <w:rsid w:val="00A21346"/>
    <w:rsid w:val="00A21FA1"/>
    <w:rsid w:val="00A22D76"/>
    <w:rsid w:val="00A23342"/>
    <w:rsid w:val="00A2406D"/>
    <w:rsid w:val="00A24BC3"/>
    <w:rsid w:val="00A24DC1"/>
    <w:rsid w:val="00A25766"/>
    <w:rsid w:val="00A25EC9"/>
    <w:rsid w:val="00A2672C"/>
    <w:rsid w:val="00A268CE"/>
    <w:rsid w:val="00A274C7"/>
    <w:rsid w:val="00A307C0"/>
    <w:rsid w:val="00A31B9B"/>
    <w:rsid w:val="00A3417C"/>
    <w:rsid w:val="00A346B8"/>
    <w:rsid w:val="00A34CF0"/>
    <w:rsid w:val="00A355D6"/>
    <w:rsid w:val="00A36006"/>
    <w:rsid w:val="00A3749D"/>
    <w:rsid w:val="00A416F9"/>
    <w:rsid w:val="00A428F1"/>
    <w:rsid w:val="00A42E1E"/>
    <w:rsid w:val="00A4384C"/>
    <w:rsid w:val="00A43C76"/>
    <w:rsid w:val="00A45B1F"/>
    <w:rsid w:val="00A45FFD"/>
    <w:rsid w:val="00A46380"/>
    <w:rsid w:val="00A478A9"/>
    <w:rsid w:val="00A501FF"/>
    <w:rsid w:val="00A509C4"/>
    <w:rsid w:val="00A51187"/>
    <w:rsid w:val="00A51F17"/>
    <w:rsid w:val="00A52061"/>
    <w:rsid w:val="00A52613"/>
    <w:rsid w:val="00A53F45"/>
    <w:rsid w:val="00A54572"/>
    <w:rsid w:val="00A56A61"/>
    <w:rsid w:val="00A56C17"/>
    <w:rsid w:val="00A57A00"/>
    <w:rsid w:val="00A57EC5"/>
    <w:rsid w:val="00A601B2"/>
    <w:rsid w:val="00A6192B"/>
    <w:rsid w:val="00A61B3D"/>
    <w:rsid w:val="00A627CB"/>
    <w:rsid w:val="00A65243"/>
    <w:rsid w:val="00A6592E"/>
    <w:rsid w:val="00A65B87"/>
    <w:rsid w:val="00A6611C"/>
    <w:rsid w:val="00A66372"/>
    <w:rsid w:val="00A6738A"/>
    <w:rsid w:val="00A708D1"/>
    <w:rsid w:val="00A72720"/>
    <w:rsid w:val="00A72E32"/>
    <w:rsid w:val="00A7314C"/>
    <w:rsid w:val="00A7358B"/>
    <w:rsid w:val="00A7487C"/>
    <w:rsid w:val="00A74FF0"/>
    <w:rsid w:val="00A75A4A"/>
    <w:rsid w:val="00A762B4"/>
    <w:rsid w:val="00A76453"/>
    <w:rsid w:val="00A766F1"/>
    <w:rsid w:val="00A77BB8"/>
    <w:rsid w:val="00A8014C"/>
    <w:rsid w:val="00A80BC5"/>
    <w:rsid w:val="00A80CEB"/>
    <w:rsid w:val="00A82D1F"/>
    <w:rsid w:val="00A83E50"/>
    <w:rsid w:val="00A8457A"/>
    <w:rsid w:val="00A851A6"/>
    <w:rsid w:val="00A86FE2"/>
    <w:rsid w:val="00A902CA"/>
    <w:rsid w:val="00A918E5"/>
    <w:rsid w:val="00A91E88"/>
    <w:rsid w:val="00A92569"/>
    <w:rsid w:val="00A9672D"/>
    <w:rsid w:val="00A96732"/>
    <w:rsid w:val="00AA03C5"/>
    <w:rsid w:val="00AA0580"/>
    <w:rsid w:val="00AA12E7"/>
    <w:rsid w:val="00AA1439"/>
    <w:rsid w:val="00AA1B8A"/>
    <w:rsid w:val="00AA1CC1"/>
    <w:rsid w:val="00AA1F9D"/>
    <w:rsid w:val="00AA34FF"/>
    <w:rsid w:val="00AA47FE"/>
    <w:rsid w:val="00AA5298"/>
    <w:rsid w:val="00AA609E"/>
    <w:rsid w:val="00AA6548"/>
    <w:rsid w:val="00AA6964"/>
    <w:rsid w:val="00AA71B4"/>
    <w:rsid w:val="00AA76E6"/>
    <w:rsid w:val="00AA7725"/>
    <w:rsid w:val="00AA7BCF"/>
    <w:rsid w:val="00AB0AAD"/>
    <w:rsid w:val="00AB113F"/>
    <w:rsid w:val="00AB13B1"/>
    <w:rsid w:val="00AB1AFE"/>
    <w:rsid w:val="00AB20D6"/>
    <w:rsid w:val="00AB210B"/>
    <w:rsid w:val="00AB26FA"/>
    <w:rsid w:val="00AB2C0B"/>
    <w:rsid w:val="00AB2CAC"/>
    <w:rsid w:val="00AB318A"/>
    <w:rsid w:val="00AB3B77"/>
    <w:rsid w:val="00AB40C6"/>
    <w:rsid w:val="00AB43EE"/>
    <w:rsid w:val="00AB48D2"/>
    <w:rsid w:val="00AB5682"/>
    <w:rsid w:val="00AB5E47"/>
    <w:rsid w:val="00AC0750"/>
    <w:rsid w:val="00AC22DD"/>
    <w:rsid w:val="00AC3CEC"/>
    <w:rsid w:val="00AC44F6"/>
    <w:rsid w:val="00AC4710"/>
    <w:rsid w:val="00AC4B72"/>
    <w:rsid w:val="00AC5CCE"/>
    <w:rsid w:val="00AC651C"/>
    <w:rsid w:val="00AC7E97"/>
    <w:rsid w:val="00AD0351"/>
    <w:rsid w:val="00AD07D7"/>
    <w:rsid w:val="00AD0C78"/>
    <w:rsid w:val="00AD0E7A"/>
    <w:rsid w:val="00AD105E"/>
    <w:rsid w:val="00AD1E3F"/>
    <w:rsid w:val="00AD2DB4"/>
    <w:rsid w:val="00AD30B7"/>
    <w:rsid w:val="00AD3D89"/>
    <w:rsid w:val="00AD490C"/>
    <w:rsid w:val="00AD5951"/>
    <w:rsid w:val="00AD72DD"/>
    <w:rsid w:val="00AD7564"/>
    <w:rsid w:val="00AD7CAD"/>
    <w:rsid w:val="00AE0C35"/>
    <w:rsid w:val="00AE1A88"/>
    <w:rsid w:val="00AE3ABD"/>
    <w:rsid w:val="00AE4601"/>
    <w:rsid w:val="00AE4894"/>
    <w:rsid w:val="00AE544A"/>
    <w:rsid w:val="00AE5950"/>
    <w:rsid w:val="00AE5A4F"/>
    <w:rsid w:val="00AE6924"/>
    <w:rsid w:val="00AE6BA3"/>
    <w:rsid w:val="00AE7340"/>
    <w:rsid w:val="00AE7781"/>
    <w:rsid w:val="00AE7980"/>
    <w:rsid w:val="00AE7F85"/>
    <w:rsid w:val="00AF135E"/>
    <w:rsid w:val="00AF188C"/>
    <w:rsid w:val="00AF1B82"/>
    <w:rsid w:val="00AF1BC5"/>
    <w:rsid w:val="00AF2887"/>
    <w:rsid w:val="00AF2F6D"/>
    <w:rsid w:val="00AF35CE"/>
    <w:rsid w:val="00AF3A2A"/>
    <w:rsid w:val="00AF3CD5"/>
    <w:rsid w:val="00AF3ED9"/>
    <w:rsid w:val="00AF6105"/>
    <w:rsid w:val="00AF6A3B"/>
    <w:rsid w:val="00AF7467"/>
    <w:rsid w:val="00AF77AC"/>
    <w:rsid w:val="00B00B97"/>
    <w:rsid w:val="00B00DD2"/>
    <w:rsid w:val="00B01B6D"/>
    <w:rsid w:val="00B025E0"/>
    <w:rsid w:val="00B027C0"/>
    <w:rsid w:val="00B041FD"/>
    <w:rsid w:val="00B047B5"/>
    <w:rsid w:val="00B04BD6"/>
    <w:rsid w:val="00B05F4F"/>
    <w:rsid w:val="00B060A8"/>
    <w:rsid w:val="00B06D3A"/>
    <w:rsid w:val="00B06F2F"/>
    <w:rsid w:val="00B06F6F"/>
    <w:rsid w:val="00B07355"/>
    <w:rsid w:val="00B079AF"/>
    <w:rsid w:val="00B07D67"/>
    <w:rsid w:val="00B10B45"/>
    <w:rsid w:val="00B10D19"/>
    <w:rsid w:val="00B11C2D"/>
    <w:rsid w:val="00B11E27"/>
    <w:rsid w:val="00B121AF"/>
    <w:rsid w:val="00B136E1"/>
    <w:rsid w:val="00B136FC"/>
    <w:rsid w:val="00B14112"/>
    <w:rsid w:val="00B14120"/>
    <w:rsid w:val="00B14758"/>
    <w:rsid w:val="00B1534C"/>
    <w:rsid w:val="00B158F6"/>
    <w:rsid w:val="00B1655B"/>
    <w:rsid w:val="00B172DC"/>
    <w:rsid w:val="00B176B7"/>
    <w:rsid w:val="00B176DD"/>
    <w:rsid w:val="00B20412"/>
    <w:rsid w:val="00B20EAB"/>
    <w:rsid w:val="00B223C5"/>
    <w:rsid w:val="00B22C07"/>
    <w:rsid w:val="00B233AA"/>
    <w:rsid w:val="00B23628"/>
    <w:rsid w:val="00B23718"/>
    <w:rsid w:val="00B24267"/>
    <w:rsid w:val="00B2438A"/>
    <w:rsid w:val="00B24CA7"/>
    <w:rsid w:val="00B26AE1"/>
    <w:rsid w:val="00B3009A"/>
    <w:rsid w:val="00B303C1"/>
    <w:rsid w:val="00B304E8"/>
    <w:rsid w:val="00B319AA"/>
    <w:rsid w:val="00B323EF"/>
    <w:rsid w:val="00B32F65"/>
    <w:rsid w:val="00B33854"/>
    <w:rsid w:val="00B33C85"/>
    <w:rsid w:val="00B33EE3"/>
    <w:rsid w:val="00B34414"/>
    <w:rsid w:val="00B35197"/>
    <w:rsid w:val="00B357C0"/>
    <w:rsid w:val="00B357E5"/>
    <w:rsid w:val="00B35F01"/>
    <w:rsid w:val="00B35F10"/>
    <w:rsid w:val="00B36463"/>
    <w:rsid w:val="00B36AC5"/>
    <w:rsid w:val="00B37746"/>
    <w:rsid w:val="00B3793B"/>
    <w:rsid w:val="00B40215"/>
    <w:rsid w:val="00B4206A"/>
    <w:rsid w:val="00B42F3E"/>
    <w:rsid w:val="00B43A7E"/>
    <w:rsid w:val="00B43ADA"/>
    <w:rsid w:val="00B43B45"/>
    <w:rsid w:val="00B43BE6"/>
    <w:rsid w:val="00B44063"/>
    <w:rsid w:val="00B4419B"/>
    <w:rsid w:val="00B45220"/>
    <w:rsid w:val="00B46ED6"/>
    <w:rsid w:val="00B47F4B"/>
    <w:rsid w:val="00B501FB"/>
    <w:rsid w:val="00B5090A"/>
    <w:rsid w:val="00B50F9E"/>
    <w:rsid w:val="00B53238"/>
    <w:rsid w:val="00B537A6"/>
    <w:rsid w:val="00B54292"/>
    <w:rsid w:val="00B546A3"/>
    <w:rsid w:val="00B54B07"/>
    <w:rsid w:val="00B5516D"/>
    <w:rsid w:val="00B5551A"/>
    <w:rsid w:val="00B559B7"/>
    <w:rsid w:val="00B55AD4"/>
    <w:rsid w:val="00B56024"/>
    <w:rsid w:val="00B56E48"/>
    <w:rsid w:val="00B57473"/>
    <w:rsid w:val="00B613BE"/>
    <w:rsid w:val="00B6246D"/>
    <w:rsid w:val="00B624F9"/>
    <w:rsid w:val="00B63D55"/>
    <w:rsid w:val="00B64D44"/>
    <w:rsid w:val="00B64F84"/>
    <w:rsid w:val="00B658F4"/>
    <w:rsid w:val="00B65BC6"/>
    <w:rsid w:val="00B65CF2"/>
    <w:rsid w:val="00B66257"/>
    <w:rsid w:val="00B66644"/>
    <w:rsid w:val="00B66FE6"/>
    <w:rsid w:val="00B70CC2"/>
    <w:rsid w:val="00B71C19"/>
    <w:rsid w:val="00B7214F"/>
    <w:rsid w:val="00B72266"/>
    <w:rsid w:val="00B72AD9"/>
    <w:rsid w:val="00B72CA3"/>
    <w:rsid w:val="00B72E70"/>
    <w:rsid w:val="00B7322A"/>
    <w:rsid w:val="00B73282"/>
    <w:rsid w:val="00B7431E"/>
    <w:rsid w:val="00B74334"/>
    <w:rsid w:val="00B74A5A"/>
    <w:rsid w:val="00B74D8D"/>
    <w:rsid w:val="00B75EBB"/>
    <w:rsid w:val="00B76009"/>
    <w:rsid w:val="00B766C5"/>
    <w:rsid w:val="00B778B2"/>
    <w:rsid w:val="00B778F6"/>
    <w:rsid w:val="00B8085B"/>
    <w:rsid w:val="00B81241"/>
    <w:rsid w:val="00B812AD"/>
    <w:rsid w:val="00B81B86"/>
    <w:rsid w:val="00B84086"/>
    <w:rsid w:val="00B869FE"/>
    <w:rsid w:val="00B870CA"/>
    <w:rsid w:val="00B871CF"/>
    <w:rsid w:val="00B90528"/>
    <w:rsid w:val="00B90820"/>
    <w:rsid w:val="00B90940"/>
    <w:rsid w:val="00B90F07"/>
    <w:rsid w:val="00B92753"/>
    <w:rsid w:val="00B93576"/>
    <w:rsid w:val="00B94016"/>
    <w:rsid w:val="00B95BF3"/>
    <w:rsid w:val="00B95D9A"/>
    <w:rsid w:val="00B97C16"/>
    <w:rsid w:val="00B97F6D"/>
    <w:rsid w:val="00BA22A8"/>
    <w:rsid w:val="00BA2366"/>
    <w:rsid w:val="00BA3C8D"/>
    <w:rsid w:val="00BA4408"/>
    <w:rsid w:val="00BA4486"/>
    <w:rsid w:val="00BA55CF"/>
    <w:rsid w:val="00BA56CC"/>
    <w:rsid w:val="00BA56DD"/>
    <w:rsid w:val="00BA5AFA"/>
    <w:rsid w:val="00BA5E3E"/>
    <w:rsid w:val="00BA68E0"/>
    <w:rsid w:val="00BB0355"/>
    <w:rsid w:val="00BB0D55"/>
    <w:rsid w:val="00BB1C2A"/>
    <w:rsid w:val="00BB1C40"/>
    <w:rsid w:val="00BB29C3"/>
    <w:rsid w:val="00BB35B3"/>
    <w:rsid w:val="00BB36CA"/>
    <w:rsid w:val="00BB3B38"/>
    <w:rsid w:val="00BB4A46"/>
    <w:rsid w:val="00BB4C4A"/>
    <w:rsid w:val="00BB5069"/>
    <w:rsid w:val="00BB6314"/>
    <w:rsid w:val="00BB6F5D"/>
    <w:rsid w:val="00BB7116"/>
    <w:rsid w:val="00BB7B9E"/>
    <w:rsid w:val="00BB7BDA"/>
    <w:rsid w:val="00BC13D2"/>
    <w:rsid w:val="00BC22C8"/>
    <w:rsid w:val="00BC335C"/>
    <w:rsid w:val="00BC37B2"/>
    <w:rsid w:val="00BC46BD"/>
    <w:rsid w:val="00BC5078"/>
    <w:rsid w:val="00BC51D9"/>
    <w:rsid w:val="00BC5DD3"/>
    <w:rsid w:val="00BC70F4"/>
    <w:rsid w:val="00BC779D"/>
    <w:rsid w:val="00BC7DC0"/>
    <w:rsid w:val="00BD0923"/>
    <w:rsid w:val="00BD13CE"/>
    <w:rsid w:val="00BD16EE"/>
    <w:rsid w:val="00BD1CE5"/>
    <w:rsid w:val="00BD1D79"/>
    <w:rsid w:val="00BD206F"/>
    <w:rsid w:val="00BD3BD0"/>
    <w:rsid w:val="00BD471C"/>
    <w:rsid w:val="00BD47FA"/>
    <w:rsid w:val="00BD57D8"/>
    <w:rsid w:val="00BD58A9"/>
    <w:rsid w:val="00BD5E4C"/>
    <w:rsid w:val="00BD5F79"/>
    <w:rsid w:val="00BD5FCB"/>
    <w:rsid w:val="00BD67AC"/>
    <w:rsid w:val="00BD75A1"/>
    <w:rsid w:val="00BE0107"/>
    <w:rsid w:val="00BE0911"/>
    <w:rsid w:val="00BE0AA6"/>
    <w:rsid w:val="00BE100E"/>
    <w:rsid w:val="00BE1701"/>
    <w:rsid w:val="00BE17E2"/>
    <w:rsid w:val="00BE209E"/>
    <w:rsid w:val="00BE21CD"/>
    <w:rsid w:val="00BE46FC"/>
    <w:rsid w:val="00BE4D0E"/>
    <w:rsid w:val="00BE4FD3"/>
    <w:rsid w:val="00BE52C2"/>
    <w:rsid w:val="00BE5F48"/>
    <w:rsid w:val="00BE68B6"/>
    <w:rsid w:val="00BE75DA"/>
    <w:rsid w:val="00BE7615"/>
    <w:rsid w:val="00BF00C5"/>
    <w:rsid w:val="00BF01D6"/>
    <w:rsid w:val="00BF0811"/>
    <w:rsid w:val="00BF0848"/>
    <w:rsid w:val="00BF0BA8"/>
    <w:rsid w:val="00BF2287"/>
    <w:rsid w:val="00BF2517"/>
    <w:rsid w:val="00BF2F03"/>
    <w:rsid w:val="00BF41F2"/>
    <w:rsid w:val="00BF5CB1"/>
    <w:rsid w:val="00BF6C24"/>
    <w:rsid w:val="00BF6C7A"/>
    <w:rsid w:val="00BF6DB9"/>
    <w:rsid w:val="00BF7000"/>
    <w:rsid w:val="00BF7829"/>
    <w:rsid w:val="00BF7F7C"/>
    <w:rsid w:val="00C008E9"/>
    <w:rsid w:val="00C015AD"/>
    <w:rsid w:val="00C022E9"/>
    <w:rsid w:val="00C0233B"/>
    <w:rsid w:val="00C02B03"/>
    <w:rsid w:val="00C0305F"/>
    <w:rsid w:val="00C036A1"/>
    <w:rsid w:val="00C0462F"/>
    <w:rsid w:val="00C05596"/>
    <w:rsid w:val="00C05657"/>
    <w:rsid w:val="00C05AC7"/>
    <w:rsid w:val="00C05C65"/>
    <w:rsid w:val="00C05F75"/>
    <w:rsid w:val="00C061E8"/>
    <w:rsid w:val="00C06E25"/>
    <w:rsid w:val="00C0723B"/>
    <w:rsid w:val="00C0748C"/>
    <w:rsid w:val="00C074DA"/>
    <w:rsid w:val="00C11BB3"/>
    <w:rsid w:val="00C11BC8"/>
    <w:rsid w:val="00C11BE4"/>
    <w:rsid w:val="00C11D0F"/>
    <w:rsid w:val="00C13B8C"/>
    <w:rsid w:val="00C141EF"/>
    <w:rsid w:val="00C15B7F"/>
    <w:rsid w:val="00C16EBE"/>
    <w:rsid w:val="00C17652"/>
    <w:rsid w:val="00C17A9A"/>
    <w:rsid w:val="00C17B87"/>
    <w:rsid w:val="00C20ECA"/>
    <w:rsid w:val="00C20F62"/>
    <w:rsid w:val="00C2164F"/>
    <w:rsid w:val="00C2304C"/>
    <w:rsid w:val="00C23365"/>
    <w:rsid w:val="00C2345E"/>
    <w:rsid w:val="00C249F5"/>
    <w:rsid w:val="00C24CBD"/>
    <w:rsid w:val="00C24FBC"/>
    <w:rsid w:val="00C25B10"/>
    <w:rsid w:val="00C25C13"/>
    <w:rsid w:val="00C25F23"/>
    <w:rsid w:val="00C25F8A"/>
    <w:rsid w:val="00C268AE"/>
    <w:rsid w:val="00C27896"/>
    <w:rsid w:val="00C27C62"/>
    <w:rsid w:val="00C30D53"/>
    <w:rsid w:val="00C31FFB"/>
    <w:rsid w:val="00C32EC0"/>
    <w:rsid w:val="00C33333"/>
    <w:rsid w:val="00C33AF7"/>
    <w:rsid w:val="00C33F27"/>
    <w:rsid w:val="00C34CD2"/>
    <w:rsid w:val="00C3533F"/>
    <w:rsid w:val="00C35B85"/>
    <w:rsid w:val="00C363B1"/>
    <w:rsid w:val="00C36767"/>
    <w:rsid w:val="00C37E33"/>
    <w:rsid w:val="00C40424"/>
    <w:rsid w:val="00C41478"/>
    <w:rsid w:val="00C41661"/>
    <w:rsid w:val="00C41EB7"/>
    <w:rsid w:val="00C429B1"/>
    <w:rsid w:val="00C429F2"/>
    <w:rsid w:val="00C4308E"/>
    <w:rsid w:val="00C437C8"/>
    <w:rsid w:val="00C43B5D"/>
    <w:rsid w:val="00C44B3F"/>
    <w:rsid w:val="00C45503"/>
    <w:rsid w:val="00C45A6B"/>
    <w:rsid w:val="00C45C77"/>
    <w:rsid w:val="00C45F2A"/>
    <w:rsid w:val="00C46039"/>
    <w:rsid w:val="00C46971"/>
    <w:rsid w:val="00C469A5"/>
    <w:rsid w:val="00C47118"/>
    <w:rsid w:val="00C5013E"/>
    <w:rsid w:val="00C50573"/>
    <w:rsid w:val="00C509DB"/>
    <w:rsid w:val="00C50B53"/>
    <w:rsid w:val="00C513F0"/>
    <w:rsid w:val="00C51AAC"/>
    <w:rsid w:val="00C51BA7"/>
    <w:rsid w:val="00C529DB"/>
    <w:rsid w:val="00C53338"/>
    <w:rsid w:val="00C534B5"/>
    <w:rsid w:val="00C542BE"/>
    <w:rsid w:val="00C54586"/>
    <w:rsid w:val="00C5462A"/>
    <w:rsid w:val="00C5473D"/>
    <w:rsid w:val="00C54DDD"/>
    <w:rsid w:val="00C54E6D"/>
    <w:rsid w:val="00C551C2"/>
    <w:rsid w:val="00C55840"/>
    <w:rsid w:val="00C55A83"/>
    <w:rsid w:val="00C55E9A"/>
    <w:rsid w:val="00C56F68"/>
    <w:rsid w:val="00C570CA"/>
    <w:rsid w:val="00C57A1D"/>
    <w:rsid w:val="00C61880"/>
    <w:rsid w:val="00C618C7"/>
    <w:rsid w:val="00C61A39"/>
    <w:rsid w:val="00C61F1D"/>
    <w:rsid w:val="00C62041"/>
    <w:rsid w:val="00C62355"/>
    <w:rsid w:val="00C62EE6"/>
    <w:rsid w:val="00C632E8"/>
    <w:rsid w:val="00C642F5"/>
    <w:rsid w:val="00C6475A"/>
    <w:rsid w:val="00C659F0"/>
    <w:rsid w:val="00C65A32"/>
    <w:rsid w:val="00C66E6B"/>
    <w:rsid w:val="00C66FB1"/>
    <w:rsid w:val="00C71C3B"/>
    <w:rsid w:val="00C72138"/>
    <w:rsid w:val="00C7224A"/>
    <w:rsid w:val="00C723B4"/>
    <w:rsid w:val="00C7240D"/>
    <w:rsid w:val="00C72E1C"/>
    <w:rsid w:val="00C74555"/>
    <w:rsid w:val="00C756C0"/>
    <w:rsid w:val="00C75717"/>
    <w:rsid w:val="00C75BF4"/>
    <w:rsid w:val="00C76036"/>
    <w:rsid w:val="00C765F7"/>
    <w:rsid w:val="00C76AC2"/>
    <w:rsid w:val="00C76E00"/>
    <w:rsid w:val="00C77217"/>
    <w:rsid w:val="00C772EF"/>
    <w:rsid w:val="00C80187"/>
    <w:rsid w:val="00C8067E"/>
    <w:rsid w:val="00C824D3"/>
    <w:rsid w:val="00C8269B"/>
    <w:rsid w:val="00C836F9"/>
    <w:rsid w:val="00C837D8"/>
    <w:rsid w:val="00C83E84"/>
    <w:rsid w:val="00C8408C"/>
    <w:rsid w:val="00C84B4A"/>
    <w:rsid w:val="00C8510A"/>
    <w:rsid w:val="00C85E18"/>
    <w:rsid w:val="00C86311"/>
    <w:rsid w:val="00C864ED"/>
    <w:rsid w:val="00C86A97"/>
    <w:rsid w:val="00C86C90"/>
    <w:rsid w:val="00C86FE6"/>
    <w:rsid w:val="00C87606"/>
    <w:rsid w:val="00C87A52"/>
    <w:rsid w:val="00C87F00"/>
    <w:rsid w:val="00C87F4B"/>
    <w:rsid w:val="00C90154"/>
    <w:rsid w:val="00C90C7D"/>
    <w:rsid w:val="00C913EF"/>
    <w:rsid w:val="00C91E36"/>
    <w:rsid w:val="00C933B4"/>
    <w:rsid w:val="00C94110"/>
    <w:rsid w:val="00C9478C"/>
    <w:rsid w:val="00C958C4"/>
    <w:rsid w:val="00C95EEE"/>
    <w:rsid w:val="00C9625C"/>
    <w:rsid w:val="00C96311"/>
    <w:rsid w:val="00C9730A"/>
    <w:rsid w:val="00CA06D1"/>
    <w:rsid w:val="00CA0C66"/>
    <w:rsid w:val="00CA0DF5"/>
    <w:rsid w:val="00CA1B2D"/>
    <w:rsid w:val="00CA237D"/>
    <w:rsid w:val="00CA40F7"/>
    <w:rsid w:val="00CA41DB"/>
    <w:rsid w:val="00CB15CC"/>
    <w:rsid w:val="00CB1897"/>
    <w:rsid w:val="00CB1DCE"/>
    <w:rsid w:val="00CB25B3"/>
    <w:rsid w:val="00CB3644"/>
    <w:rsid w:val="00CB47C7"/>
    <w:rsid w:val="00CB497D"/>
    <w:rsid w:val="00CB4CB5"/>
    <w:rsid w:val="00CB5794"/>
    <w:rsid w:val="00CB5EB3"/>
    <w:rsid w:val="00CB7036"/>
    <w:rsid w:val="00CC00F1"/>
    <w:rsid w:val="00CC0F73"/>
    <w:rsid w:val="00CC1665"/>
    <w:rsid w:val="00CC2217"/>
    <w:rsid w:val="00CC32F7"/>
    <w:rsid w:val="00CC3C3E"/>
    <w:rsid w:val="00CC3EF5"/>
    <w:rsid w:val="00CC3F3C"/>
    <w:rsid w:val="00CC428F"/>
    <w:rsid w:val="00CC532C"/>
    <w:rsid w:val="00CC690F"/>
    <w:rsid w:val="00CC70AD"/>
    <w:rsid w:val="00CC7959"/>
    <w:rsid w:val="00CD09E2"/>
    <w:rsid w:val="00CD0E24"/>
    <w:rsid w:val="00CD2355"/>
    <w:rsid w:val="00CD238C"/>
    <w:rsid w:val="00CD5831"/>
    <w:rsid w:val="00CD735E"/>
    <w:rsid w:val="00CE08D0"/>
    <w:rsid w:val="00CE0DCA"/>
    <w:rsid w:val="00CE0E85"/>
    <w:rsid w:val="00CE2900"/>
    <w:rsid w:val="00CE30C8"/>
    <w:rsid w:val="00CE4D95"/>
    <w:rsid w:val="00CE50A6"/>
    <w:rsid w:val="00CE64B1"/>
    <w:rsid w:val="00CE71BE"/>
    <w:rsid w:val="00CE7223"/>
    <w:rsid w:val="00CF0D16"/>
    <w:rsid w:val="00CF148A"/>
    <w:rsid w:val="00CF1DC2"/>
    <w:rsid w:val="00CF20B3"/>
    <w:rsid w:val="00CF23A5"/>
    <w:rsid w:val="00CF2B24"/>
    <w:rsid w:val="00CF2F20"/>
    <w:rsid w:val="00CF33C9"/>
    <w:rsid w:val="00CF363A"/>
    <w:rsid w:val="00CF3814"/>
    <w:rsid w:val="00CF5202"/>
    <w:rsid w:val="00CF6CF1"/>
    <w:rsid w:val="00CF7489"/>
    <w:rsid w:val="00CF79EE"/>
    <w:rsid w:val="00D002D0"/>
    <w:rsid w:val="00D00730"/>
    <w:rsid w:val="00D0096D"/>
    <w:rsid w:val="00D01179"/>
    <w:rsid w:val="00D02039"/>
    <w:rsid w:val="00D0245F"/>
    <w:rsid w:val="00D03988"/>
    <w:rsid w:val="00D05A9B"/>
    <w:rsid w:val="00D06B4A"/>
    <w:rsid w:val="00D10894"/>
    <w:rsid w:val="00D10D5E"/>
    <w:rsid w:val="00D1179A"/>
    <w:rsid w:val="00D11DD1"/>
    <w:rsid w:val="00D11F1B"/>
    <w:rsid w:val="00D12776"/>
    <w:rsid w:val="00D127F9"/>
    <w:rsid w:val="00D12964"/>
    <w:rsid w:val="00D12B32"/>
    <w:rsid w:val="00D12EA2"/>
    <w:rsid w:val="00D141A8"/>
    <w:rsid w:val="00D14EB6"/>
    <w:rsid w:val="00D157A5"/>
    <w:rsid w:val="00D15ACF"/>
    <w:rsid w:val="00D15D0E"/>
    <w:rsid w:val="00D1600D"/>
    <w:rsid w:val="00D16975"/>
    <w:rsid w:val="00D16AAE"/>
    <w:rsid w:val="00D16BE8"/>
    <w:rsid w:val="00D17797"/>
    <w:rsid w:val="00D177CA"/>
    <w:rsid w:val="00D17968"/>
    <w:rsid w:val="00D2002D"/>
    <w:rsid w:val="00D2067C"/>
    <w:rsid w:val="00D206F9"/>
    <w:rsid w:val="00D215EE"/>
    <w:rsid w:val="00D216A8"/>
    <w:rsid w:val="00D21D24"/>
    <w:rsid w:val="00D22094"/>
    <w:rsid w:val="00D2296A"/>
    <w:rsid w:val="00D22E21"/>
    <w:rsid w:val="00D24E1C"/>
    <w:rsid w:val="00D25847"/>
    <w:rsid w:val="00D26881"/>
    <w:rsid w:val="00D26D8F"/>
    <w:rsid w:val="00D278D6"/>
    <w:rsid w:val="00D3069A"/>
    <w:rsid w:val="00D30F4E"/>
    <w:rsid w:val="00D3213F"/>
    <w:rsid w:val="00D3227E"/>
    <w:rsid w:val="00D32656"/>
    <w:rsid w:val="00D33835"/>
    <w:rsid w:val="00D3478F"/>
    <w:rsid w:val="00D34CB0"/>
    <w:rsid w:val="00D35633"/>
    <w:rsid w:val="00D3606D"/>
    <w:rsid w:val="00D36519"/>
    <w:rsid w:val="00D36CB4"/>
    <w:rsid w:val="00D37AF6"/>
    <w:rsid w:val="00D37FF2"/>
    <w:rsid w:val="00D407CE"/>
    <w:rsid w:val="00D40877"/>
    <w:rsid w:val="00D4122B"/>
    <w:rsid w:val="00D44DC6"/>
    <w:rsid w:val="00D4500C"/>
    <w:rsid w:val="00D50F75"/>
    <w:rsid w:val="00D51245"/>
    <w:rsid w:val="00D51B3E"/>
    <w:rsid w:val="00D5222D"/>
    <w:rsid w:val="00D533CA"/>
    <w:rsid w:val="00D55947"/>
    <w:rsid w:val="00D5690B"/>
    <w:rsid w:val="00D56A3F"/>
    <w:rsid w:val="00D56EE2"/>
    <w:rsid w:val="00D57046"/>
    <w:rsid w:val="00D575AA"/>
    <w:rsid w:val="00D57D33"/>
    <w:rsid w:val="00D60ED2"/>
    <w:rsid w:val="00D61AFF"/>
    <w:rsid w:val="00D6230C"/>
    <w:rsid w:val="00D63004"/>
    <w:rsid w:val="00D64642"/>
    <w:rsid w:val="00D6465E"/>
    <w:rsid w:val="00D650BB"/>
    <w:rsid w:val="00D65299"/>
    <w:rsid w:val="00D65D34"/>
    <w:rsid w:val="00D6772E"/>
    <w:rsid w:val="00D71BC0"/>
    <w:rsid w:val="00D72076"/>
    <w:rsid w:val="00D7270B"/>
    <w:rsid w:val="00D727DF"/>
    <w:rsid w:val="00D7323B"/>
    <w:rsid w:val="00D75368"/>
    <w:rsid w:val="00D76579"/>
    <w:rsid w:val="00D7696C"/>
    <w:rsid w:val="00D76E4B"/>
    <w:rsid w:val="00D77514"/>
    <w:rsid w:val="00D77A0D"/>
    <w:rsid w:val="00D77DA2"/>
    <w:rsid w:val="00D80227"/>
    <w:rsid w:val="00D80ACB"/>
    <w:rsid w:val="00D81511"/>
    <w:rsid w:val="00D81790"/>
    <w:rsid w:val="00D8266B"/>
    <w:rsid w:val="00D832C0"/>
    <w:rsid w:val="00D83B41"/>
    <w:rsid w:val="00D84213"/>
    <w:rsid w:val="00D853F3"/>
    <w:rsid w:val="00D85EEE"/>
    <w:rsid w:val="00D86FE8"/>
    <w:rsid w:val="00D915B1"/>
    <w:rsid w:val="00D91828"/>
    <w:rsid w:val="00D91898"/>
    <w:rsid w:val="00D91F7E"/>
    <w:rsid w:val="00D92A5E"/>
    <w:rsid w:val="00D93160"/>
    <w:rsid w:val="00D932A0"/>
    <w:rsid w:val="00D9356A"/>
    <w:rsid w:val="00D93AB6"/>
    <w:rsid w:val="00D93BB1"/>
    <w:rsid w:val="00D94844"/>
    <w:rsid w:val="00D95A17"/>
    <w:rsid w:val="00D95B81"/>
    <w:rsid w:val="00D95E74"/>
    <w:rsid w:val="00D971EF"/>
    <w:rsid w:val="00DA0F7A"/>
    <w:rsid w:val="00DA17E4"/>
    <w:rsid w:val="00DA3557"/>
    <w:rsid w:val="00DA4B6C"/>
    <w:rsid w:val="00DA572A"/>
    <w:rsid w:val="00DA5B2F"/>
    <w:rsid w:val="00DA615C"/>
    <w:rsid w:val="00DA747E"/>
    <w:rsid w:val="00DA78D8"/>
    <w:rsid w:val="00DA7C1B"/>
    <w:rsid w:val="00DB0A59"/>
    <w:rsid w:val="00DB0C57"/>
    <w:rsid w:val="00DB1439"/>
    <w:rsid w:val="00DB1582"/>
    <w:rsid w:val="00DB2545"/>
    <w:rsid w:val="00DB37BA"/>
    <w:rsid w:val="00DB3E97"/>
    <w:rsid w:val="00DB5F0F"/>
    <w:rsid w:val="00DB6441"/>
    <w:rsid w:val="00DB6465"/>
    <w:rsid w:val="00DB6583"/>
    <w:rsid w:val="00DB6E9C"/>
    <w:rsid w:val="00DB7E0D"/>
    <w:rsid w:val="00DC0D21"/>
    <w:rsid w:val="00DC119C"/>
    <w:rsid w:val="00DC2530"/>
    <w:rsid w:val="00DC2C72"/>
    <w:rsid w:val="00DC421A"/>
    <w:rsid w:val="00DC438C"/>
    <w:rsid w:val="00DC45C6"/>
    <w:rsid w:val="00DC4AE7"/>
    <w:rsid w:val="00DC53E4"/>
    <w:rsid w:val="00DC5C6B"/>
    <w:rsid w:val="00DC6247"/>
    <w:rsid w:val="00DC6C46"/>
    <w:rsid w:val="00DC7980"/>
    <w:rsid w:val="00DC7B3E"/>
    <w:rsid w:val="00DD00DF"/>
    <w:rsid w:val="00DD0372"/>
    <w:rsid w:val="00DD0DD2"/>
    <w:rsid w:val="00DD11E6"/>
    <w:rsid w:val="00DD1A86"/>
    <w:rsid w:val="00DD3EAF"/>
    <w:rsid w:val="00DD433A"/>
    <w:rsid w:val="00DD43F7"/>
    <w:rsid w:val="00DD4C65"/>
    <w:rsid w:val="00DD4FA0"/>
    <w:rsid w:val="00DD56D0"/>
    <w:rsid w:val="00DD7941"/>
    <w:rsid w:val="00DD7A81"/>
    <w:rsid w:val="00DE0531"/>
    <w:rsid w:val="00DE105F"/>
    <w:rsid w:val="00DE1D6A"/>
    <w:rsid w:val="00DE227C"/>
    <w:rsid w:val="00DE2FB5"/>
    <w:rsid w:val="00DE32B3"/>
    <w:rsid w:val="00DE32EE"/>
    <w:rsid w:val="00DE3A8D"/>
    <w:rsid w:val="00DE3C33"/>
    <w:rsid w:val="00DE3CFF"/>
    <w:rsid w:val="00DE5696"/>
    <w:rsid w:val="00DE5B84"/>
    <w:rsid w:val="00DE5EF9"/>
    <w:rsid w:val="00DE5FBC"/>
    <w:rsid w:val="00DE6EA8"/>
    <w:rsid w:val="00DE73BC"/>
    <w:rsid w:val="00DE7BC2"/>
    <w:rsid w:val="00DF1157"/>
    <w:rsid w:val="00DF29D8"/>
    <w:rsid w:val="00DF30EB"/>
    <w:rsid w:val="00DF423A"/>
    <w:rsid w:val="00DF4257"/>
    <w:rsid w:val="00DF4F57"/>
    <w:rsid w:val="00DF50FD"/>
    <w:rsid w:val="00DF68CD"/>
    <w:rsid w:val="00DF7125"/>
    <w:rsid w:val="00E00606"/>
    <w:rsid w:val="00E00BE5"/>
    <w:rsid w:val="00E015BD"/>
    <w:rsid w:val="00E01818"/>
    <w:rsid w:val="00E03835"/>
    <w:rsid w:val="00E039EE"/>
    <w:rsid w:val="00E03B72"/>
    <w:rsid w:val="00E04115"/>
    <w:rsid w:val="00E04896"/>
    <w:rsid w:val="00E0494A"/>
    <w:rsid w:val="00E05EE2"/>
    <w:rsid w:val="00E05F15"/>
    <w:rsid w:val="00E05FE2"/>
    <w:rsid w:val="00E108AD"/>
    <w:rsid w:val="00E10961"/>
    <w:rsid w:val="00E117D3"/>
    <w:rsid w:val="00E11B67"/>
    <w:rsid w:val="00E12D0A"/>
    <w:rsid w:val="00E12FF7"/>
    <w:rsid w:val="00E13835"/>
    <w:rsid w:val="00E15B14"/>
    <w:rsid w:val="00E16777"/>
    <w:rsid w:val="00E17D5C"/>
    <w:rsid w:val="00E209B7"/>
    <w:rsid w:val="00E21780"/>
    <w:rsid w:val="00E22E3F"/>
    <w:rsid w:val="00E23004"/>
    <w:rsid w:val="00E24850"/>
    <w:rsid w:val="00E2553C"/>
    <w:rsid w:val="00E258D5"/>
    <w:rsid w:val="00E25C53"/>
    <w:rsid w:val="00E27CCE"/>
    <w:rsid w:val="00E30CFB"/>
    <w:rsid w:val="00E31596"/>
    <w:rsid w:val="00E315E5"/>
    <w:rsid w:val="00E31F4D"/>
    <w:rsid w:val="00E3205C"/>
    <w:rsid w:val="00E3272C"/>
    <w:rsid w:val="00E32C40"/>
    <w:rsid w:val="00E33C53"/>
    <w:rsid w:val="00E3407D"/>
    <w:rsid w:val="00E34298"/>
    <w:rsid w:val="00E34B74"/>
    <w:rsid w:val="00E34CC4"/>
    <w:rsid w:val="00E352E2"/>
    <w:rsid w:val="00E353A3"/>
    <w:rsid w:val="00E353EA"/>
    <w:rsid w:val="00E3603A"/>
    <w:rsid w:val="00E401EC"/>
    <w:rsid w:val="00E40B7C"/>
    <w:rsid w:val="00E40C9E"/>
    <w:rsid w:val="00E41A62"/>
    <w:rsid w:val="00E41B18"/>
    <w:rsid w:val="00E42791"/>
    <w:rsid w:val="00E42800"/>
    <w:rsid w:val="00E42840"/>
    <w:rsid w:val="00E4288A"/>
    <w:rsid w:val="00E42ECE"/>
    <w:rsid w:val="00E44574"/>
    <w:rsid w:val="00E44A20"/>
    <w:rsid w:val="00E515F3"/>
    <w:rsid w:val="00E51728"/>
    <w:rsid w:val="00E517AD"/>
    <w:rsid w:val="00E52984"/>
    <w:rsid w:val="00E52A92"/>
    <w:rsid w:val="00E5452F"/>
    <w:rsid w:val="00E5455E"/>
    <w:rsid w:val="00E54A1F"/>
    <w:rsid w:val="00E56474"/>
    <w:rsid w:val="00E5670B"/>
    <w:rsid w:val="00E56B08"/>
    <w:rsid w:val="00E57560"/>
    <w:rsid w:val="00E579B6"/>
    <w:rsid w:val="00E57E8F"/>
    <w:rsid w:val="00E6058F"/>
    <w:rsid w:val="00E60DAD"/>
    <w:rsid w:val="00E6259C"/>
    <w:rsid w:val="00E62D65"/>
    <w:rsid w:val="00E62FBF"/>
    <w:rsid w:val="00E63BA0"/>
    <w:rsid w:val="00E63D47"/>
    <w:rsid w:val="00E63E4A"/>
    <w:rsid w:val="00E65596"/>
    <w:rsid w:val="00E66140"/>
    <w:rsid w:val="00E667F8"/>
    <w:rsid w:val="00E66B23"/>
    <w:rsid w:val="00E67A32"/>
    <w:rsid w:val="00E67B21"/>
    <w:rsid w:val="00E67F49"/>
    <w:rsid w:val="00E70B59"/>
    <w:rsid w:val="00E710AE"/>
    <w:rsid w:val="00E71495"/>
    <w:rsid w:val="00E72135"/>
    <w:rsid w:val="00E72554"/>
    <w:rsid w:val="00E72848"/>
    <w:rsid w:val="00E72FE5"/>
    <w:rsid w:val="00E73092"/>
    <w:rsid w:val="00E76237"/>
    <w:rsid w:val="00E76CBE"/>
    <w:rsid w:val="00E77044"/>
    <w:rsid w:val="00E772F7"/>
    <w:rsid w:val="00E77B34"/>
    <w:rsid w:val="00E80AF1"/>
    <w:rsid w:val="00E80D9F"/>
    <w:rsid w:val="00E80ECC"/>
    <w:rsid w:val="00E81ECC"/>
    <w:rsid w:val="00E82661"/>
    <w:rsid w:val="00E8270B"/>
    <w:rsid w:val="00E83C97"/>
    <w:rsid w:val="00E86444"/>
    <w:rsid w:val="00E86D3C"/>
    <w:rsid w:val="00E86E6B"/>
    <w:rsid w:val="00E87668"/>
    <w:rsid w:val="00E90376"/>
    <w:rsid w:val="00E906F0"/>
    <w:rsid w:val="00E90AF9"/>
    <w:rsid w:val="00E90CAC"/>
    <w:rsid w:val="00E91ABC"/>
    <w:rsid w:val="00E92676"/>
    <w:rsid w:val="00E92DBA"/>
    <w:rsid w:val="00E93B6F"/>
    <w:rsid w:val="00E9400B"/>
    <w:rsid w:val="00E94B31"/>
    <w:rsid w:val="00E95285"/>
    <w:rsid w:val="00E953F4"/>
    <w:rsid w:val="00E95A25"/>
    <w:rsid w:val="00E95D8B"/>
    <w:rsid w:val="00E95E2E"/>
    <w:rsid w:val="00E961BF"/>
    <w:rsid w:val="00E96A40"/>
    <w:rsid w:val="00E97709"/>
    <w:rsid w:val="00E97A08"/>
    <w:rsid w:val="00E97BBC"/>
    <w:rsid w:val="00E97F4D"/>
    <w:rsid w:val="00EA0CFE"/>
    <w:rsid w:val="00EA1541"/>
    <w:rsid w:val="00EA17C2"/>
    <w:rsid w:val="00EA2B4D"/>
    <w:rsid w:val="00EA33B2"/>
    <w:rsid w:val="00EA3965"/>
    <w:rsid w:val="00EA4720"/>
    <w:rsid w:val="00EA52A1"/>
    <w:rsid w:val="00EA5673"/>
    <w:rsid w:val="00EA5777"/>
    <w:rsid w:val="00EA5C71"/>
    <w:rsid w:val="00EA5FD3"/>
    <w:rsid w:val="00EA64E6"/>
    <w:rsid w:val="00EA6735"/>
    <w:rsid w:val="00EA6F31"/>
    <w:rsid w:val="00EA7D12"/>
    <w:rsid w:val="00EB111E"/>
    <w:rsid w:val="00EB1264"/>
    <w:rsid w:val="00EB3062"/>
    <w:rsid w:val="00EB3491"/>
    <w:rsid w:val="00EB3FD9"/>
    <w:rsid w:val="00EB4EA5"/>
    <w:rsid w:val="00EB4F1C"/>
    <w:rsid w:val="00EB54D7"/>
    <w:rsid w:val="00EB6F9F"/>
    <w:rsid w:val="00EC0703"/>
    <w:rsid w:val="00EC0D28"/>
    <w:rsid w:val="00EC0E86"/>
    <w:rsid w:val="00EC2A13"/>
    <w:rsid w:val="00EC3157"/>
    <w:rsid w:val="00EC420A"/>
    <w:rsid w:val="00EC4A63"/>
    <w:rsid w:val="00EC4E77"/>
    <w:rsid w:val="00EC4FF1"/>
    <w:rsid w:val="00EC5370"/>
    <w:rsid w:val="00EC5AED"/>
    <w:rsid w:val="00EC6468"/>
    <w:rsid w:val="00EC6676"/>
    <w:rsid w:val="00EC7037"/>
    <w:rsid w:val="00EC755B"/>
    <w:rsid w:val="00EC773E"/>
    <w:rsid w:val="00ED0C26"/>
    <w:rsid w:val="00ED18C4"/>
    <w:rsid w:val="00ED1D0D"/>
    <w:rsid w:val="00ED1E5D"/>
    <w:rsid w:val="00ED214F"/>
    <w:rsid w:val="00ED2D4F"/>
    <w:rsid w:val="00ED2FFD"/>
    <w:rsid w:val="00ED337D"/>
    <w:rsid w:val="00ED3657"/>
    <w:rsid w:val="00ED36AF"/>
    <w:rsid w:val="00ED3A2A"/>
    <w:rsid w:val="00ED3EBE"/>
    <w:rsid w:val="00ED4882"/>
    <w:rsid w:val="00ED4F57"/>
    <w:rsid w:val="00ED4FDE"/>
    <w:rsid w:val="00ED5BF6"/>
    <w:rsid w:val="00ED5E88"/>
    <w:rsid w:val="00ED65F0"/>
    <w:rsid w:val="00ED6F55"/>
    <w:rsid w:val="00ED707C"/>
    <w:rsid w:val="00ED70E5"/>
    <w:rsid w:val="00ED7271"/>
    <w:rsid w:val="00ED7350"/>
    <w:rsid w:val="00ED7CB7"/>
    <w:rsid w:val="00ED7EC9"/>
    <w:rsid w:val="00EE034C"/>
    <w:rsid w:val="00EE054D"/>
    <w:rsid w:val="00EE1A05"/>
    <w:rsid w:val="00EE37C7"/>
    <w:rsid w:val="00EE3A7A"/>
    <w:rsid w:val="00EE3CEE"/>
    <w:rsid w:val="00EE4C2E"/>
    <w:rsid w:val="00EE5FA2"/>
    <w:rsid w:val="00EE61D4"/>
    <w:rsid w:val="00EE7147"/>
    <w:rsid w:val="00EE74F3"/>
    <w:rsid w:val="00EF083A"/>
    <w:rsid w:val="00EF091F"/>
    <w:rsid w:val="00EF0B28"/>
    <w:rsid w:val="00EF1498"/>
    <w:rsid w:val="00EF29FE"/>
    <w:rsid w:val="00EF2CD2"/>
    <w:rsid w:val="00EF33F8"/>
    <w:rsid w:val="00EF3598"/>
    <w:rsid w:val="00EF37F9"/>
    <w:rsid w:val="00EF3E52"/>
    <w:rsid w:val="00EF3E72"/>
    <w:rsid w:val="00EF66D0"/>
    <w:rsid w:val="00EF6D93"/>
    <w:rsid w:val="00EF75AB"/>
    <w:rsid w:val="00F009D3"/>
    <w:rsid w:val="00F00E24"/>
    <w:rsid w:val="00F01F6F"/>
    <w:rsid w:val="00F02110"/>
    <w:rsid w:val="00F039C5"/>
    <w:rsid w:val="00F053D3"/>
    <w:rsid w:val="00F058F2"/>
    <w:rsid w:val="00F0592F"/>
    <w:rsid w:val="00F05C04"/>
    <w:rsid w:val="00F0618D"/>
    <w:rsid w:val="00F06A12"/>
    <w:rsid w:val="00F06B88"/>
    <w:rsid w:val="00F06C65"/>
    <w:rsid w:val="00F06C96"/>
    <w:rsid w:val="00F06EF3"/>
    <w:rsid w:val="00F070FE"/>
    <w:rsid w:val="00F072DE"/>
    <w:rsid w:val="00F07AB5"/>
    <w:rsid w:val="00F10992"/>
    <w:rsid w:val="00F11808"/>
    <w:rsid w:val="00F11E0F"/>
    <w:rsid w:val="00F12331"/>
    <w:rsid w:val="00F12594"/>
    <w:rsid w:val="00F1264A"/>
    <w:rsid w:val="00F126EF"/>
    <w:rsid w:val="00F12B67"/>
    <w:rsid w:val="00F12EA3"/>
    <w:rsid w:val="00F12F80"/>
    <w:rsid w:val="00F13A08"/>
    <w:rsid w:val="00F13A1B"/>
    <w:rsid w:val="00F14549"/>
    <w:rsid w:val="00F14E6F"/>
    <w:rsid w:val="00F158D3"/>
    <w:rsid w:val="00F15EB7"/>
    <w:rsid w:val="00F17063"/>
    <w:rsid w:val="00F17AE4"/>
    <w:rsid w:val="00F17DDC"/>
    <w:rsid w:val="00F21342"/>
    <w:rsid w:val="00F2161B"/>
    <w:rsid w:val="00F22760"/>
    <w:rsid w:val="00F23F80"/>
    <w:rsid w:val="00F24825"/>
    <w:rsid w:val="00F2536C"/>
    <w:rsid w:val="00F262D5"/>
    <w:rsid w:val="00F26C7E"/>
    <w:rsid w:val="00F277AF"/>
    <w:rsid w:val="00F2787C"/>
    <w:rsid w:val="00F278F5"/>
    <w:rsid w:val="00F30AEB"/>
    <w:rsid w:val="00F32015"/>
    <w:rsid w:val="00F32210"/>
    <w:rsid w:val="00F3309B"/>
    <w:rsid w:val="00F3347C"/>
    <w:rsid w:val="00F34B27"/>
    <w:rsid w:val="00F34E2A"/>
    <w:rsid w:val="00F35B92"/>
    <w:rsid w:val="00F3721C"/>
    <w:rsid w:val="00F375A8"/>
    <w:rsid w:val="00F40594"/>
    <w:rsid w:val="00F4282E"/>
    <w:rsid w:val="00F4285F"/>
    <w:rsid w:val="00F429B3"/>
    <w:rsid w:val="00F446D4"/>
    <w:rsid w:val="00F449FC"/>
    <w:rsid w:val="00F44E4B"/>
    <w:rsid w:val="00F45997"/>
    <w:rsid w:val="00F46457"/>
    <w:rsid w:val="00F47C80"/>
    <w:rsid w:val="00F47E37"/>
    <w:rsid w:val="00F47F94"/>
    <w:rsid w:val="00F5032B"/>
    <w:rsid w:val="00F50DB4"/>
    <w:rsid w:val="00F51241"/>
    <w:rsid w:val="00F53EE0"/>
    <w:rsid w:val="00F5415B"/>
    <w:rsid w:val="00F54A1A"/>
    <w:rsid w:val="00F54BC9"/>
    <w:rsid w:val="00F54BF6"/>
    <w:rsid w:val="00F55384"/>
    <w:rsid w:val="00F553EC"/>
    <w:rsid w:val="00F55C2A"/>
    <w:rsid w:val="00F55CBD"/>
    <w:rsid w:val="00F56BF9"/>
    <w:rsid w:val="00F57302"/>
    <w:rsid w:val="00F574DD"/>
    <w:rsid w:val="00F57573"/>
    <w:rsid w:val="00F579DC"/>
    <w:rsid w:val="00F604ED"/>
    <w:rsid w:val="00F6055D"/>
    <w:rsid w:val="00F60B4E"/>
    <w:rsid w:val="00F61684"/>
    <w:rsid w:val="00F61977"/>
    <w:rsid w:val="00F61EC8"/>
    <w:rsid w:val="00F62C1B"/>
    <w:rsid w:val="00F62C35"/>
    <w:rsid w:val="00F631A9"/>
    <w:rsid w:val="00F64C6A"/>
    <w:rsid w:val="00F65000"/>
    <w:rsid w:val="00F65432"/>
    <w:rsid w:val="00F65B82"/>
    <w:rsid w:val="00F66155"/>
    <w:rsid w:val="00F67440"/>
    <w:rsid w:val="00F6785D"/>
    <w:rsid w:val="00F70512"/>
    <w:rsid w:val="00F70579"/>
    <w:rsid w:val="00F72389"/>
    <w:rsid w:val="00F72870"/>
    <w:rsid w:val="00F72998"/>
    <w:rsid w:val="00F73B38"/>
    <w:rsid w:val="00F73C7E"/>
    <w:rsid w:val="00F7456C"/>
    <w:rsid w:val="00F7507D"/>
    <w:rsid w:val="00F75951"/>
    <w:rsid w:val="00F77199"/>
    <w:rsid w:val="00F77A64"/>
    <w:rsid w:val="00F80FC5"/>
    <w:rsid w:val="00F81A0D"/>
    <w:rsid w:val="00F81A86"/>
    <w:rsid w:val="00F821B4"/>
    <w:rsid w:val="00F8228A"/>
    <w:rsid w:val="00F82BEB"/>
    <w:rsid w:val="00F83094"/>
    <w:rsid w:val="00F83D97"/>
    <w:rsid w:val="00F83FA3"/>
    <w:rsid w:val="00F84A9E"/>
    <w:rsid w:val="00F85947"/>
    <w:rsid w:val="00F85EFB"/>
    <w:rsid w:val="00F867F8"/>
    <w:rsid w:val="00F87291"/>
    <w:rsid w:val="00F93FA6"/>
    <w:rsid w:val="00F944CB"/>
    <w:rsid w:val="00F954D9"/>
    <w:rsid w:val="00F95FFA"/>
    <w:rsid w:val="00F96979"/>
    <w:rsid w:val="00F97F70"/>
    <w:rsid w:val="00FA02FB"/>
    <w:rsid w:val="00FA10E5"/>
    <w:rsid w:val="00FA11EC"/>
    <w:rsid w:val="00FA1852"/>
    <w:rsid w:val="00FA2B20"/>
    <w:rsid w:val="00FA2C1C"/>
    <w:rsid w:val="00FA36A6"/>
    <w:rsid w:val="00FA4279"/>
    <w:rsid w:val="00FA444E"/>
    <w:rsid w:val="00FA56E8"/>
    <w:rsid w:val="00FA5BBD"/>
    <w:rsid w:val="00FA5D45"/>
    <w:rsid w:val="00FA663A"/>
    <w:rsid w:val="00FA6AF0"/>
    <w:rsid w:val="00FA7478"/>
    <w:rsid w:val="00FB0448"/>
    <w:rsid w:val="00FB1C1F"/>
    <w:rsid w:val="00FB1C7F"/>
    <w:rsid w:val="00FB4478"/>
    <w:rsid w:val="00FB5812"/>
    <w:rsid w:val="00FB64FE"/>
    <w:rsid w:val="00FB6AE3"/>
    <w:rsid w:val="00FB76A5"/>
    <w:rsid w:val="00FB7FE2"/>
    <w:rsid w:val="00FC0915"/>
    <w:rsid w:val="00FC10CF"/>
    <w:rsid w:val="00FC11DB"/>
    <w:rsid w:val="00FC1260"/>
    <w:rsid w:val="00FC1CD6"/>
    <w:rsid w:val="00FC1E2C"/>
    <w:rsid w:val="00FC1F3B"/>
    <w:rsid w:val="00FC276D"/>
    <w:rsid w:val="00FC2BD7"/>
    <w:rsid w:val="00FC441C"/>
    <w:rsid w:val="00FC44B1"/>
    <w:rsid w:val="00FC48C2"/>
    <w:rsid w:val="00FC653E"/>
    <w:rsid w:val="00FC7B9A"/>
    <w:rsid w:val="00FC7C00"/>
    <w:rsid w:val="00FD0507"/>
    <w:rsid w:val="00FD0FA7"/>
    <w:rsid w:val="00FD1BD2"/>
    <w:rsid w:val="00FD2211"/>
    <w:rsid w:val="00FD23A1"/>
    <w:rsid w:val="00FD23D4"/>
    <w:rsid w:val="00FD2D6B"/>
    <w:rsid w:val="00FD405F"/>
    <w:rsid w:val="00FD42D4"/>
    <w:rsid w:val="00FD4AD6"/>
    <w:rsid w:val="00FD5527"/>
    <w:rsid w:val="00FD693C"/>
    <w:rsid w:val="00FD7179"/>
    <w:rsid w:val="00FD7AFD"/>
    <w:rsid w:val="00FE14B6"/>
    <w:rsid w:val="00FE29B4"/>
    <w:rsid w:val="00FE2F55"/>
    <w:rsid w:val="00FE43D0"/>
    <w:rsid w:val="00FE4616"/>
    <w:rsid w:val="00FE4622"/>
    <w:rsid w:val="00FE5BA5"/>
    <w:rsid w:val="00FE5E0F"/>
    <w:rsid w:val="00FE6119"/>
    <w:rsid w:val="00FE723D"/>
    <w:rsid w:val="00FE729D"/>
    <w:rsid w:val="00FE73B6"/>
    <w:rsid w:val="00FE73D1"/>
    <w:rsid w:val="00FE7761"/>
    <w:rsid w:val="00FF0205"/>
    <w:rsid w:val="00FF1C16"/>
    <w:rsid w:val="00FF2A95"/>
    <w:rsid w:val="00FF2B9B"/>
    <w:rsid w:val="00FF2DE7"/>
    <w:rsid w:val="00FF369C"/>
    <w:rsid w:val="00FF3F3E"/>
    <w:rsid w:val="00FF44FA"/>
    <w:rsid w:val="00FF50FC"/>
    <w:rsid w:val="00FF533E"/>
    <w:rsid w:val="00FF5694"/>
    <w:rsid w:val="00FF57ED"/>
    <w:rsid w:val="00FF6446"/>
    <w:rsid w:val="00FF6EFC"/>
    <w:rsid w:val="4B1F4E7B"/>
    <w:rsid w:val="BA7B23C6"/>
    <w:rsid w:val="FFF25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宋体" w:cstheme="minorBidi"/>
      <w:kern w:val="2"/>
      <w:sz w:val="28"/>
      <w:szCs w:val="22"/>
      <w:lang w:val="en-US" w:eastAsia="zh-CN" w:bidi="ar-SA"/>
    </w:rPr>
  </w:style>
  <w:style w:type="paragraph" w:styleId="2">
    <w:name w:val="heading 1"/>
    <w:basedOn w:val="1"/>
    <w:next w:val="1"/>
    <w:link w:val="30"/>
    <w:qFormat/>
    <w:uiPriority w:val="0"/>
    <w:pPr>
      <w:keepNext/>
      <w:keepLines/>
      <w:spacing w:before="150" w:beforeLines="150" w:after="100" w:afterLines="100"/>
      <w:ind w:firstLine="0" w:firstLineChars="0"/>
      <w:jc w:val="center"/>
      <w:outlineLvl w:val="0"/>
    </w:pPr>
    <w:rPr>
      <w:rFonts w:eastAsia="黑体"/>
      <w:b/>
      <w:bCs/>
      <w:kern w:val="44"/>
      <w:sz w:val="36"/>
      <w:szCs w:val="44"/>
    </w:rPr>
  </w:style>
  <w:style w:type="paragraph" w:styleId="3">
    <w:name w:val="heading 2"/>
    <w:basedOn w:val="1"/>
    <w:next w:val="1"/>
    <w:link w:val="31"/>
    <w:unhideWhenUsed/>
    <w:qFormat/>
    <w:uiPriority w:val="9"/>
    <w:pPr>
      <w:keepNext/>
      <w:keepLines/>
      <w:spacing w:before="50" w:beforeLines="50" w:after="50" w:afterLines="50" w:line="560" w:lineRule="atLeast"/>
      <w:ind w:firstLine="0" w:firstLineChars="0"/>
      <w:jc w:val="left"/>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50" w:beforeLines="50" w:after="50" w:afterLines="50" w:line="560" w:lineRule="atLeast"/>
      <w:ind w:firstLine="0" w:firstLineChars="0"/>
      <w:outlineLvl w:val="2"/>
    </w:pPr>
    <w:rPr>
      <w:b/>
      <w:bCs/>
      <w:sz w:val="30"/>
      <w:szCs w:val="32"/>
    </w:rPr>
  </w:style>
  <w:style w:type="paragraph" w:styleId="5">
    <w:name w:val="heading 4"/>
    <w:basedOn w:val="1"/>
    <w:next w:val="1"/>
    <w:link w:val="42"/>
    <w:semiHidden/>
    <w:unhideWhenUsed/>
    <w:qFormat/>
    <w:uiPriority w:val="9"/>
    <w:pPr>
      <w:keepNext/>
      <w:keepLines/>
      <w:spacing w:before="280" w:after="290" w:line="376" w:lineRule="atLeast"/>
      <w:outlineLvl w:val="3"/>
    </w:pPr>
    <w:rPr>
      <w:rFonts w:asciiTheme="majorHAnsi" w:hAnsiTheme="majorHAnsi" w:eastAsiaTheme="majorEastAsia" w:cstheme="majorBidi"/>
      <w:b/>
      <w:bCs/>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7">
    <w:name w:val="annotation text"/>
    <w:basedOn w:val="1"/>
    <w:link w:val="40"/>
    <w:semiHidden/>
    <w:unhideWhenUsed/>
    <w:qFormat/>
    <w:uiPriority w:val="99"/>
    <w:pPr>
      <w:jc w:val="left"/>
    </w:pPr>
  </w:style>
  <w:style w:type="paragraph" w:styleId="8">
    <w:name w:val="Body Text"/>
    <w:basedOn w:val="1"/>
    <w:link w:val="39"/>
    <w:semiHidden/>
    <w:unhideWhenUsed/>
    <w:qFormat/>
    <w:uiPriority w:val="99"/>
    <w:pPr>
      <w:spacing w:after="120"/>
    </w:pPr>
  </w:style>
  <w:style w:type="paragraph" w:styleId="9">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10">
    <w:name w:val="toc 3"/>
    <w:basedOn w:val="1"/>
    <w:next w:val="1"/>
    <w:unhideWhenUsed/>
    <w:qFormat/>
    <w:uiPriority w:val="39"/>
    <w:pPr>
      <w:widowControl/>
      <w:spacing w:after="100" w:line="276" w:lineRule="auto"/>
      <w:ind w:left="440" w:firstLine="0" w:firstLineChars="0"/>
      <w:jc w:val="left"/>
    </w:pPr>
    <w:rPr>
      <w:rFonts w:asciiTheme="minorHAnsi" w:hAnsiTheme="minorHAnsi" w:eastAsiaTheme="minorEastAsia"/>
      <w:kern w:val="0"/>
      <w:sz w:val="22"/>
    </w:rPr>
  </w:style>
  <w:style w:type="paragraph" w:styleId="11">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2">
    <w:name w:val="Balloon Text"/>
    <w:basedOn w:val="1"/>
    <w:link w:val="35"/>
    <w:semiHidden/>
    <w:unhideWhenUsed/>
    <w:qFormat/>
    <w:uiPriority w:val="99"/>
    <w:pPr>
      <w:spacing w:line="240" w:lineRule="auto"/>
    </w:pPr>
    <w:rPr>
      <w:sz w:val="18"/>
      <w:szCs w:val="18"/>
    </w:rPr>
  </w:style>
  <w:style w:type="paragraph" w:styleId="13">
    <w:name w:val="footer"/>
    <w:basedOn w:val="1"/>
    <w:link w:val="28"/>
    <w:unhideWhenUsed/>
    <w:qFormat/>
    <w:uiPriority w:val="99"/>
    <w:pPr>
      <w:tabs>
        <w:tab w:val="center" w:pos="4153"/>
        <w:tab w:val="right" w:pos="8306"/>
      </w:tabs>
      <w:snapToGrid w:val="0"/>
      <w:spacing w:line="240" w:lineRule="atLeast"/>
      <w:jc w:val="left"/>
    </w:pPr>
    <w:rPr>
      <w:kern w:val="0"/>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5">
    <w:name w:val="toc 1"/>
    <w:basedOn w:val="1"/>
    <w:next w:val="1"/>
    <w:unhideWhenUsed/>
    <w:qFormat/>
    <w:uiPriority w:val="39"/>
    <w:pPr>
      <w:widowControl/>
      <w:spacing w:after="100" w:line="276" w:lineRule="auto"/>
      <w:ind w:firstLine="0" w:firstLineChars="0"/>
      <w:jc w:val="left"/>
    </w:pPr>
    <w:rPr>
      <w:rFonts w:asciiTheme="minorHAnsi" w:hAnsiTheme="minorHAnsi" w:eastAsiaTheme="minorEastAsia"/>
      <w:kern w:val="0"/>
      <w:sz w:val="22"/>
    </w:rPr>
  </w:style>
  <w:style w:type="paragraph" w:styleId="16">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7">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18">
    <w:name w:val="toc 2"/>
    <w:basedOn w:val="1"/>
    <w:next w:val="1"/>
    <w:unhideWhenUsed/>
    <w:qFormat/>
    <w:uiPriority w:val="39"/>
    <w:pPr>
      <w:widowControl/>
      <w:spacing w:after="100" w:line="276" w:lineRule="auto"/>
      <w:ind w:left="220" w:firstLine="0" w:firstLineChars="0"/>
      <w:jc w:val="left"/>
    </w:pPr>
    <w:rPr>
      <w:rFonts w:asciiTheme="minorHAnsi" w:hAnsiTheme="minorHAnsi" w:eastAsiaTheme="minorEastAsia"/>
      <w:kern w:val="0"/>
      <w:sz w:val="22"/>
    </w:rPr>
  </w:style>
  <w:style w:type="paragraph" w:styleId="19">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paragraph" w:styleId="20">
    <w:name w:val="Title"/>
    <w:basedOn w:val="1"/>
    <w:next w:val="1"/>
    <w:link w:val="33"/>
    <w:qFormat/>
    <w:uiPriority w:val="0"/>
    <w:pPr>
      <w:spacing w:before="240" w:after="60" w:line="240" w:lineRule="auto"/>
      <w:ind w:firstLine="0" w:firstLineChars="0"/>
      <w:jc w:val="center"/>
      <w:outlineLvl w:val="0"/>
    </w:pPr>
    <w:rPr>
      <w:rFonts w:ascii="Cambria" w:hAnsi="Cambria" w:eastAsia="仿宋" w:cs="Times New Roman"/>
      <w:b/>
      <w:bCs/>
      <w:sz w:val="32"/>
      <w:szCs w:val="32"/>
    </w:rPr>
  </w:style>
  <w:style w:type="paragraph" w:styleId="21">
    <w:name w:val="annotation subject"/>
    <w:basedOn w:val="7"/>
    <w:next w:val="7"/>
    <w:link w:val="41"/>
    <w:semiHidden/>
    <w:unhideWhenUsed/>
    <w:qFormat/>
    <w:uiPriority w:val="99"/>
    <w:rPr>
      <w:b/>
      <w:bCs/>
    </w:rPr>
  </w:style>
  <w:style w:type="table" w:styleId="23">
    <w:name w:val="Table Grid"/>
    <w:basedOn w:val="2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styleId="26">
    <w:name w:val="annotation reference"/>
    <w:basedOn w:val="24"/>
    <w:semiHidden/>
    <w:unhideWhenUsed/>
    <w:qFormat/>
    <w:uiPriority w:val="99"/>
    <w:rPr>
      <w:sz w:val="21"/>
      <w:szCs w:val="21"/>
    </w:rPr>
  </w:style>
  <w:style w:type="paragraph" w:customStyle="1" w:styleId="27">
    <w:name w:val="列出段落1"/>
    <w:basedOn w:val="1"/>
    <w:qFormat/>
    <w:uiPriority w:val="34"/>
    <w:pPr>
      <w:ind w:firstLine="420"/>
    </w:pPr>
  </w:style>
  <w:style w:type="character" w:customStyle="1" w:styleId="28">
    <w:name w:val="页脚 字符"/>
    <w:basedOn w:val="24"/>
    <w:link w:val="13"/>
    <w:qFormat/>
    <w:uiPriority w:val="99"/>
    <w:rPr>
      <w:sz w:val="18"/>
      <w:szCs w:val="18"/>
    </w:rPr>
  </w:style>
  <w:style w:type="character" w:customStyle="1" w:styleId="29">
    <w:name w:val="页眉 字符"/>
    <w:basedOn w:val="24"/>
    <w:link w:val="14"/>
    <w:qFormat/>
    <w:uiPriority w:val="99"/>
    <w:rPr>
      <w:kern w:val="2"/>
      <w:sz w:val="18"/>
      <w:szCs w:val="18"/>
    </w:rPr>
  </w:style>
  <w:style w:type="character" w:customStyle="1" w:styleId="30">
    <w:name w:val="标题 1 字符"/>
    <w:basedOn w:val="24"/>
    <w:link w:val="2"/>
    <w:qFormat/>
    <w:uiPriority w:val="0"/>
    <w:rPr>
      <w:rFonts w:ascii="Times New Roman" w:hAnsi="Times New Roman" w:eastAsia="黑体"/>
      <w:b/>
      <w:bCs/>
      <w:kern w:val="44"/>
      <w:sz w:val="36"/>
      <w:szCs w:val="44"/>
    </w:rPr>
  </w:style>
  <w:style w:type="character" w:customStyle="1" w:styleId="31">
    <w:name w:val="标题 2 字符"/>
    <w:basedOn w:val="24"/>
    <w:link w:val="3"/>
    <w:qFormat/>
    <w:uiPriority w:val="9"/>
    <w:rPr>
      <w:rFonts w:asciiTheme="majorHAnsi" w:hAnsiTheme="majorHAnsi" w:eastAsiaTheme="majorEastAsia" w:cstheme="majorBidi"/>
      <w:b/>
      <w:bCs/>
      <w:kern w:val="2"/>
      <w:sz w:val="32"/>
      <w:szCs w:val="32"/>
    </w:rPr>
  </w:style>
  <w:style w:type="character" w:customStyle="1" w:styleId="32">
    <w:name w:val="标题 3 字符"/>
    <w:basedOn w:val="24"/>
    <w:link w:val="4"/>
    <w:qFormat/>
    <w:uiPriority w:val="9"/>
    <w:rPr>
      <w:rFonts w:ascii="Times New Roman" w:hAnsi="Times New Roman" w:eastAsia="宋体"/>
      <w:b/>
      <w:bCs/>
      <w:kern w:val="2"/>
      <w:sz w:val="30"/>
      <w:szCs w:val="32"/>
    </w:rPr>
  </w:style>
  <w:style w:type="character" w:customStyle="1" w:styleId="33">
    <w:name w:val="标题 字符"/>
    <w:basedOn w:val="24"/>
    <w:link w:val="20"/>
    <w:qFormat/>
    <w:uiPriority w:val="0"/>
    <w:rPr>
      <w:rFonts w:ascii="Cambria" w:hAnsi="Cambria" w:eastAsia="仿宋" w:cs="Times New Roman"/>
      <w:b/>
      <w:bCs/>
      <w:kern w:val="2"/>
      <w:sz w:val="32"/>
      <w:szCs w:val="32"/>
    </w:rPr>
  </w:style>
  <w:style w:type="paragraph" w:customStyle="1" w:styleId="34">
    <w:name w:val="TOC 标题1"/>
    <w:basedOn w:val="2"/>
    <w:next w:val="1"/>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字符"/>
    <w:basedOn w:val="24"/>
    <w:link w:val="12"/>
    <w:semiHidden/>
    <w:qFormat/>
    <w:uiPriority w:val="99"/>
    <w:rPr>
      <w:rFonts w:ascii="Times New Roman" w:hAnsi="Times New Roman" w:eastAsia="宋体"/>
      <w:kern w:val="2"/>
      <w:sz w:val="18"/>
      <w:szCs w:val="18"/>
    </w:rPr>
  </w:style>
  <w:style w:type="paragraph" w:styleId="36">
    <w:name w:val="List Paragraph"/>
    <w:basedOn w:val="1"/>
    <w:qFormat/>
    <w:uiPriority w:val="34"/>
    <w:pPr>
      <w:ind w:firstLine="420"/>
    </w:pPr>
  </w:style>
  <w:style w:type="character" w:customStyle="1" w:styleId="37">
    <w:name w:val="未处理的提及1"/>
    <w:basedOn w:val="24"/>
    <w:semiHidden/>
    <w:unhideWhenUsed/>
    <w:qFormat/>
    <w:uiPriority w:val="99"/>
    <w:rPr>
      <w:color w:val="605E5C"/>
      <w:shd w:val="clear" w:color="auto" w:fill="E1DFDD"/>
    </w:rPr>
  </w:style>
  <w:style w:type="paragraph" w:customStyle="1" w:styleId="38">
    <w:name w:val="Body Text First Indent1"/>
    <w:basedOn w:val="8"/>
    <w:qFormat/>
    <w:uiPriority w:val="0"/>
    <w:pPr>
      <w:spacing w:line="240" w:lineRule="auto"/>
      <w:ind w:firstLine="420"/>
    </w:pPr>
    <w:rPr>
      <w:rFonts w:eastAsia="仿宋"/>
      <w:szCs w:val="24"/>
    </w:rPr>
  </w:style>
  <w:style w:type="character" w:customStyle="1" w:styleId="39">
    <w:name w:val="正文文本 字符"/>
    <w:basedOn w:val="24"/>
    <w:link w:val="8"/>
    <w:semiHidden/>
    <w:qFormat/>
    <w:uiPriority w:val="99"/>
    <w:rPr>
      <w:rFonts w:ascii="Times New Roman" w:hAnsi="Times New Roman" w:eastAsia="宋体"/>
      <w:kern w:val="2"/>
      <w:sz w:val="28"/>
      <w:szCs w:val="22"/>
    </w:rPr>
  </w:style>
  <w:style w:type="character" w:customStyle="1" w:styleId="40">
    <w:name w:val="批注文字 字符"/>
    <w:basedOn w:val="24"/>
    <w:link w:val="7"/>
    <w:semiHidden/>
    <w:qFormat/>
    <w:uiPriority w:val="99"/>
    <w:rPr>
      <w:rFonts w:ascii="Times New Roman" w:hAnsi="Times New Roman" w:eastAsia="宋体"/>
      <w:kern w:val="2"/>
      <w:sz w:val="28"/>
      <w:szCs w:val="22"/>
    </w:rPr>
  </w:style>
  <w:style w:type="character" w:customStyle="1" w:styleId="41">
    <w:name w:val="批注主题 字符"/>
    <w:basedOn w:val="40"/>
    <w:link w:val="21"/>
    <w:semiHidden/>
    <w:qFormat/>
    <w:uiPriority w:val="99"/>
    <w:rPr>
      <w:rFonts w:ascii="Times New Roman" w:hAnsi="Times New Roman" w:eastAsia="宋体"/>
      <w:b/>
      <w:bCs/>
      <w:kern w:val="2"/>
      <w:sz w:val="28"/>
      <w:szCs w:val="22"/>
    </w:rPr>
  </w:style>
  <w:style w:type="character" w:customStyle="1" w:styleId="42">
    <w:name w:val="标题 4 字符"/>
    <w:basedOn w:val="24"/>
    <w:link w:val="5"/>
    <w:semiHidden/>
    <w:qFormat/>
    <w:uiPriority w:val="9"/>
    <w:rPr>
      <w:rFonts w:asciiTheme="majorHAnsi" w:hAnsiTheme="majorHAnsi" w:eastAsiaTheme="majorEastAsia" w:cstheme="majorBidi"/>
      <w:b/>
      <w:bCs/>
      <w:kern w:val="2"/>
      <w:sz w:val="28"/>
      <w:szCs w:val="28"/>
    </w:rPr>
  </w:style>
  <w:style w:type="paragraph" w:customStyle="1" w:styleId="43">
    <w:name w:val="Char Char Char Char"/>
    <w:basedOn w:val="1"/>
    <w:qFormat/>
    <w:uiPriority w:val="0"/>
    <w:pPr>
      <w:adjustRightInd w:val="0"/>
      <w:snapToGrid w:val="0"/>
      <w:spacing w:line="360" w:lineRule="auto"/>
      <w:ind w:firstLine="883"/>
    </w:pPr>
    <w:rPr>
      <w:rFonts w:cs="Times New Roman"/>
      <w:sz w:val="32"/>
      <w:szCs w:val="32"/>
    </w:rPr>
  </w:style>
  <w:style w:type="character" w:customStyle="1" w:styleId="44">
    <w:name w:val="fontstyle01"/>
    <w:basedOn w:val="24"/>
    <w:qFormat/>
    <w:uiPriority w:val="0"/>
    <w:rPr>
      <w:rFonts w:hint="eastAsia" w:ascii="方正书宋_GBK" w:eastAsia="方正书宋_GBK"/>
      <w:color w:val="000000"/>
      <w:sz w:val="24"/>
      <w:szCs w:val="24"/>
    </w:rPr>
  </w:style>
  <w:style w:type="character" w:customStyle="1" w:styleId="45">
    <w:name w:val="fontstyle21"/>
    <w:basedOn w:val="24"/>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55</Pages>
  <Words>4027</Words>
  <Characters>22960</Characters>
  <Lines>191</Lines>
  <Paragraphs>53</Paragraphs>
  <TotalTime>18025</TotalTime>
  <ScaleCrop>false</ScaleCrop>
  <LinksUpToDate>false</LinksUpToDate>
  <CharactersWithSpaces>26934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2020-10-20T09:37:00Z</dcterms:created>
  <dc:creator>Dell</dc:creator>
  <cp:lastModifiedBy>administrator</cp:lastModifiedBy>
  <cp:lastPrinted>2022-01-18T10:52:00Z</cp:lastPrinted>
  <dcterms:modified xsi:type="dcterms:W3CDTF">2025-04-15T14:25:58Z</dcterms:modified>
  <cp:revision>1991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16038A412D3940B1B1E78C616D5F76AB</vt:lpwstr>
  </property>
</Properties>
</file>