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9C" w:rsidRDefault="003F439C" w:rsidP="003F439C">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3F439C" w:rsidRDefault="003F439C" w:rsidP="003F439C">
      <w:pPr>
        <w:rPr>
          <w:rFonts w:ascii="宋体" w:hAnsi="宋体"/>
          <w:bCs/>
          <w:spacing w:val="50"/>
          <w:sz w:val="28"/>
        </w:rPr>
      </w:pPr>
    </w:p>
    <w:p w:rsidR="003F439C" w:rsidRDefault="003F439C" w:rsidP="003F439C">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3F439C" w:rsidRDefault="003F439C" w:rsidP="003F439C">
      <w:pPr>
        <w:pStyle w:val="a5"/>
        <w:snapToGrid w:val="0"/>
        <w:spacing w:line="240" w:lineRule="atLeast"/>
        <w:jc w:val="center"/>
        <w:rPr>
          <w:rFonts w:ascii="方正仿宋_GBK" w:eastAsia="方正仿宋_GBK" w:hAnsi="宋体" w:hint="eastAsia"/>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49号</w:t>
      </w:r>
      <w:bookmarkEnd w:id="0"/>
    </w:p>
    <w:p w:rsidR="003F439C" w:rsidRDefault="003F439C" w:rsidP="003F439C">
      <w:pPr>
        <w:pStyle w:val="tb"/>
        <w:spacing w:line="560" w:lineRule="exact"/>
        <w:rPr>
          <w:rFonts w:ascii="方正仿宋_GBK" w:eastAsia="方正仿宋_GBK" w:hAnsi="宋体" w:hint="eastAsia"/>
          <w:bCs/>
          <w:sz w:val="32"/>
          <w:szCs w:val="32"/>
        </w:rPr>
      </w:pPr>
      <w:bookmarkStart w:id="1" w:name="companyName"/>
      <w:r>
        <w:rPr>
          <w:rFonts w:ascii="方正仿宋_GBK" w:eastAsia="方正仿宋_GBK" w:hAnsi="宋体" w:hint="eastAsia"/>
          <w:bCs/>
          <w:sz w:val="32"/>
          <w:szCs w:val="32"/>
        </w:rPr>
        <w:t>重庆</w:t>
      </w:r>
      <w:proofErr w:type="gramStart"/>
      <w:r>
        <w:rPr>
          <w:rFonts w:ascii="方正仿宋_GBK" w:eastAsia="方正仿宋_GBK" w:hAnsi="宋体" w:hint="eastAsia"/>
          <w:bCs/>
          <w:sz w:val="32"/>
          <w:szCs w:val="32"/>
        </w:rPr>
        <w:t>炫</w:t>
      </w:r>
      <w:proofErr w:type="gramEnd"/>
      <w:r>
        <w:rPr>
          <w:rFonts w:ascii="方正仿宋_GBK" w:eastAsia="方正仿宋_GBK" w:hAnsi="宋体" w:hint="eastAsia"/>
          <w:bCs/>
          <w:sz w:val="32"/>
          <w:szCs w:val="32"/>
        </w:rPr>
        <w:t>锋汽车零部件有限公司</w:t>
      </w:r>
      <w:bookmarkEnd w:id="1"/>
      <w:r>
        <w:rPr>
          <w:rFonts w:ascii="方正仿宋_GBK" w:eastAsia="方正仿宋_GBK" w:hAnsi="宋体" w:hint="eastAsia"/>
          <w:bCs/>
          <w:sz w:val="32"/>
          <w:szCs w:val="32"/>
        </w:rPr>
        <w:t>：</w:t>
      </w:r>
    </w:p>
    <w:p w:rsidR="003F439C" w:rsidRDefault="003F439C" w:rsidP="003F439C">
      <w:pPr>
        <w:widowControl/>
        <w:spacing w:line="594" w:lineRule="exact"/>
        <w:ind w:firstLineChars="200" w:firstLine="640"/>
        <w:rPr>
          <w:rFonts w:eastAsia="方正仿宋_GBK"/>
          <w:bCs/>
          <w:sz w:val="32"/>
          <w:szCs w:val="32"/>
        </w:rPr>
      </w:pPr>
      <w:r>
        <w:rPr>
          <w:rFonts w:eastAsia="方正仿宋_GBK" w:hint="eastAsia"/>
          <w:bCs/>
          <w:sz w:val="32"/>
          <w:szCs w:val="32"/>
        </w:rPr>
        <w:t>你单位报送的</w:t>
      </w:r>
      <w:proofErr w:type="gramStart"/>
      <w:r>
        <w:rPr>
          <w:rFonts w:eastAsia="方正仿宋_GBK" w:hint="eastAsia"/>
          <w:bCs/>
          <w:sz w:val="32"/>
          <w:szCs w:val="32"/>
        </w:rPr>
        <w:t>炫</w:t>
      </w:r>
      <w:proofErr w:type="gramEnd"/>
      <w:r>
        <w:rPr>
          <w:rFonts w:eastAsia="方正仿宋_GBK" w:hint="eastAsia"/>
          <w:bCs/>
          <w:sz w:val="32"/>
          <w:szCs w:val="32"/>
        </w:rPr>
        <w:t>锋汽车内饰件生产项目（项目代码：</w:t>
      </w:r>
      <w:r>
        <w:rPr>
          <w:rFonts w:eastAsia="方正仿宋_GBK" w:hint="eastAsia"/>
          <w:bCs/>
          <w:sz w:val="32"/>
          <w:szCs w:val="32"/>
        </w:rPr>
        <w:t>2502-500120-04-01-122905</w:t>
      </w:r>
      <w:r>
        <w:rPr>
          <w:rFonts w:eastAsia="方正仿宋_GBK" w:hint="eastAsia"/>
          <w:bCs/>
          <w:sz w:val="32"/>
          <w:szCs w:val="32"/>
        </w:rPr>
        <w:t>）环境影响评价文件审批申请表及相关材料收悉。经研究，现审批如下：</w:t>
      </w:r>
      <w:r>
        <w:rPr>
          <w:rFonts w:eastAsia="方正仿宋_GBK"/>
          <w:bCs/>
          <w:sz w:val="32"/>
          <w:szCs w:val="32"/>
        </w:rPr>
        <w:t xml:space="preserve"> </w:t>
      </w:r>
    </w:p>
    <w:p w:rsidR="003F439C" w:rsidRDefault="003F439C" w:rsidP="003F439C">
      <w:pPr>
        <w:spacing w:line="594"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一、根据《中华人民共和国环境影响评价法》等法律法规的有关规定，我局原则同意重庆长嵘环保科技有限公司（统一社会信用代码：</w:t>
      </w:r>
      <w:r>
        <w:rPr>
          <w:rFonts w:eastAsia="方正仿宋_GBK" w:hint="eastAsia"/>
          <w:bCs/>
          <w:sz w:val="32"/>
          <w:szCs w:val="32"/>
        </w:rPr>
        <w:t>91500227MA6094NX4M</w:t>
      </w:r>
      <w:r>
        <w:rPr>
          <w:rFonts w:eastAsia="方正仿宋_GBK" w:hint="eastAsia"/>
          <w:bCs/>
          <w:sz w:val="32"/>
          <w:szCs w:val="32"/>
        </w:rPr>
        <w:t>）编制的该项目环境影响报告表结论及其提出的环境保护措施。</w:t>
      </w:r>
    </w:p>
    <w:p w:rsidR="003F439C" w:rsidRDefault="003F439C" w:rsidP="003F439C">
      <w:pPr>
        <w:widowControl/>
        <w:ind w:firstLineChars="200" w:firstLine="640"/>
        <w:rPr>
          <w:rFonts w:eastAsia="方正仿宋_GBK"/>
          <w:bCs/>
          <w:color w:val="000000"/>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位于重庆市</w:t>
      </w:r>
      <w:proofErr w:type="gramStart"/>
      <w:r>
        <w:rPr>
          <w:rFonts w:eastAsia="方正仿宋_GBK" w:hint="eastAsia"/>
          <w:bCs/>
          <w:color w:val="000000"/>
          <w:sz w:val="32"/>
          <w:szCs w:val="32"/>
        </w:rPr>
        <w:t>璧</w:t>
      </w:r>
      <w:proofErr w:type="gramEnd"/>
      <w:r>
        <w:rPr>
          <w:rFonts w:eastAsia="方正仿宋_GBK" w:hint="eastAsia"/>
          <w:bCs/>
          <w:color w:val="000000"/>
          <w:sz w:val="32"/>
          <w:szCs w:val="32"/>
        </w:rPr>
        <w:t>山区</w:t>
      </w:r>
      <w:proofErr w:type="gramStart"/>
      <w:r>
        <w:rPr>
          <w:rFonts w:eastAsia="方正仿宋_GBK" w:hint="eastAsia"/>
          <w:bCs/>
          <w:color w:val="000000"/>
          <w:sz w:val="32"/>
          <w:szCs w:val="32"/>
        </w:rPr>
        <w:t>璧</w:t>
      </w:r>
      <w:proofErr w:type="gramEnd"/>
      <w:r>
        <w:rPr>
          <w:rFonts w:eastAsia="方正仿宋_GBK" w:hint="eastAsia"/>
          <w:bCs/>
          <w:color w:val="000000"/>
          <w:sz w:val="32"/>
          <w:szCs w:val="32"/>
        </w:rPr>
        <w:t>泉街道</w:t>
      </w:r>
      <w:r>
        <w:rPr>
          <w:rFonts w:eastAsia="方正仿宋_GBK" w:hint="eastAsia"/>
          <w:bCs/>
          <w:color w:val="000000"/>
          <w:sz w:val="32"/>
          <w:szCs w:val="32"/>
        </w:rPr>
        <w:t>C16-1/02</w:t>
      </w:r>
      <w:r>
        <w:rPr>
          <w:rFonts w:eastAsia="方正仿宋_GBK" w:hint="eastAsia"/>
          <w:bCs/>
          <w:color w:val="000000"/>
          <w:sz w:val="32"/>
          <w:szCs w:val="32"/>
        </w:rPr>
        <w:t>地块（璧山高新区），租用重庆两山建设开发有限公司已建厂房作为生产场所建设</w:t>
      </w:r>
      <w:proofErr w:type="gramStart"/>
      <w:r>
        <w:rPr>
          <w:rFonts w:eastAsia="方正仿宋_GBK" w:hint="eastAsia"/>
          <w:bCs/>
          <w:sz w:val="32"/>
          <w:szCs w:val="32"/>
        </w:rPr>
        <w:t>炫</w:t>
      </w:r>
      <w:proofErr w:type="gramEnd"/>
      <w:r>
        <w:rPr>
          <w:rFonts w:eastAsia="方正仿宋_GBK" w:hint="eastAsia"/>
          <w:bCs/>
          <w:sz w:val="32"/>
          <w:szCs w:val="32"/>
        </w:rPr>
        <w:t>锋汽车内饰件生产项目</w:t>
      </w:r>
      <w:r>
        <w:rPr>
          <w:rFonts w:eastAsia="方正仿宋_GBK" w:hint="eastAsia"/>
          <w:bCs/>
          <w:color w:val="000000"/>
          <w:sz w:val="32"/>
          <w:szCs w:val="32"/>
        </w:rPr>
        <w:t>，建筑面积约</w:t>
      </w:r>
      <w:r>
        <w:rPr>
          <w:rFonts w:eastAsia="方正仿宋_GBK" w:hint="eastAsia"/>
          <w:bCs/>
          <w:color w:val="000000"/>
          <w:sz w:val="32"/>
          <w:szCs w:val="32"/>
        </w:rPr>
        <w:t>41126.66m</w:t>
      </w:r>
      <w:r w:rsidRPr="002E03D7">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color w:val="000000"/>
          <w:kern w:val="0"/>
          <w:sz w:val="32"/>
          <w:szCs w:val="32"/>
          <w:lang/>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工程、储运工程、公用工程和环保工程等组成。项目建成后年产汽车仪表板总成</w:t>
      </w:r>
      <w:r>
        <w:rPr>
          <w:rFonts w:eastAsia="方正仿宋_GBK" w:hint="eastAsia"/>
          <w:bCs/>
          <w:color w:val="000000"/>
          <w:sz w:val="32"/>
          <w:szCs w:val="32"/>
        </w:rPr>
        <w:t>30</w:t>
      </w:r>
      <w:r>
        <w:rPr>
          <w:rFonts w:eastAsia="方正仿宋_GBK" w:hint="eastAsia"/>
          <w:bCs/>
          <w:color w:val="000000"/>
          <w:sz w:val="32"/>
          <w:szCs w:val="32"/>
        </w:rPr>
        <w:t>万件、汽车门板总成</w:t>
      </w:r>
      <w:r>
        <w:rPr>
          <w:rFonts w:eastAsia="方正仿宋_GBK" w:hint="eastAsia"/>
          <w:bCs/>
          <w:color w:val="000000"/>
          <w:sz w:val="32"/>
          <w:szCs w:val="32"/>
        </w:rPr>
        <w:t>30</w:t>
      </w:r>
      <w:r>
        <w:rPr>
          <w:rFonts w:eastAsia="方正仿宋_GBK" w:hint="eastAsia"/>
          <w:bCs/>
          <w:color w:val="000000"/>
          <w:sz w:val="32"/>
          <w:szCs w:val="32"/>
        </w:rPr>
        <w:t>万件。</w:t>
      </w:r>
      <w:r>
        <w:rPr>
          <w:rFonts w:eastAsia="方正仿宋_GBK" w:hint="eastAsia"/>
          <w:color w:val="000000"/>
          <w:kern w:val="0"/>
          <w:sz w:val="32"/>
          <w:szCs w:val="32"/>
          <w:lang/>
        </w:rPr>
        <w:t>项目总投资</w:t>
      </w:r>
      <w:r>
        <w:rPr>
          <w:rFonts w:eastAsia="方正仿宋_GBK" w:hint="eastAsia"/>
          <w:color w:val="000000"/>
          <w:kern w:val="0"/>
          <w:sz w:val="32"/>
          <w:szCs w:val="32"/>
          <w:lang/>
        </w:rPr>
        <w:t>500</w:t>
      </w:r>
      <w:r>
        <w:rPr>
          <w:rFonts w:eastAsia="方正仿宋_GBK" w:hint="eastAsia"/>
          <w:color w:val="000000"/>
          <w:kern w:val="0"/>
          <w:sz w:val="32"/>
          <w:szCs w:val="32"/>
          <w:lang/>
        </w:rPr>
        <w:t>万元，其中环保投资</w:t>
      </w:r>
      <w:r>
        <w:rPr>
          <w:rFonts w:eastAsia="方正仿宋_GBK" w:hint="eastAsia"/>
          <w:color w:val="000000"/>
          <w:kern w:val="0"/>
          <w:sz w:val="32"/>
          <w:szCs w:val="32"/>
          <w:lang/>
        </w:rPr>
        <w:t>20</w:t>
      </w:r>
      <w:r>
        <w:rPr>
          <w:rFonts w:eastAsia="方正仿宋_GBK" w:hint="eastAsia"/>
          <w:color w:val="000000"/>
          <w:kern w:val="0"/>
          <w:sz w:val="32"/>
          <w:szCs w:val="32"/>
          <w:lang/>
        </w:rPr>
        <w:t>万元。</w:t>
      </w:r>
    </w:p>
    <w:p w:rsidR="003F439C" w:rsidRDefault="003F439C" w:rsidP="003F439C">
      <w:pPr>
        <w:spacing w:line="594"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w:t>
      </w:r>
      <w:r>
        <w:rPr>
          <w:rFonts w:eastAsia="方正仿宋_GBK" w:hint="eastAsia"/>
          <w:bCs/>
          <w:sz w:val="32"/>
          <w:szCs w:val="32"/>
        </w:rPr>
        <w:lastRenderedPageBreak/>
        <w:t>护措施，防止环境污染、生态破坏、污染扰民投诉纠纷、风险事故、环境危害等其他不良后果。并重点做好以下工作：</w:t>
      </w:r>
    </w:p>
    <w:p w:rsidR="003F439C" w:rsidRDefault="003F439C" w:rsidP="003F439C">
      <w:pPr>
        <w:spacing w:line="594"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3F439C" w:rsidRDefault="003F439C" w:rsidP="003F439C">
      <w:pPr>
        <w:widowControl/>
        <w:spacing w:line="594" w:lineRule="exact"/>
        <w:ind w:firstLineChars="200" w:firstLine="640"/>
        <w:rPr>
          <w:rFonts w:eastAsia="方正仿宋_GBK" w:hint="eastAsia"/>
          <w:color w:val="000000"/>
          <w:kern w:val="0"/>
          <w:sz w:val="32"/>
          <w:szCs w:val="32"/>
          <w:lang/>
        </w:rPr>
      </w:pPr>
      <w:r>
        <w:rPr>
          <w:rFonts w:eastAsia="方正仿宋_GBK"/>
          <w:bCs/>
          <w:color w:val="000000"/>
          <w:sz w:val="32"/>
          <w:szCs w:val="32"/>
        </w:rPr>
        <w:t>（二）做好废水处理工作。</w:t>
      </w:r>
      <w:r>
        <w:rPr>
          <w:rFonts w:eastAsia="方正仿宋_GBK"/>
          <w:sz w:val="32"/>
          <w:szCs w:val="32"/>
        </w:rPr>
        <w:t>项目应实行雨、污分流。项目营运期废水主要为</w:t>
      </w:r>
      <w:r w:rsidRPr="002E03D7">
        <w:rPr>
          <w:rFonts w:eastAsia="方正仿宋_GBK" w:hint="eastAsia"/>
          <w:sz w:val="32"/>
          <w:szCs w:val="32"/>
        </w:rPr>
        <w:t>生活污水</w:t>
      </w:r>
      <w:r>
        <w:rPr>
          <w:rFonts w:eastAsia="方正仿宋_GBK" w:hint="eastAsia"/>
          <w:sz w:val="32"/>
          <w:szCs w:val="32"/>
        </w:rPr>
        <w:t>、食堂废水、冷却循环废水、空压机含油废水</w:t>
      </w:r>
      <w:proofErr w:type="gramStart"/>
      <w:r>
        <w:rPr>
          <w:rFonts w:eastAsia="方正仿宋_GBK" w:hint="eastAsia"/>
          <w:sz w:val="32"/>
          <w:szCs w:val="32"/>
        </w:rPr>
        <w:t>和洗枪废水</w:t>
      </w:r>
      <w:proofErr w:type="gramEnd"/>
      <w:r>
        <w:rPr>
          <w:rFonts w:eastAsia="方正仿宋_GBK" w:hint="eastAsia"/>
          <w:sz w:val="32"/>
          <w:szCs w:val="32"/>
        </w:rPr>
        <w:t>。空压机含油废水、食堂废水分别经新建油水分离装置预处理，</w:t>
      </w:r>
      <w:proofErr w:type="gramStart"/>
      <w:r>
        <w:rPr>
          <w:rFonts w:eastAsia="方正仿宋_GBK" w:hint="eastAsia"/>
          <w:sz w:val="32"/>
          <w:szCs w:val="32"/>
        </w:rPr>
        <w:t>洗枪废水</w:t>
      </w:r>
      <w:proofErr w:type="gramEnd"/>
      <w:r>
        <w:rPr>
          <w:rFonts w:eastAsia="方正仿宋_GBK" w:hint="eastAsia"/>
          <w:sz w:val="32"/>
          <w:szCs w:val="32"/>
        </w:rPr>
        <w:t>经新建生产废水处理设施预处理，预处理后的废水与冷却循环废水、生活污水一起进入已建生化</w:t>
      </w:r>
      <w:proofErr w:type="gramStart"/>
      <w:r>
        <w:rPr>
          <w:rFonts w:eastAsia="方正仿宋_GBK" w:hint="eastAsia"/>
          <w:sz w:val="32"/>
          <w:szCs w:val="32"/>
        </w:rPr>
        <w:t>池处理</w:t>
      </w:r>
      <w:proofErr w:type="gramEnd"/>
      <w:r>
        <w:rPr>
          <w:rFonts w:eastAsia="方正仿宋_GBK" w:hint="eastAsia"/>
          <w:sz w:val="32"/>
          <w:szCs w:val="32"/>
        </w:rPr>
        <w:t>达《污水综合排放标准》（</w:t>
      </w:r>
      <w:r>
        <w:rPr>
          <w:rFonts w:eastAsia="方正仿宋_GBK" w:hint="eastAsia"/>
          <w:sz w:val="32"/>
          <w:szCs w:val="32"/>
        </w:rPr>
        <w:t>GB8978-1996</w:t>
      </w:r>
      <w:r>
        <w:rPr>
          <w:rFonts w:eastAsia="方正仿宋_GBK" w:hint="eastAsia"/>
          <w:sz w:val="32"/>
          <w:szCs w:val="32"/>
        </w:rPr>
        <w:t>）三级标准（氨氮执行《污水排入城镇下水道水质标准》（</w:t>
      </w:r>
      <w:r>
        <w:rPr>
          <w:rFonts w:eastAsia="方正仿宋_GBK" w:hint="eastAsia"/>
          <w:sz w:val="32"/>
          <w:szCs w:val="32"/>
        </w:rPr>
        <w:t>GB/T 31962-2015</w:t>
      </w:r>
      <w:r>
        <w:rPr>
          <w:rFonts w:eastAsia="方正仿宋_GBK" w:hint="eastAsia"/>
          <w:sz w:val="32"/>
          <w:szCs w:val="32"/>
        </w:rPr>
        <w:t>）</w:t>
      </w:r>
      <w:r>
        <w:rPr>
          <w:rFonts w:eastAsia="方正仿宋_GBK" w:hint="eastAsia"/>
          <w:sz w:val="32"/>
          <w:szCs w:val="32"/>
        </w:rPr>
        <w:t>B</w:t>
      </w:r>
      <w:r>
        <w:rPr>
          <w:rFonts w:eastAsia="方正仿宋_GBK" w:hint="eastAsia"/>
          <w:sz w:val="32"/>
          <w:szCs w:val="32"/>
        </w:rPr>
        <w:t>级标准）后接入市政污水管网，然后进入</w:t>
      </w:r>
      <w:r>
        <w:rPr>
          <w:rFonts w:eastAsia="方正仿宋_GBK" w:hint="eastAsia"/>
          <w:color w:val="000000"/>
          <w:kern w:val="0"/>
          <w:sz w:val="32"/>
          <w:szCs w:val="32"/>
          <w:lang/>
        </w:rPr>
        <w:t>璧山高新区生活污水处理厂处理达标后排入</w:t>
      </w:r>
      <w:proofErr w:type="gramStart"/>
      <w:r>
        <w:rPr>
          <w:rFonts w:eastAsia="方正仿宋_GBK" w:hint="eastAsia"/>
          <w:color w:val="000000"/>
          <w:kern w:val="0"/>
          <w:sz w:val="32"/>
          <w:szCs w:val="32"/>
          <w:lang/>
        </w:rPr>
        <w:t>璧</w:t>
      </w:r>
      <w:proofErr w:type="gramEnd"/>
      <w:r>
        <w:rPr>
          <w:rFonts w:eastAsia="方正仿宋_GBK" w:hint="eastAsia"/>
          <w:color w:val="000000"/>
          <w:kern w:val="0"/>
          <w:sz w:val="32"/>
          <w:szCs w:val="32"/>
          <w:lang/>
        </w:rPr>
        <w:t>南河。</w:t>
      </w:r>
    </w:p>
    <w:p w:rsidR="003F439C" w:rsidRPr="002E03D7" w:rsidRDefault="003F439C" w:rsidP="003F439C">
      <w:pPr>
        <w:widowControl/>
        <w:spacing w:line="594" w:lineRule="exact"/>
        <w:ind w:firstLineChars="200" w:firstLine="640"/>
        <w:rPr>
          <w:rFonts w:eastAsia="方正仿宋_GBK"/>
          <w:color w:val="000000"/>
          <w:kern w:val="0"/>
          <w:sz w:val="32"/>
          <w:szCs w:val="32"/>
          <w:lang/>
        </w:rPr>
      </w:pPr>
      <w:r>
        <w:rPr>
          <w:rFonts w:eastAsia="方正仿宋_GBK" w:hint="eastAsia"/>
          <w:color w:val="000000"/>
          <w:kern w:val="0"/>
          <w:sz w:val="32"/>
          <w:szCs w:val="32"/>
          <w:lang/>
        </w:rPr>
        <w:t>（三）</w:t>
      </w:r>
      <w:r>
        <w:rPr>
          <w:rFonts w:eastAsia="方正仿宋_GBK" w:hint="eastAsia"/>
          <w:bCs/>
          <w:color w:val="000000"/>
          <w:sz w:val="32"/>
          <w:szCs w:val="32"/>
        </w:rPr>
        <w:t>强化废气处理措施。项目营运期废气主要为注塑废气、破碎粉尘、打磨废气、火焰处理废气、激光裁切废气、喷胶废气、烘干废气、焊接废气和食堂油烟等，应分别采取以下治理措施：</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注塑废气：项目注塑废气采取在注塑机顶部设置集气</w:t>
      </w:r>
      <w:proofErr w:type="gramStart"/>
      <w:r>
        <w:rPr>
          <w:rFonts w:eastAsia="方正仿宋_GBK" w:hint="eastAsia"/>
          <w:bCs/>
          <w:color w:val="000000"/>
          <w:sz w:val="32"/>
          <w:szCs w:val="32"/>
        </w:rPr>
        <w:t>罩进行</w:t>
      </w:r>
      <w:proofErr w:type="gramEnd"/>
      <w:r>
        <w:rPr>
          <w:rFonts w:eastAsia="方正仿宋_GBK" w:hint="eastAsia"/>
          <w:bCs/>
          <w:color w:val="000000"/>
          <w:sz w:val="32"/>
          <w:szCs w:val="32"/>
        </w:rPr>
        <w:t>收集，收集后的废气经“过滤棉</w:t>
      </w:r>
      <w:r>
        <w:rPr>
          <w:rFonts w:eastAsia="方正仿宋_GBK" w:hint="eastAsia"/>
          <w:bCs/>
          <w:color w:val="000000"/>
          <w:sz w:val="32"/>
          <w:szCs w:val="32"/>
        </w:rPr>
        <w:t>+</w:t>
      </w:r>
      <w:r>
        <w:rPr>
          <w:rFonts w:eastAsia="方正仿宋_GBK" w:hint="eastAsia"/>
          <w:bCs/>
          <w:color w:val="000000"/>
          <w:sz w:val="32"/>
          <w:szCs w:val="32"/>
        </w:rPr>
        <w:t>二级活性炭吸附装置”进行处理，然后通过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w:t>
      </w:r>
      <w:r>
        <w:rPr>
          <w:rFonts w:eastAsia="方正仿宋_GBK" w:hint="eastAsia"/>
          <w:bCs/>
          <w:color w:val="000000"/>
          <w:sz w:val="32"/>
          <w:szCs w:val="32"/>
        </w:rPr>
        <w:t>DA001</w:t>
      </w:r>
      <w:r>
        <w:rPr>
          <w:rFonts w:eastAsia="方正仿宋_GBK" w:hint="eastAsia"/>
          <w:bCs/>
          <w:color w:val="000000"/>
          <w:sz w:val="32"/>
          <w:szCs w:val="32"/>
        </w:rPr>
        <w:t>）排放，颗</w:t>
      </w:r>
      <w:r>
        <w:rPr>
          <w:rFonts w:eastAsia="方正仿宋_GBK" w:hint="eastAsia"/>
          <w:bCs/>
          <w:color w:val="000000"/>
          <w:sz w:val="32"/>
          <w:szCs w:val="32"/>
        </w:rPr>
        <w:lastRenderedPageBreak/>
        <w:t>粒物、非甲烷总烃执行《合成树脂工业污染物排放标准》（</w:t>
      </w:r>
      <w:r>
        <w:rPr>
          <w:rFonts w:eastAsia="方正仿宋_GBK" w:hint="eastAsia"/>
          <w:bCs/>
          <w:color w:val="000000"/>
          <w:sz w:val="32"/>
          <w:szCs w:val="32"/>
        </w:rPr>
        <w:t>GB31572-2015</w:t>
      </w:r>
      <w:r>
        <w:rPr>
          <w:rFonts w:eastAsia="方正仿宋_GBK" w:hint="eastAsia"/>
          <w:bCs/>
          <w:color w:val="000000"/>
          <w:sz w:val="32"/>
          <w:szCs w:val="32"/>
        </w:rPr>
        <w:t>含</w:t>
      </w:r>
      <w:r>
        <w:rPr>
          <w:rFonts w:eastAsia="方正仿宋_GBK" w:hint="eastAsia"/>
          <w:bCs/>
          <w:color w:val="000000"/>
          <w:sz w:val="32"/>
          <w:szCs w:val="32"/>
        </w:rPr>
        <w:t>2024</w:t>
      </w:r>
      <w:r>
        <w:rPr>
          <w:rFonts w:eastAsia="方正仿宋_GBK" w:hint="eastAsia"/>
          <w:bCs/>
          <w:color w:val="000000"/>
          <w:sz w:val="32"/>
          <w:szCs w:val="32"/>
        </w:rPr>
        <w:t>年修改单）中大气污染</w:t>
      </w:r>
      <w:proofErr w:type="gramStart"/>
      <w:r>
        <w:rPr>
          <w:rFonts w:eastAsia="方正仿宋_GBK" w:hint="eastAsia"/>
          <w:bCs/>
          <w:color w:val="000000"/>
          <w:sz w:val="32"/>
          <w:szCs w:val="32"/>
        </w:rPr>
        <w:t>物特别</w:t>
      </w:r>
      <w:proofErr w:type="gramEnd"/>
      <w:r>
        <w:rPr>
          <w:rFonts w:eastAsia="方正仿宋_GBK" w:hint="eastAsia"/>
          <w:bCs/>
          <w:color w:val="000000"/>
          <w:sz w:val="32"/>
          <w:szCs w:val="32"/>
        </w:rPr>
        <w:t>排放限值。</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喷胶废气、烘干废气：项目喷胶废气密闭收集后经过滤棉预处理，烘干废气采取</w:t>
      </w:r>
      <w:proofErr w:type="gramStart"/>
      <w:r>
        <w:rPr>
          <w:rFonts w:eastAsia="方正仿宋_GBK" w:hint="eastAsia"/>
          <w:bCs/>
          <w:color w:val="000000"/>
          <w:sz w:val="32"/>
          <w:szCs w:val="32"/>
        </w:rPr>
        <w:t>在烘道进出口</w:t>
      </w:r>
      <w:proofErr w:type="gramEnd"/>
      <w:r>
        <w:rPr>
          <w:rFonts w:eastAsia="方正仿宋_GBK" w:hint="eastAsia"/>
          <w:bCs/>
          <w:color w:val="000000"/>
          <w:sz w:val="32"/>
          <w:szCs w:val="32"/>
        </w:rPr>
        <w:t>顶部设置集气罩收集，预处理后的喷胶废气与收集后的烘干废气一起分别经两套“过滤棉</w:t>
      </w:r>
      <w:r>
        <w:rPr>
          <w:rFonts w:eastAsia="方正仿宋_GBK" w:hint="eastAsia"/>
          <w:bCs/>
          <w:color w:val="000000"/>
          <w:sz w:val="32"/>
          <w:szCs w:val="32"/>
        </w:rPr>
        <w:t>+</w:t>
      </w:r>
      <w:r>
        <w:rPr>
          <w:rFonts w:eastAsia="方正仿宋_GBK" w:hint="eastAsia"/>
          <w:bCs/>
          <w:color w:val="000000"/>
          <w:sz w:val="32"/>
          <w:szCs w:val="32"/>
        </w:rPr>
        <w:t>二级活性炭吸附装置”进行处理，然后分别通过</w:t>
      </w:r>
      <w:r>
        <w:rPr>
          <w:rFonts w:eastAsia="方正仿宋_GBK" w:hint="eastAsia"/>
          <w:bCs/>
          <w:color w:val="000000"/>
          <w:sz w:val="32"/>
          <w:szCs w:val="32"/>
        </w:rPr>
        <w:t>2</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米排气筒（分别为</w:t>
      </w:r>
      <w:r>
        <w:rPr>
          <w:rFonts w:eastAsia="方正仿宋_GBK" w:hint="eastAsia"/>
          <w:bCs/>
          <w:color w:val="000000"/>
          <w:sz w:val="32"/>
          <w:szCs w:val="32"/>
        </w:rPr>
        <w:t>DA002</w:t>
      </w:r>
      <w:r>
        <w:rPr>
          <w:rFonts w:eastAsia="方正仿宋_GBK" w:hint="eastAsia"/>
          <w:bCs/>
          <w:color w:val="000000"/>
          <w:sz w:val="32"/>
          <w:szCs w:val="32"/>
        </w:rPr>
        <w:t>、</w:t>
      </w:r>
      <w:r>
        <w:rPr>
          <w:rFonts w:eastAsia="方正仿宋_GBK" w:hint="eastAsia"/>
          <w:bCs/>
          <w:color w:val="000000"/>
          <w:sz w:val="32"/>
          <w:szCs w:val="32"/>
        </w:rPr>
        <w:t>DA003</w:t>
      </w:r>
      <w:r>
        <w:rPr>
          <w:rFonts w:eastAsia="方正仿宋_GBK" w:hint="eastAsia"/>
          <w:bCs/>
          <w:color w:val="000000"/>
          <w:sz w:val="32"/>
          <w:szCs w:val="32"/>
        </w:rPr>
        <w:t>）排放，颗粒物、非甲烷总烃执行《大气污染物综合排放标准》（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火焰处理废气：项目火焰处理废气密闭收集后经</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w:t>
      </w:r>
      <w:r>
        <w:rPr>
          <w:rFonts w:eastAsia="方正仿宋_GBK" w:hint="eastAsia"/>
          <w:bCs/>
          <w:color w:val="000000"/>
          <w:sz w:val="32"/>
          <w:szCs w:val="32"/>
        </w:rPr>
        <w:t>DA004</w:t>
      </w:r>
      <w:r>
        <w:rPr>
          <w:rFonts w:eastAsia="方正仿宋_GBK" w:hint="eastAsia"/>
          <w:bCs/>
          <w:color w:val="000000"/>
          <w:sz w:val="32"/>
          <w:szCs w:val="32"/>
        </w:rPr>
        <w:t>）排放，颗粒物、二氧化硫、氮氧化物执行《大气污染物综合排放标准》（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打磨废气：项目采取在打磨工位顶部设置集气罩收集打磨废气，收集后的废气通过滤芯除尘器处理后经</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w:t>
      </w:r>
      <w:r>
        <w:rPr>
          <w:rFonts w:eastAsia="方正仿宋_GBK" w:hint="eastAsia"/>
          <w:bCs/>
          <w:color w:val="000000"/>
          <w:sz w:val="32"/>
          <w:szCs w:val="32"/>
        </w:rPr>
        <w:t>DA005</w:t>
      </w:r>
      <w:r>
        <w:rPr>
          <w:rFonts w:eastAsia="方正仿宋_GBK" w:hint="eastAsia"/>
          <w:bCs/>
          <w:color w:val="000000"/>
          <w:sz w:val="32"/>
          <w:szCs w:val="32"/>
        </w:rPr>
        <w:t>）排放，颗粒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激光裁切废气：项目采取在激光裁床顶部设置集气罩收集激光裁切废气，收集后的废气通过“过滤棉</w:t>
      </w:r>
      <w:r>
        <w:rPr>
          <w:rFonts w:eastAsia="方正仿宋_GBK" w:hint="eastAsia"/>
          <w:bCs/>
          <w:color w:val="000000"/>
          <w:sz w:val="32"/>
          <w:szCs w:val="32"/>
        </w:rPr>
        <w:t>+</w:t>
      </w:r>
      <w:r>
        <w:rPr>
          <w:rFonts w:eastAsia="方正仿宋_GBK" w:hint="eastAsia"/>
          <w:bCs/>
          <w:color w:val="000000"/>
          <w:sz w:val="32"/>
          <w:szCs w:val="32"/>
        </w:rPr>
        <w:t>活性炭吸附装置”处理后经</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w:t>
      </w:r>
      <w:r>
        <w:rPr>
          <w:rFonts w:eastAsia="方正仿宋_GBK" w:hint="eastAsia"/>
          <w:bCs/>
          <w:color w:val="000000"/>
          <w:sz w:val="32"/>
          <w:szCs w:val="32"/>
        </w:rPr>
        <w:t>DA006</w:t>
      </w:r>
      <w:r>
        <w:rPr>
          <w:rFonts w:eastAsia="方正仿宋_GBK" w:hint="eastAsia"/>
          <w:bCs/>
          <w:color w:val="000000"/>
          <w:sz w:val="32"/>
          <w:szCs w:val="32"/>
        </w:rPr>
        <w:t>）排放，颗粒物、</w:t>
      </w:r>
      <w:r>
        <w:rPr>
          <w:rFonts w:eastAsia="方正仿宋_GBK" w:hint="eastAsia"/>
          <w:bCs/>
          <w:color w:val="000000"/>
          <w:sz w:val="32"/>
          <w:szCs w:val="32"/>
        </w:rPr>
        <w:lastRenderedPageBreak/>
        <w:t>非甲烷总烃执行《大气污染物综合排放标准》（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食堂油烟：项目食堂油烟经油烟净化器收集处理，处理后的废气经</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20m</w:t>
      </w:r>
      <w:r>
        <w:rPr>
          <w:rFonts w:eastAsia="方正仿宋_GBK" w:hint="eastAsia"/>
          <w:bCs/>
          <w:color w:val="000000"/>
          <w:sz w:val="32"/>
          <w:szCs w:val="32"/>
        </w:rPr>
        <w:t>排气筒（</w:t>
      </w:r>
      <w:r>
        <w:rPr>
          <w:rFonts w:eastAsia="方正仿宋_GBK" w:hint="eastAsia"/>
          <w:bCs/>
          <w:color w:val="000000"/>
          <w:sz w:val="32"/>
          <w:szCs w:val="32"/>
        </w:rPr>
        <w:t>DA007</w:t>
      </w:r>
      <w:r>
        <w:rPr>
          <w:rFonts w:eastAsia="方正仿宋_GBK" w:hint="eastAsia"/>
          <w:bCs/>
          <w:color w:val="000000"/>
          <w:sz w:val="32"/>
          <w:szCs w:val="32"/>
        </w:rPr>
        <w:t>）排放，油烟、非甲烷总烃执行《餐饮业大气污染物排放标准》（</w:t>
      </w:r>
      <w:r>
        <w:rPr>
          <w:rFonts w:eastAsia="方正仿宋_GBK" w:hint="eastAsia"/>
          <w:bCs/>
          <w:color w:val="000000"/>
          <w:sz w:val="32"/>
          <w:szCs w:val="32"/>
        </w:rPr>
        <w:t>DB50/859-2018</w:t>
      </w:r>
      <w:r>
        <w:rPr>
          <w:rFonts w:eastAsia="方正仿宋_GBK" w:hint="eastAsia"/>
          <w:bCs/>
          <w:color w:val="000000"/>
          <w:sz w:val="32"/>
          <w:szCs w:val="32"/>
        </w:rPr>
        <w:t>）排放限值。</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破碎粉尘：项目破碎粉尘在密闭房间内自然沉降后无组织排放。</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焊接废气：项目焊接废气通过加强车间通风无组织排放。</w:t>
      </w:r>
    </w:p>
    <w:p w:rsidR="003F439C" w:rsidRDefault="003F439C" w:rsidP="003F439C">
      <w:pPr>
        <w:widowControl/>
        <w:ind w:firstLineChars="200" w:firstLine="640"/>
        <w:rPr>
          <w:rFonts w:eastAsia="方正仿宋_GBK" w:hint="eastAsia"/>
          <w:bCs/>
          <w:color w:val="000000"/>
          <w:sz w:val="32"/>
          <w:szCs w:val="32"/>
        </w:rPr>
      </w:pPr>
      <w:r>
        <w:rPr>
          <w:rFonts w:eastAsia="方正仿宋_GBK" w:hint="eastAsia"/>
          <w:bCs/>
          <w:color w:val="000000"/>
          <w:sz w:val="32"/>
          <w:szCs w:val="32"/>
        </w:rPr>
        <w:t>项目厂界无组织排放的非甲烷总烃、颗粒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《大气污染物综合排放标准》（</w:t>
      </w:r>
      <w:r>
        <w:rPr>
          <w:rFonts w:eastAsia="方正仿宋_GBK" w:hint="eastAsia"/>
          <w:bCs/>
          <w:color w:val="000000"/>
          <w:sz w:val="32"/>
          <w:szCs w:val="32"/>
        </w:rPr>
        <w:t>DB50/418-2016</w:t>
      </w:r>
      <w:r>
        <w:rPr>
          <w:rFonts w:eastAsia="方正仿宋_GBK" w:hint="eastAsia"/>
          <w:bCs/>
          <w:color w:val="000000"/>
          <w:sz w:val="32"/>
          <w:szCs w:val="32"/>
        </w:rPr>
        <w:t>）排放限值。厂区内厂房外无组织排放的非甲烷总烃执行《挥发性有机物无组织排放控制标准》（</w:t>
      </w:r>
      <w:r>
        <w:rPr>
          <w:rFonts w:eastAsia="方正仿宋_GBK" w:hint="eastAsia"/>
          <w:bCs/>
          <w:color w:val="000000"/>
          <w:sz w:val="32"/>
          <w:szCs w:val="32"/>
        </w:rPr>
        <w:t>GB37822-2019</w:t>
      </w:r>
      <w:r>
        <w:rPr>
          <w:rFonts w:eastAsia="方正仿宋_GBK" w:hint="eastAsia"/>
          <w:bCs/>
          <w:color w:val="000000"/>
          <w:sz w:val="32"/>
          <w:szCs w:val="32"/>
        </w:rPr>
        <w:t>）中特别排放限值。</w:t>
      </w:r>
    </w:p>
    <w:p w:rsidR="003F439C" w:rsidRDefault="003F439C" w:rsidP="003F439C">
      <w:pPr>
        <w:widowControl/>
        <w:ind w:firstLineChars="200" w:firstLine="640"/>
        <w:rPr>
          <w:rFonts w:eastAsia="方正仿宋_GBK"/>
          <w:bCs/>
          <w:color w:val="000000"/>
          <w:sz w:val="32"/>
          <w:szCs w:val="32"/>
        </w:rPr>
      </w:pPr>
      <w:r>
        <w:rPr>
          <w:rFonts w:eastAsia="方正仿宋_GBK" w:hint="eastAsia"/>
          <w:bCs/>
          <w:sz w:val="32"/>
          <w:szCs w:val="32"/>
        </w:rPr>
        <w:t>（四）加强噪声污染防治。</w:t>
      </w:r>
      <w:r>
        <w:rPr>
          <w:rFonts w:eastAsia="方正仿宋_GBK" w:hint="eastAsia"/>
          <w:bCs/>
          <w:color w:val="000000"/>
          <w:sz w:val="32"/>
          <w:szCs w:val="32"/>
        </w:rPr>
        <w:t>项目营运期噪声主要来自生产设备、空压机</w:t>
      </w:r>
      <w:r>
        <w:rPr>
          <w:rFonts w:ascii="方正仿宋_GBK" w:eastAsia="方正仿宋_GBK" w:hAnsi="方正仿宋_GBK" w:cs="方正仿宋_GBK" w:hint="eastAsia"/>
          <w:color w:val="000000"/>
          <w:kern w:val="0"/>
          <w:sz w:val="32"/>
          <w:szCs w:val="32"/>
          <w:lang/>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类标准限值。</w:t>
      </w:r>
    </w:p>
    <w:p w:rsidR="003F439C" w:rsidRDefault="003F439C" w:rsidP="003F439C">
      <w:pPr>
        <w:pStyle w:val="a6"/>
        <w:spacing w:after="0" w:line="594" w:lineRule="exact"/>
        <w:ind w:firstLineChars="200" w:firstLine="640"/>
        <w:rPr>
          <w:rFonts w:eastAsia="方正仿宋_GBK"/>
          <w:bCs/>
          <w:sz w:val="32"/>
          <w:szCs w:val="32"/>
        </w:rPr>
      </w:pPr>
      <w:r>
        <w:rPr>
          <w:rFonts w:ascii="Times New Roman" w:eastAsia="方正仿宋_GBK" w:hAnsi="Times New Roman" w:cs="Times New Roman" w:hint="eastAsia"/>
          <w:bCs/>
          <w:color w:val="000000"/>
          <w:sz w:val="32"/>
          <w:szCs w:val="32"/>
        </w:rPr>
        <w:t>（五）妥善处置固体废物。项目营运期产生的固体</w:t>
      </w:r>
      <w:r>
        <w:rPr>
          <w:rFonts w:eastAsia="方正仿宋_GBK" w:hint="eastAsia"/>
          <w:bCs/>
          <w:sz w:val="32"/>
          <w:szCs w:val="32"/>
        </w:rPr>
        <w:t>废物主要为一般工业固废和危险废物。</w:t>
      </w:r>
    </w:p>
    <w:p w:rsidR="003F439C" w:rsidRDefault="003F439C" w:rsidP="003F439C">
      <w:pPr>
        <w:widowControl/>
        <w:spacing w:line="594" w:lineRule="exact"/>
        <w:jc w:val="left"/>
      </w:pPr>
      <w:r>
        <w:rPr>
          <w:rFonts w:eastAsia="方正仿宋_GBK" w:hint="eastAsia"/>
          <w:bCs/>
          <w:sz w:val="32"/>
          <w:szCs w:val="32"/>
        </w:rPr>
        <w:lastRenderedPageBreak/>
        <w:t xml:space="preserve">　　</w:t>
      </w:r>
      <w:r>
        <w:rPr>
          <w:rFonts w:ascii="方正仿宋_GBK" w:eastAsia="方正仿宋_GBK" w:hAnsi="方正仿宋_GBK" w:cs="方正仿宋_GBK" w:hint="eastAsia"/>
          <w:bCs/>
          <w:sz w:val="32"/>
          <w:szCs w:val="32"/>
        </w:rPr>
        <w:t>一般工业固废：主要为不合格产品、边角料和废包装袋等，其中不合格产品破碎后回用于生产，其余应分类收集后暂存于一般固废区，交废品公司回收处置。</w:t>
      </w:r>
    </w:p>
    <w:p w:rsidR="003F439C" w:rsidRDefault="003F439C" w:rsidP="003F439C">
      <w:pPr>
        <w:widowControl/>
        <w:spacing w:line="594"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 xml:space="preserve">　　危险废物：主要为废活性炭、废机油、废化学品包装桶和废渣</w:t>
      </w:r>
      <w:r>
        <w:rPr>
          <w:rFonts w:ascii="方正仿宋_GBK" w:eastAsia="方正仿宋_GBK" w:hAnsi="方正仿宋_GBK" w:cs="方正仿宋_GBK" w:hint="eastAsia"/>
          <w:color w:val="000000"/>
          <w:kern w:val="0"/>
          <w:sz w:val="32"/>
          <w:szCs w:val="32"/>
          <w:lang/>
        </w:rPr>
        <w:t>等</w:t>
      </w:r>
      <w:r>
        <w:rPr>
          <w:rFonts w:ascii="方正仿宋_GBK" w:eastAsia="方正仿宋_GBK" w:hAnsi="方正仿宋_GBK" w:cs="方正仿宋_GBK" w:hint="eastAsia"/>
          <w:bCs/>
          <w:color w:val="000000"/>
          <w:sz w:val="32"/>
          <w:szCs w:val="32"/>
        </w:rPr>
        <w:t>，应分类收集后</w:t>
      </w:r>
      <w:proofErr w:type="gramStart"/>
      <w:r>
        <w:rPr>
          <w:rFonts w:ascii="方正仿宋_GBK" w:eastAsia="方正仿宋_GBK" w:hAnsi="方正仿宋_GBK" w:cs="方正仿宋_GBK" w:hint="eastAsia"/>
          <w:bCs/>
          <w:color w:val="000000"/>
          <w:sz w:val="32"/>
          <w:szCs w:val="32"/>
        </w:rPr>
        <w:t>暂存于</w:t>
      </w:r>
      <w:r>
        <w:rPr>
          <w:rFonts w:ascii="方正仿宋_GBK" w:eastAsia="方正仿宋_GBK" w:hAnsi="方正仿宋_GBK" w:cs="方正仿宋_GBK" w:hint="eastAsia"/>
          <w:color w:val="000000"/>
          <w:kern w:val="0"/>
          <w:sz w:val="32"/>
          <w:szCs w:val="32"/>
          <w:lang/>
        </w:rPr>
        <w:t>危废贮存</w:t>
      </w:r>
      <w:proofErr w:type="gramEnd"/>
      <w:r>
        <w:rPr>
          <w:rFonts w:ascii="方正仿宋_GBK" w:eastAsia="方正仿宋_GBK" w:hAnsi="方正仿宋_GBK" w:cs="方正仿宋_GBK" w:hint="eastAsia"/>
          <w:color w:val="000000"/>
          <w:kern w:val="0"/>
          <w:sz w:val="32"/>
          <w:szCs w:val="32"/>
          <w:lang/>
        </w:rPr>
        <w:t>点</w:t>
      </w:r>
      <w:r>
        <w:rPr>
          <w:rFonts w:ascii="方正仿宋_GBK" w:eastAsia="方正仿宋_GBK" w:hAnsi="方正仿宋_GBK" w:cs="方正仿宋_GBK" w:hint="eastAsia"/>
          <w:bCs/>
          <w:color w:val="000000"/>
          <w:sz w:val="32"/>
          <w:szCs w:val="32"/>
        </w:rPr>
        <w:t>，定期交由相应危险废物处置单位收运处置。</w:t>
      </w:r>
    </w:p>
    <w:p w:rsidR="003F439C" w:rsidRDefault="003F439C" w:rsidP="003F439C">
      <w:pPr>
        <w:pStyle w:val="a6"/>
        <w:spacing w:after="0" w:line="594" w:lineRule="exact"/>
        <w:ind w:firstLineChars="200" w:firstLine="640"/>
        <w:rPr>
          <w:rFonts w:eastAsia="方正仿宋_GBK"/>
          <w:bCs/>
          <w:sz w:val="32"/>
          <w:szCs w:val="32"/>
        </w:rPr>
      </w:pPr>
      <w:r>
        <w:rPr>
          <w:rFonts w:eastAsia="方正仿宋_GBK" w:hint="eastAsia"/>
          <w:bCs/>
          <w:sz w:val="32"/>
          <w:szCs w:val="32"/>
        </w:rPr>
        <w:t>生活垃圾：收集后交由环卫部门统一清运处理。</w:t>
      </w:r>
    </w:p>
    <w:p w:rsidR="003F439C" w:rsidRDefault="003F439C" w:rsidP="003F439C">
      <w:pPr>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w:t>
      </w:r>
      <w:proofErr w:type="gramStart"/>
      <w:r>
        <w:rPr>
          <w:rFonts w:eastAsia="方正仿宋_GBK" w:hint="eastAsia"/>
          <w:bCs/>
          <w:sz w:val="32"/>
          <w:szCs w:val="32"/>
        </w:rPr>
        <w:t>的危废贮存</w:t>
      </w:r>
      <w:proofErr w:type="gramEnd"/>
      <w:r>
        <w:rPr>
          <w:rFonts w:eastAsia="方正仿宋_GBK" w:hint="eastAsia"/>
          <w:bCs/>
          <w:sz w:val="32"/>
          <w:szCs w:val="32"/>
        </w:rPr>
        <w:t>点应按照《危险废物贮存污染控制标准》（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）相关要求进行设计建设，符合环保相关规定要求。危险废物的转移执行《危险废物转移联单管理办法》相关规定，防止流失或因储放措施不力发生环境污染。</w:t>
      </w:r>
      <w:r>
        <w:rPr>
          <w:rFonts w:ascii="仿宋" w:eastAsia="仿宋" w:hAnsi="仿宋" w:hint="eastAsia"/>
          <w:sz w:val="32"/>
          <w:szCs w:val="32"/>
          <w:shd w:val="clear" w:color="auto" w:fill="FFFFFF"/>
        </w:rPr>
        <w:t>项目同时应建立完善环境</w:t>
      </w:r>
      <w:r>
        <w:rPr>
          <w:rFonts w:ascii="方正仿宋_GBK" w:eastAsia="方正仿宋_GBK" w:hAnsi="微软雅黑" w:hint="eastAsia"/>
          <w:sz w:val="32"/>
          <w:szCs w:val="32"/>
          <w:shd w:val="clear" w:color="auto" w:fill="FFFFFF"/>
        </w:rPr>
        <w:t>风险制度，加强环境风险管理，确保环境安全。项目</w:t>
      </w:r>
      <w:r>
        <w:rPr>
          <w:rFonts w:ascii="仿宋" w:eastAsia="仿宋" w:hAnsi="仿宋" w:hint="eastAsia"/>
          <w:sz w:val="32"/>
          <w:szCs w:val="32"/>
        </w:rPr>
        <w:t>环保设备设施的安全设施应落实《建设项目安全设施“三同时”监督管理办法》（原国家安监总局令第36号、77号修订）的要求，</w:t>
      </w:r>
      <w:r>
        <w:rPr>
          <w:rFonts w:eastAsia="方正仿宋_GBK" w:hint="eastAsia"/>
          <w:bCs/>
          <w:sz w:val="32"/>
          <w:szCs w:val="32"/>
        </w:rPr>
        <w:t>与主体工程同时设计、同时施工、同时投入生产和使用，建立并落实</w:t>
      </w:r>
      <w:r>
        <w:rPr>
          <w:rFonts w:ascii="仿宋" w:eastAsia="仿宋" w:hAnsi="仿宋" w:hint="eastAsia"/>
          <w:sz w:val="32"/>
          <w:szCs w:val="32"/>
        </w:rPr>
        <w:t>环保设备设施台账和维护管理制度、安全操作规程及安全教育培训制度，开展环保设备设施安全风险分级管控和隐患排查治理工作，落实闭环管理。</w:t>
      </w:r>
    </w:p>
    <w:p w:rsidR="003F439C" w:rsidRDefault="003F439C" w:rsidP="003F439C">
      <w:pPr>
        <w:spacing w:line="594"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w:t>
      </w:r>
      <w:r>
        <w:rPr>
          <w:rFonts w:ascii="仿宋" w:eastAsia="仿宋" w:hAnsi="仿宋" w:hint="eastAsia"/>
          <w:sz w:val="32"/>
          <w:szCs w:val="32"/>
        </w:rPr>
        <w:lastRenderedPageBreak/>
        <w:t>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3F439C" w:rsidRDefault="003F439C" w:rsidP="003F439C">
      <w:pPr>
        <w:spacing w:line="594"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3F439C" w:rsidRDefault="003F439C" w:rsidP="003F439C">
      <w:pPr>
        <w:spacing w:line="594"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五、项目的性质、规模、地点、采用的生产工艺或者防治污染、防止生态破坏的措施发生重大变动的，你单位应当重新报批建设项目的环境影响评价文件。</w:t>
      </w:r>
    </w:p>
    <w:p w:rsidR="003F439C" w:rsidRDefault="003F439C" w:rsidP="003F439C">
      <w:pPr>
        <w:spacing w:line="594"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3F439C" w:rsidRDefault="003F439C" w:rsidP="003F439C">
      <w:pPr>
        <w:spacing w:line="594" w:lineRule="exact"/>
        <w:ind w:firstLineChars="200" w:firstLine="640"/>
        <w:rPr>
          <w:rFonts w:eastAsia="方正仿宋_GBK" w:hint="eastAsia"/>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（一）项目建成后未严格按照报告表及本批准书要求落实各项措施，擅自改变原辅材料或者工艺等，造成污染危害、污染事故或污染扰民的。</w:t>
      </w:r>
    </w:p>
    <w:p w:rsidR="003F439C" w:rsidRDefault="003F439C" w:rsidP="003F439C">
      <w:pPr>
        <w:spacing w:line="594" w:lineRule="exact"/>
        <w:ind w:firstLineChars="200" w:firstLine="640"/>
        <w:rPr>
          <w:rFonts w:eastAsia="方正仿宋_GBK" w:hint="eastAsia"/>
          <w:bCs/>
          <w:sz w:val="32"/>
          <w:szCs w:val="32"/>
        </w:rPr>
      </w:pPr>
      <w:r>
        <w:rPr>
          <w:rFonts w:eastAsia="方正仿宋_GBK" w:hint="eastAsia"/>
          <w:bCs/>
          <w:sz w:val="32"/>
          <w:szCs w:val="32"/>
        </w:rPr>
        <w:t>（二）项目未按照本批准书要求，擅自排放重金属污染物或其他有毒有害物质的。</w:t>
      </w:r>
    </w:p>
    <w:p w:rsidR="003F439C" w:rsidRDefault="003F439C" w:rsidP="003F439C">
      <w:pPr>
        <w:spacing w:line="594" w:lineRule="exact"/>
        <w:ind w:firstLineChars="200" w:firstLine="640"/>
        <w:rPr>
          <w:rFonts w:eastAsia="方正仿宋_GBK"/>
          <w:bCs/>
          <w:sz w:val="32"/>
          <w:szCs w:val="32"/>
        </w:rPr>
      </w:pPr>
      <w:r>
        <w:rPr>
          <w:rFonts w:eastAsia="方正仿宋_GBK" w:hint="eastAsia"/>
          <w:bCs/>
          <w:sz w:val="32"/>
          <w:szCs w:val="32"/>
        </w:rPr>
        <w:lastRenderedPageBreak/>
        <w:t>（三）环境影响报告表中相关内容存在弄虚作假情况的。</w:t>
      </w:r>
    </w:p>
    <w:p w:rsidR="003F439C" w:rsidRDefault="003F439C" w:rsidP="003F439C">
      <w:pPr>
        <w:spacing w:line="594"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3F439C" w:rsidRDefault="003F439C" w:rsidP="003F439C">
      <w:pPr>
        <w:spacing w:line="594" w:lineRule="exact"/>
        <w:ind w:firstLineChars="200" w:firstLine="640"/>
        <w:rPr>
          <w:rFonts w:eastAsia="方正仿宋_GBK"/>
          <w:bCs/>
          <w:sz w:val="32"/>
          <w:szCs w:val="32"/>
        </w:rPr>
      </w:pPr>
      <w:r>
        <w:rPr>
          <w:rFonts w:eastAsia="方正仿宋_GBK" w:hint="eastAsia"/>
          <w:bCs/>
          <w:sz w:val="32"/>
          <w:szCs w:val="32"/>
        </w:rPr>
        <w:t>八、项目由重庆市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山区生态环境保护综合行政执法支队负责该项目的日常监管。</w:t>
      </w:r>
    </w:p>
    <w:p w:rsidR="003F439C" w:rsidRDefault="003F439C" w:rsidP="003F439C">
      <w:pPr>
        <w:spacing w:line="594" w:lineRule="exact"/>
        <w:rPr>
          <w:rFonts w:eastAsia="方正仿宋_GBK"/>
          <w:bCs/>
          <w:sz w:val="32"/>
          <w:szCs w:val="32"/>
        </w:rPr>
      </w:pPr>
    </w:p>
    <w:p w:rsidR="003F439C" w:rsidRDefault="003F439C" w:rsidP="003F439C">
      <w:pPr>
        <w:tabs>
          <w:tab w:val="left" w:pos="7560"/>
        </w:tabs>
        <w:spacing w:line="594" w:lineRule="exact"/>
        <w:ind w:firstLineChars="200" w:firstLine="640"/>
        <w:jc w:val="center"/>
        <w:rPr>
          <w:rFonts w:eastAsia="方正仿宋_GBK"/>
          <w:sz w:val="32"/>
          <w:szCs w:val="32"/>
        </w:rPr>
      </w:pPr>
      <w:r>
        <w:rPr>
          <w:rFonts w:eastAsia="方正仿宋_GBK"/>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3F439C" w:rsidRDefault="003F439C" w:rsidP="003F439C">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bCs/>
          <w:sz w:val="32"/>
          <w:szCs w:val="32"/>
        </w:rPr>
        <w:t>月</w:t>
      </w:r>
      <w:r>
        <w:rPr>
          <w:rFonts w:eastAsia="方正仿宋_GBK" w:hint="eastAsia"/>
          <w:bCs/>
          <w:sz w:val="32"/>
          <w:szCs w:val="32"/>
        </w:rPr>
        <w:t>29</w:t>
      </w:r>
      <w:r>
        <w:rPr>
          <w:rFonts w:eastAsia="方正仿宋_GBK"/>
          <w:bCs/>
          <w:sz w:val="32"/>
          <w:szCs w:val="32"/>
        </w:rPr>
        <w:t>日</w:t>
      </w:r>
    </w:p>
    <w:p w:rsidR="003F439C" w:rsidRDefault="003F439C" w:rsidP="003F439C">
      <w:pPr>
        <w:spacing w:line="560" w:lineRule="exact"/>
        <w:ind w:firstLineChars="300" w:firstLine="960"/>
        <w:rPr>
          <w:rFonts w:eastAsia="方正仿宋_GBK"/>
          <w:bCs/>
          <w:sz w:val="32"/>
          <w:szCs w:val="32"/>
          <w:u w:val="single"/>
        </w:rPr>
      </w:pPr>
    </w:p>
    <w:p w:rsidR="003F439C" w:rsidRDefault="003F439C" w:rsidP="003F439C">
      <w:pPr>
        <w:spacing w:line="560" w:lineRule="exact"/>
        <w:rPr>
          <w:rFonts w:eastAsia="方正仿宋_GBK"/>
          <w:bCs/>
          <w:sz w:val="28"/>
          <w:szCs w:val="28"/>
          <w:u w:val="single"/>
        </w:rPr>
      </w:pPr>
    </w:p>
    <w:p w:rsidR="003F439C" w:rsidRDefault="003F439C" w:rsidP="003F439C">
      <w:pPr>
        <w:spacing w:line="560" w:lineRule="exact"/>
        <w:rPr>
          <w:rFonts w:eastAsia="方正仿宋_GBK" w:hint="eastAsia"/>
          <w:bCs/>
          <w:sz w:val="28"/>
          <w:szCs w:val="28"/>
          <w:u w:val="single"/>
        </w:rPr>
      </w:pPr>
    </w:p>
    <w:p w:rsidR="003F439C" w:rsidRDefault="003F439C" w:rsidP="003F439C">
      <w:pPr>
        <w:pStyle w:val="4"/>
        <w:rPr>
          <w:rFonts w:ascii="Times New Roman" w:eastAsia="方正仿宋_GBK" w:hAnsi="Times New Roman" w:hint="eastAsia"/>
          <w:snapToGrid/>
          <w:sz w:val="28"/>
          <w:u w:val="single"/>
        </w:rPr>
      </w:pPr>
    </w:p>
    <w:p w:rsidR="003F439C" w:rsidRDefault="003F439C" w:rsidP="003F439C">
      <w:pPr>
        <w:rPr>
          <w:rFonts w:hint="eastAsia"/>
        </w:rPr>
      </w:pPr>
    </w:p>
    <w:p w:rsidR="003F439C" w:rsidRPr="006701B3" w:rsidRDefault="003F439C" w:rsidP="003F439C">
      <w:pPr>
        <w:pStyle w:val="4"/>
        <w:rPr>
          <w:rFonts w:hint="eastAsia"/>
        </w:rPr>
      </w:pPr>
    </w:p>
    <w:p w:rsidR="003F439C" w:rsidRPr="006701B3" w:rsidRDefault="003F439C" w:rsidP="003F439C">
      <w:pPr>
        <w:pStyle w:val="4"/>
        <w:rPr>
          <w:rFonts w:hint="eastAsia"/>
        </w:rPr>
      </w:pPr>
    </w:p>
    <w:p w:rsidR="003F439C" w:rsidRPr="006701B3" w:rsidRDefault="003F439C" w:rsidP="003F439C">
      <w:pPr>
        <w:spacing w:line="560" w:lineRule="exact"/>
        <w:rPr>
          <w:rFonts w:eastAsia="方正仿宋_GBK" w:hint="eastAsia"/>
        </w:rPr>
      </w:pPr>
      <w:r>
        <w:rPr>
          <w:rFonts w:eastAsia="方正仿宋_GBK" w:hint="eastAsia"/>
          <w:bCs/>
          <w:sz w:val="28"/>
          <w:szCs w:val="28"/>
          <w:u w:val="single"/>
        </w:rPr>
        <w:t>抄送：区应急管理局、璧山高新区管委会、</w:t>
      </w:r>
      <w:r>
        <w:rPr>
          <w:rFonts w:eastAsia="方正仿宋_GBK" w:hint="eastAsia"/>
          <w:sz w:val="28"/>
          <w:szCs w:val="28"/>
          <w:u w:val="single"/>
        </w:rPr>
        <w:t>区生态环境执法支队</w:t>
      </w:r>
      <w:r>
        <w:rPr>
          <w:rFonts w:eastAsia="方正仿宋_GBK"/>
          <w:sz w:val="28"/>
          <w:szCs w:val="28"/>
          <w:u w:val="single"/>
        </w:rPr>
        <w:t xml:space="preserve"> </w:t>
      </w:r>
      <w:r>
        <w:rPr>
          <w:rFonts w:eastAsia="方正仿宋_GBK" w:hint="eastAsia"/>
          <w:sz w:val="28"/>
          <w:szCs w:val="28"/>
          <w:u w:val="single"/>
        </w:rPr>
        <w:t xml:space="preserve">    </w:t>
      </w:r>
      <w:r>
        <w:rPr>
          <w:rFonts w:eastAsia="方正仿宋_GBK"/>
          <w:sz w:val="28"/>
          <w:szCs w:val="28"/>
          <w:u w:val="single"/>
        </w:rPr>
        <w:t xml:space="preserve">                                        </w:t>
      </w:r>
      <w:r>
        <w:rPr>
          <w:rFonts w:eastAsia="方正仿宋_GBK" w:hint="eastAsia"/>
          <w:sz w:val="28"/>
          <w:szCs w:val="28"/>
          <w:u w:val="single"/>
        </w:rPr>
        <w:t xml:space="preserve">               </w:t>
      </w:r>
    </w:p>
    <w:p w:rsidR="007A22EF" w:rsidRPr="003F439C" w:rsidRDefault="007A22EF"/>
    <w:sectPr w:rsidR="007A22EF" w:rsidRPr="003F439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0D1" w:rsidRDefault="00EE00D1" w:rsidP="003F439C">
      <w:r>
        <w:separator/>
      </w:r>
    </w:p>
  </w:endnote>
  <w:endnote w:type="continuationSeparator" w:id="0">
    <w:p w:rsidR="00EE00D1" w:rsidRDefault="00EE00D1" w:rsidP="003F43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0D1" w:rsidRDefault="00EE00D1" w:rsidP="003F439C">
      <w:r>
        <w:separator/>
      </w:r>
    </w:p>
  </w:footnote>
  <w:footnote w:type="continuationSeparator" w:id="0">
    <w:p w:rsidR="00EE00D1" w:rsidRDefault="00EE00D1" w:rsidP="003F43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39C"/>
    <w:rsid w:val="003F439C"/>
    <w:rsid w:val="007A22EF"/>
    <w:rsid w:val="00EE0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3F439C"/>
    <w:pPr>
      <w:widowControl w:val="0"/>
      <w:jc w:val="both"/>
    </w:pPr>
    <w:rPr>
      <w:rFonts w:ascii="Times New Roman" w:eastAsia="宋体" w:hAnsi="Times New Roman" w:cs="Times New Roman"/>
      <w:szCs w:val="24"/>
    </w:rPr>
  </w:style>
  <w:style w:type="paragraph" w:styleId="1">
    <w:name w:val="heading 1"/>
    <w:basedOn w:val="a"/>
    <w:next w:val="a"/>
    <w:link w:val="1Char"/>
    <w:qFormat/>
    <w:rsid w:val="003F439C"/>
    <w:pPr>
      <w:keepNext/>
      <w:spacing w:line="240" w:lineRule="exact"/>
      <w:jc w:val="center"/>
      <w:outlineLvl w:val="0"/>
    </w:pPr>
    <w:rPr>
      <w:rFonts w:ascii="仿宋_GB2312" w:eastAsia="仿宋_GB2312"/>
      <w:b/>
      <w:color w:val="000000"/>
      <w:sz w:val="24"/>
    </w:rPr>
  </w:style>
  <w:style w:type="paragraph" w:styleId="2">
    <w:name w:val="heading 2"/>
    <w:basedOn w:val="a"/>
    <w:next w:val="a"/>
    <w:link w:val="2Char"/>
    <w:uiPriority w:val="9"/>
    <w:semiHidden/>
    <w:unhideWhenUsed/>
    <w:qFormat/>
    <w:rsid w:val="003F43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qFormat/>
    <w:rsid w:val="003F439C"/>
    <w:pPr>
      <w:tabs>
        <w:tab w:val="left" w:pos="0"/>
      </w:tabs>
      <w:adjustRightInd w:val="0"/>
      <w:snapToGrid w:val="0"/>
      <w:spacing w:line="480" w:lineRule="exact"/>
      <w:outlineLvl w:val="3"/>
    </w:pPr>
    <w:rPr>
      <w:rFonts w:ascii="Cambria" w:eastAsia="宋体" w:hAnsi="Cambria" w:cs="Times New Roman"/>
      <w:b w:val="0"/>
      <w:snapToGrid w:val="0"/>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43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F439C"/>
    <w:rPr>
      <w:sz w:val="18"/>
      <w:szCs w:val="18"/>
    </w:rPr>
  </w:style>
  <w:style w:type="paragraph" w:styleId="a4">
    <w:name w:val="footer"/>
    <w:basedOn w:val="a"/>
    <w:link w:val="Char0"/>
    <w:uiPriority w:val="99"/>
    <w:semiHidden/>
    <w:unhideWhenUsed/>
    <w:rsid w:val="003F43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F439C"/>
    <w:rPr>
      <w:sz w:val="18"/>
      <w:szCs w:val="18"/>
    </w:rPr>
  </w:style>
  <w:style w:type="character" w:customStyle="1" w:styleId="1Char">
    <w:name w:val="标题 1 Char"/>
    <w:basedOn w:val="a0"/>
    <w:link w:val="1"/>
    <w:rsid w:val="003F439C"/>
    <w:rPr>
      <w:rFonts w:ascii="仿宋_GB2312" w:eastAsia="仿宋_GB2312" w:hAnsi="Times New Roman" w:cs="Times New Roman"/>
      <w:b/>
      <w:color w:val="000000"/>
      <w:sz w:val="24"/>
      <w:szCs w:val="24"/>
    </w:rPr>
  </w:style>
  <w:style w:type="character" w:customStyle="1" w:styleId="4Char">
    <w:name w:val="标题 4 Char"/>
    <w:basedOn w:val="a0"/>
    <w:link w:val="4"/>
    <w:rsid w:val="003F439C"/>
    <w:rPr>
      <w:rFonts w:ascii="Cambria" w:eastAsia="宋体" w:hAnsi="Cambria" w:cs="Times New Roman"/>
      <w:bCs/>
      <w:snapToGrid w:val="0"/>
      <w:sz w:val="26"/>
      <w:szCs w:val="28"/>
    </w:rPr>
  </w:style>
  <w:style w:type="paragraph" w:styleId="a5">
    <w:name w:val="Body Text"/>
    <w:basedOn w:val="a"/>
    <w:link w:val="Char1"/>
    <w:rsid w:val="003F439C"/>
    <w:pPr>
      <w:widowControl/>
      <w:jc w:val="left"/>
    </w:pPr>
    <w:rPr>
      <w:kern w:val="0"/>
      <w:sz w:val="32"/>
      <w:szCs w:val="20"/>
    </w:rPr>
  </w:style>
  <w:style w:type="character" w:customStyle="1" w:styleId="Char1">
    <w:name w:val="正文文本 Char"/>
    <w:basedOn w:val="a0"/>
    <w:link w:val="a5"/>
    <w:rsid w:val="003F439C"/>
    <w:rPr>
      <w:rFonts w:ascii="Times New Roman" w:eastAsia="宋体" w:hAnsi="Times New Roman" w:cs="Times New Roman"/>
      <w:kern w:val="0"/>
      <w:sz w:val="32"/>
      <w:szCs w:val="20"/>
    </w:rPr>
  </w:style>
  <w:style w:type="paragraph" w:styleId="a6">
    <w:name w:val="Plain Text"/>
    <w:basedOn w:val="a"/>
    <w:link w:val="Char2"/>
    <w:unhideWhenUsed/>
    <w:qFormat/>
    <w:rsid w:val="003F439C"/>
    <w:pPr>
      <w:widowControl/>
      <w:adjustRightInd w:val="0"/>
      <w:snapToGrid w:val="0"/>
      <w:spacing w:after="200"/>
      <w:jc w:val="left"/>
    </w:pPr>
    <w:rPr>
      <w:rFonts w:ascii="宋体" w:hAnsi="Courier New" w:cs="Courier New"/>
      <w:szCs w:val="21"/>
    </w:rPr>
  </w:style>
  <w:style w:type="character" w:customStyle="1" w:styleId="Char2">
    <w:name w:val="纯文本 Char"/>
    <w:basedOn w:val="a0"/>
    <w:link w:val="a6"/>
    <w:rsid w:val="003F439C"/>
    <w:rPr>
      <w:rFonts w:ascii="宋体" w:eastAsia="宋体" w:hAnsi="Courier New" w:cs="Courier New"/>
      <w:szCs w:val="21"/>
    </w:rPr>
  </w:style>
  <w:style w:type="paragraph" w:customStyle="1" w:styleId="tb">
    <w:name w:val="tb"/>
    <w:basedOn w:val="a"/>
    <w:link w:val="tbChar"/>
    <w:qFormat/>
    <w:rsid w:val="003F439C"/>
    <w:pPr>
      <w:spacing w:line="400" w:lineRule="atLeast"/>
    </w:pPr>
    <w:rPr>
      <w:rFonts w:ascii="宋体" w:hAnsi="Arial"/>
      <w:sz w:val="24"/>
      <w:szCs w:val="22"/>
    </w:rPr>
  </w:style>
  <w:style w:type="character" w:customStyle="1" w:styleId="tbChar">
    <w:name w:val="tb Char"/>
    <w:link w:val="tb"/>
    <w:rsid w:val="003F439C"/>
    <w:rPr>
      <w:rFonts w:ascii="宋体" w:eastAsia="宋体" w:hAnsi="Arial" w:cs="Times New Roman"/>
      <w:sz w:val="24"/>
    </w:rPr>
  </w:style>
  <w:style w:type="character" w:customStyle="1" w:styleId="2Char">
    <w:name w:val="标题 2 Char"/>
    <w:basedOn w:val="a0"/>
    <w:link w:val="2"/>
    <w:uiPriority w:val="9"/>
    <w:semiHidden/>
    <w:rsid w:val="003F439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2025-04-29T03:49:00Z</dcterms:created>
  <dcterms:modified xsi:type="dcterms:W3CDTF">2025-04-29T03:50:00Z</dcterms:modified>
</cp:coreProperties>
</file>